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7F66A" w14:textId="77777777" w:rsidR="008F1B6C" w:rsidRDefault="00824016" w:rsidP="00B311D2">
      <w:pPr>
        <w:tabs>
          <w:tab w:val="left" w:pos="3060"/>
        </w:tabs>
        <w:rPr>
          <w:rFonts w:ascii="Arial" w:hAnsi="Arial"/>
          <w:b/>
        </w:rPr>
      </w:pPr>
      <w:bookmarkStart w:id="0" w:name="_GoBack"/>
      <w:bookmarkEnd w:id="0"/>
      <w:r w:rsidRPr="00B311D2">
        <w:rPr>
          <w:rFonts w:ascii="Arial" w:hAnsi="Arial"/>
          <w:b/>
        </w:rPr>
        <w:t>Im Jahr 2014 wurde mehr als die Hälfte des weltweiten Primärenergie-Verbrauchs mit Öl und Gas gedeckt (56,3 Prozent). Durch die ungleiche Verteilung der natürlichen Rohstoffaufkommen wurden zwei Drittel des Öls vor dem Verbrauch grenzüberschreitend transportiert (66,2 Prozent). Beim Gas war es knapp ein Drittel (29,3 Prozent). Vom grenzüberschreitenden Handel mit Öl und Gas wurden wiederum 27,5 Prozent innerhalb der Regionen gehandelt (Intraregionaler Handel) und 72,5 Prozent zwischen den Regionen (Interregionaler Handel).</w:t>
      </w:r>
      <w:r w:rsidR="00E80C56" w:rsidRPr="00B311D2">
        <w:rPr>
          <w:rFonts w:ascii="Arial" w:hAnsi="Arial"/>
          <w:b/>
        </w:rPr>
        <w:t xml:space="preserve"> Bezogen auf den i</w:t>
      </w:r>
      <w:r w:rsidRPr="00B311D2">
        <w:rPr>
          <w:rFonts w:ascii="Arial" w:hAnsi="Arial"/>
          <w:b/>
        </w:rPr>
        <w:t xml:space="preserve">nterregionalen </w:t>
      </w:r>
      <w:r w:rsidR="00E80C56" w:rsidRPr="00B311D2">
        <w:rPr>
          <w:rFonts w:ascii="Arial" w:hAnsi="Arial"/>
          <w:b/>
        </w:rPr>
        <w:t>Öl- und Gase</w:t>
      </w:r>
      <w:r w:rsidRPr="00B311D2">
        <w:rPr>
          <w:rFonts w:ascii="Arial" w:hAnsi="Arial"/>
          <w:b/>
        </w:rPr>
        <w:t>xport</w:t>
      </w:r>
      <w:r w:rsidR="00E80C56" w:rsidRPr="00B311D2">
        <w:rPr>
          <w:rFonts w:ascii="Arial" w:hAnsi="Arial"/>
          <w:b/>
        </w:rPr>
        <w:t xml:space="preserve"> waren 2014 der </w:t>
      </w:r>
      <w:r w:rsidRPr="00B311D2">
        <w:rPr>
          <w:rFonts w:ascii="Arial" w:hAnsi="Arial"/>
          <w:b/>
        </w:rPr>
        <w:t xml:space="preserve">Mittlere Osten (41,3 Prozent), </w:t>
      </w:r>
      <w:r w:rsidR="00E80C56" w:rsidRPr="00B311D2">
        <w:rPr>
          <w:rFonts w:ascii="Arial" w:hAnsi="Arial"/>
          <w:b/>
        </w:rPr>
        <w:t xml:space="preserve">die </w:t>
      </w:r>
      <w:r w:rsidRPr="00B311D2">
        <w:rPr>
          <w:rFonts w:ascii="Arial" w:hAnsi="Arial"/>
          <w:b/>
        </w:rPr>
        <w:t xml:space="preserve">Nachfolgestaaten der UdSSR (23,3 Prozent) </w:t>
      </w:r>
      <w:r w:rsidR="00E80C56" w:rsidRPr="00B311D2">
        <w:rPr>
          <w:rFonts w:ascii="Arial" w:hAnsi="Arial"/>
          <w:b/>
        </w:rPr>
        <w:t xml:space="preserve">sowie </w:t>
      </w:r>
      <w:r w:rsidRPr="00B311D2">
        <w:rPr>
          <w:rFonts w:ascii="Arial" w:hAnsi="Arial"/>
          <w:b/>
        </w:rPr>
        <w:t>Afrika (14,4 Prozent)</w:t>
      </w:r>
      <w:r w:rsidR="00E80C56" w:rsidRPr="00B311D2">
        <w:rPr>
          <w:rFonts w:ascii="Arial" w:hAnsi="Arial"/>
          <w:b/>
        </w:rPr>
        <w:t xml:space="preserve"> die drei wichtigsten Exportregionen</w:t>
      </w:r>
      <w:r w:rsidRPr="00B311D2">
        <w:rPr>
          <w:rFonts w:ascii="Arial" w:hAnsi="Arial"/>
          <w:b/>
        </w:rPr>
        <w:t>.</w:t>
      </w:r>
      <w:r w:rsidR="00E80C56" w:rsidRPr="00B311D2">
        <w:rPr>
          <w:rFonts w:ascii="Arial" w:hAnsi="Arial"/>
          <w:b/>
        </w:rPr>
        <w:t xml:space="preserve"> Die mit Abstand größte Importregion war </w:t>
      </w:r>
      <w:r w:rsidRPr="00B311D2">
        <w:rPr>
          <w:rFonts w:ascii="Arial" w:hAnsi="Arial"/>
          <w:b/>
        </w:rPr>
        <w:t>Asien-Pazifik</w:t>
      </w:r>
      <w:r w:rsidR="00E80C56" w:rsidRPr="00B311D2">
        <w:rPr>
          <w:rFonts w:ascii="Arial" w:hAnsi="Arial"/>
          <w:b/>
        </w:rPr>
        <w:t xml:space="preserve"> (</w:t>
      </w:r>
      <w:r w:rsidRPr="00B311D2">
        <w:rPr>
          <w:rFonts w:ascii="Arial" w:hAnsi="Arial"/>
          <w:b/>
        </w:rPr>
        <w:t>48,2 Prozent).</w:t>
      </w:r>
      <w:r w:rsidR="008F1B6C">
        <w:rPr>
          <w:rFonts w:ascii="Arial" w:hAnsi="Arial"/>
          <w:b/>
        </w:rPr>
        <w:t xml:space="preserve"> Entsprechend wurden 2014 auch gut drei Viertel </w:t>
      </w:r>
      <w:r w:rsidR="008F1B6C">
        <w:rPr>
          <w:rFonts w:ascii="Arial" w:hAnsi="Arial"/>
          <w:b/>
        </w:rPr>
        <w:t xml:space="preserve">der </w:t>
      </w:r>
      <w:r w:rsidR="008F1B6C" w:rsidRPr="00B311D2">
        <w:rPr>
          <w:rFonts w:ascii="Arial" w:hAnsi="Arial"/>
          <w:b/>
        </w:rPr>
        <w:t>interregionalen Öl- und Gasexport</w:t>
      </w:r>
      <w:r w:rsidR="008F1B6C">
        <w:rPr>
          <w:rFonts w:ascii="Arial" w:hAnsi="Arial"/>
          <w:b/>
        </w:rPr>
        <w:t>e</w:t>
      </w:r>
      <w:r w:rsidR="008F1B6C" w:rsidRPr="00B311D2">
        <w:rPr>
          <w:rFonts w:ascii="Arial" w:hAnsi="Arial"/>
          <w:b/>
        </w:rPr>
        <w:t xml:space="preserve"> des Mittleren Ostens</w:t>
      </w:r>
      <w:r w:rsidR="008F1B6C">
        <w:rPr>
          <w:rFonts w:ascii="Arial" w:hAnsi="Arial"/>
          <w:b/>
        </w:rPr>
        <w:t xml:space="preserve"> in die </w:t>
      </w:r>
      <w:r w:rsidR="008F1B6C" w:rsidRPr="00B311D2">
        <w:rPr>
          <w:rFonts w:ascii="Arial" w:hAnsi="Arial"/>
          <w:b/>
        </w:rPr>
        <w:t>Region Asien-Pazifik</w:t>
      </w:r>
      <w:r w:rsidR="008F1B6C">
        <w:rPr>
          <w:rFonts w:ascii="Arial" w:hAnsi="Arial"/>
          <w:b/>
        </w:rPr>
        <w:t xml:space="preserve"> exportiert </w:t>
      </w:r>
      <w:r w:rsidR="00BE0D89">
        <w:rPr>
          <w:rFonts w:ascii="Arial" w:hAnsi="Arial"/>
          <w:b/>
        </w:rPr>
        <w:t>(</w:t>
      </w:r>
      <w:r w:rsidR="008F1B6C">
        <w:rPr>
          <w:rFonts w:ascii="Arial" w:hAnsi="Arial"/>
          <w:b/>
        </w:rPr>
        <w:t>7</w:t>
      </w:r>
      <w:r w:rsidRPr="00B311D2">
        <w:rPr>
          <w:rFonts w:ascii="Arial" w:hAnsi="Arial"/>
          <w:b/>
        </w:rPr>
        <w:t>5,9 Prozent</w:t>
      </w:r>
      <w:r w:rsidR="00BE0D89">
        <w:rPr>
          <w:rFonts w:ascii="Arial" w:hAnsi="Arial"/>
          <w:b/>
        </w:rPr>
        <w:t>)</w:t>
      </w:r>
      <w:r w:rsidRPr="00B311D2">
        <w:rPr>
          <w:rFonts w:ascii="Arial" w:hAnsi="Arial"/>
          <w:b/>
        </w:rPr>
        <w:t>.</w:t>
      </w:r>
    </w:p>
    <w:p w14:paraId="185503F8" w14:textId="77777777" w:rsidR="008F1B6C" w:rsidRDefault="008F1B6C" w:rsidP="00B311D2">
      <w:pPr>
        <w:tabs>
          <w:tab w:val="left" w:pos="3060"/>
        </w:tabs>
        <w:rPr>
          <w:rFonts w:ascii="Arial" w:hAnsi="Arial"/>
          <w:b/>
        </w:rPr>
      </w:pPr>
    </w:p>
    <w:p w14:paraId="5C791EC2" w14:textId="77777777" w:rsidR="00121761" w:rsidRDefault="00121761">
      <w:pPr>
        <w:rPr>
          <w:rFonts w:ascii="Arial" w:hAnsi="Arial"/>
          <w:color w:val="FF0000"/>
        </w:rPr>
      </w:pPr>
      <w:r>
        <w:rPr>
          <w:rFonts w:ascii="Arial" w:hAnsi="Arial"/>
          <w:color w:val="FF0000"/>
        </w:rPr>
        <w:t>Fakten</w:t>
      </w:r>
    </w:p>
    <w:p w14:paraId="2D9DD3D1" w14:textId="77777777" w:rsidR="00121761" w:rsidRDefault="00121761">
      <w:pPr>
        <w:rPr>
          <w:rFonts w:ascii="Arial" w:hAnsi="Arial"/>
          <w:color w:val="000000"/>
        </w:rPr>
      </w:pPr>
    </w:p>
    <w:p w14:paraId="1AD3BC84" w14:textId="0DFFD5B0" w:rsidR="00452572" w:rsidRDefault="009A5380" w:rsidP="004E2BC7">
      <w:pPr>
        <w:tabs>
          <w:tab w:val="left" w:pos="3060"/>
        </w:tabs>
        <w:rPr>
          <w:rFonts w:ascii="Arial" w:hAnsi="Arial"/>
        </w:rPr>
      </w:pPr>
      <w:r>
        <w:rPr>
          <w:rFonts w:ascii="Arial" w:hAnsi="Arial"/>
        </w:rPr>
        <w:t xml:space="preserve">Mit 56,3 Prozent wurde im Jahr 2014 mehr als die Hälfte </w:t>
      </w:r>
      <w:r w:rsidR="005546FC">
        <w:rPr>
          <w:rFonts w:ascii="Arial" w:hAnsi="Arial"/>
        </w:rPr>
        <w:t xml:space="preserve">des weltweiten Primärenergie-Verbrauchs mit </w:t>
      </w:r>
      <w:r>
        <w:rPr>
          <w:rFonts w:ascii="Arial" w:hAnsi="Arial"/>
        </w:rPr>
        <w:t xml:space="preserve">Öl und </w:t>
      </w:r>
      <w:r w:rsidR="005546FC">
        <w:rPr>
          <w:rFonts w:ascii="Arial" w:hAnsi="Arial"/>
        </w:rPr>
        <w:t>Gas gedeckt (</w:t>
      </w:r>
      <w:r>
        <w:rPr>
          <w:rFonts w:ascii="Arial" w:hAnsi="Arial"/>
        </w:rPr>
        <w:t xml:space="preserve">32,6 bzw. </w:t>
      </w:r>
      <w:r w:rsidR="005546FC">
        <w:rPr>
          <w:rFonts w:ascii="Arial" w:hAnsi="Arial"/>
        </w:rPr>
        <w:t>23</w:t>
      </w:r>
      <w:r w:rsidR="005546FC" w:rsidRPr="009B070B">
        <w:rPr>
          <w:rFonts w:ascii="Arial" w:hAnsi="Arial"/>
        </w:rPr>
        <w:t>,</w:t>
      </w:r>
      <w:r w:rsidR="005546FC">
        <w:rPr>
          <w:rFonts w:ascii="Arial" w:hAnsi="Arial"/>
        </w:rPr>
        <w:t>7</w:t>
      </w:r>
      <w:r w:rsidR="005546FC" w:rsidRPr="009B070B">
        <w:rPr>
          <w:rFonts w:ascii="Arial" w:hAnsi="Arial"/>
        </w:rPr>
        <w:t xml:space="preserve"> Prozent</w:t>
      </w:r>
      <w:r w:rsidR="005546FC">
        <w:rPr>
          <w:rFonts w:ascii="Arial" w:hAnsi="Arial"/>
        </w:rPr>
        <w:t xml:space="preserve">). Da natürliche Rohstoffaufkommen ungleich verteilt sind und die </w:t>
      </w:r>
      <w:r w:rsidR="006425CA">
        <w:rPr>
          <w:rFonts w:ascii="Arial" w:hAnsi="Arial"/>
        </w:rPr>
        <w:t>rohstoff</w:t>
      </w:r>
      <w:r w:rsidR="005546FC">
        <w:rPr>
          <w:rFonts w:ascii="Arial" w:hAnsi="Arial"/>
        </w:rPr>
        <w:t xml:space="preserve">reichen Staaten nicht gleichzeitig die Hauptverbraucher sind, ist ein Großteil der Staaten durch den Handel mit </w:t>
      </w:r>
      <w:r>
        <w:rPr>
          <w:rFonts w:ascii="Arial" w:hAnsi="Arial"/>
        </w:rPr>
        <w:t xml:space="preserve">Öl und </w:t>
      </w:r>
      <w:r w:rsidR="005546FC">
        <w:rPr>
          <w:rFonts w:ascii="Arial" w:hAnsi="Arial"/>
        </w:rPr>
        <w:t>Gas vernetzt.</w:t>
      </w:r>
      <w:r w:rsidR="00452572">
        <w:rPr>
          <w:rFonts w:ascii="Arial" w:hAnsi="Arial"/>
        </w:rPr>
        <w:t xml:space="preserve"> </w:t>
      </w:r>
      <w:r w:rsidR="004E2BC7">
        <w:rPr>
          <w:rFonts w:ascii="Arial" w:hAnsi="Arial"/>
        </w:rPr>
        <w:t xml:space="preserve">Nach Angaben des Energiekonzerns </w:t>
      </w:r>
      <w:r w:rsidR="004E2BC7" w:rsidRPr="009B070B">
        <w:rPr>
          <w:rFonts w:ascii="Arial" w:hAnsi="Arial"/>
        </w:rPr>
        <w:t xml:space="preserve">British Petroleum (BP) </w:t>
      </w:r>
      <w:r w:rsidRPr="009B070B">
        <w:rPr>
          <w:rFonts w:ascii="Arial" w:hAnsi="Arial"/>
        </w:rPr>
        <w:t>wurden v</w:t>
      </w:r>
      <w:r>
        <w:rPr>
          <w:rFonts w:ascii="Arial" w:hAnsi="Arial"/>
        </w:rPr>
        <w:t xml:space="preserve">om gesamten Ölverbrauch des Jahres 2014 zwei Drittel vor dem Verbrauch grenzüberschreitend transportiert (66,2 Prozent). Beim </w:t>
      </w:r>
      <w:r w:rsidR="004E2BC7">
        <w:rPr>
          <w:rFonts w:ascii="Arial" w:hAnsi="Arial"/>
        </w:rPr>
        <w:t xml:space="preserve">Gasverbrauch </w:t>
      </w:r>
      <w:r>
        <w:rPr>
          <w:rFonts w:ascii="Arial" w:hAnsi="Arial"/>
        </w:rPr>
        <w:t>lag der entsprechende Anteil bei k</w:t>
      </w:r>
      <w:r w:rsidR="004E2BC7">
        <w:rPr>
          <w:rFonts w:ascii="Arial" w:hAnsi="Arial"/>
        </w:rPr>
        <w:t>napp ein</w:t>
      </w:r>
      <w:r>
        <w:rPr>
          <w:rFonts w:ascii="Arial" w:hAnsi="Arial"/>
        </w:rPr>
        <w:t>em</w:t>
      </w:r>
      <w:r w:rsidR="004E2BC7">
        <w:rPr>
          <w:rFonts w:ascii="Arial" w:hAnsi="Arial"/>
        </w:rPr>
        <w:t xml:space="preserve"> Drittel </w:t>
      </w:r>
      <w:r w:rsidR="00373328">
        <w:rPr>
          <w:rFonts w:ascii="Arial" w:hAnsi="Arial"/>
        </w:rPr>
        <w:t>(29,3 Prozent)</w:t>
      </w:r>
      <w:r>
        <w:rPr>
          <w:rFonts w:ascii="Arial" w:hAnsi="Arial"/>
        </w:rPr>
        <w:t xml:space="preserve"> – dabei wurden zwei Drittel des Gases</w:t>
      </w:r>
      <w:r w:rsidR="00121761" w:rsidRPr="00305860">
        <w:rPr>
          <w:rFonts w:ascii="Arial" w:hAnsi="Arial"/>
        </w:rPr>
        <w:t xml:space="preserve"> </w:t>
      </w:r>
      <w:r>
        <w:rPr>
          <w:rFonts w:ascii="Arial" w:hAnsi="Arial"/>
        </w:rPr>
        <w:t>per Pipeline transportiert (</w:t>
      </w:r>
      <w:r w:rsidR="004E2BC7" w:rsidRPr="00305860">
        <w:rPr>
          <w:rFonts w:ascii="Arial" w:hAnsi="Arial"/>
        </w:rPr>
        <w:t>66,6</w:t>
      </w:r>
      <w:r w:rsidR="00121761" w:rsidRPr="00305860">
        <w:rPr>
          <w:rFonts w:ascii="Arial" w:hAnsi="Arial"/>
        </w:rPr>
        <w:t xml:space="preserve"> Prozent</w:t>
      </w:r>
      <w:r>
        <w:rPr>
          <w:rFonts w:ascii="Arial" w:hAnsi="Arial"/>
        </w:rPr>
        <w:t xml:space="preserve">) und ein Drittel </w:t>
      </w:r>
      <w:r w:rsidR="00121761" w:rsidRPr="00305860">
        <w:rPr>
          <w:rFonts w:ascii="Arial" w:hAnsi="Arial"/>
        </w:rPr>
        <w:t xml:space="preserve">als Flüssiggas </w:t>
      </w:r>
      <w:r>
        <w:rPr>
          <w:rFonts w:ascii="Arial" w:hAnsi="Arial"/>
        </w:rPr>
        <w:t>(</w:t>
      </w:r>
      <w:r w:rsidR="004E2BC7" w:rsidRPr="00305860">
        <w:rPr>
          <w:rFonts w:ascii="Arial" w:hAnsi="Arial"/>
        </w:rPr>
        <w:t>33,4</w:t>
      </w:r>
      <w:r w:rsidR="00121761" w:rsidRPr="00305860">
        <w:rPr>
          <w:rFonts w:ascii="Arial" w:hAnsi="Arial"/>
        </w:rPr>
        <w:t xml:space="preserve"> Prozent</w:t>
      </w:r>
      <w:r>
        <w:rPr>
          <w:rFonts w:ascii="Arial" w:hAnsi="Arial"/>
        </w:rPr>
        <w:t>)</w:t>
      </w:r>
      <w:r w:rsidR="00121761" w:rsidRPr="00305860">
        <w:rPr>
          <w:rFonts w:ascii="Arial" w:hAnsi="Arial"/>
        </w:rPr>
        <w:t>.</w:t>
      </w:r>
    </w:p>
    <w:p w14:paraId="47F3C149" w14:textId="77777777" w:rsidR="00452572" w:rsidRDefault="00452572" w:rsidP="004E2BC7">
      <w:pPr>
        <w:tabs>
          <w:tab w:val="left" w:pos="3060"/>
        </w:tabs>
        <w:rPr>
          <w:rFonts w:ascii="Arial" w:hAnsi="Arial"/>
        </w:rPr>
      </w:pPr>
    </w:p>
    <w:p w14:paraId="6D4AE33C" w14:textId="77777777" w:rsidR="00187C0E" w:rsidRDefault="008D5135" w:rsidP="00187C0E">
      <w:pPr>
        <w:rPr>
          <w:rFonts w:ascii="Arial" w:hAnsi="Arial"/>
        </w:rPr>
      </w:pPr>
      <w:r>
        <w:rPr>
          <w:rFonts w:ascii="Arial" w:hAnsi="Arial"/>
        </w:rPr>
        <w:t xml:space="preserve">Die von BP erfassten </w:t>
      </w:r>
      <w:r w:rsidRPr="003232C7">
        <w:rPr>
          <w:rFonts w:ascii="Arial" w:hAnsi="Arial"/>
        </w:rPr>
        <w:t>Haupthandelsströme</w:t>
      </w:r>
      <w:r w:rsidRPr="00AA0AEA">
        <w:rPr>
          <w:rFonts w:ascii="Arial" w:hAnsi="Arial"/>
        </w:rPr>
        <w:t xml:space="preserve"> </w:t>
      </w:r>
      <w:r>
        <w:rPr>
          <w:rFonts w:ascii="Arial" w:hAnsi="Arial"/>
        </w:rPr>
        <w:t xml:space="preserve">(siehe </w:t>
      </w:r>
      <w:r w:rsidR="00452572">
        <w:rPr>
          <w:rFonts w:ascii="Arial" w:hAnsi="Arial"/>
        </w:rPr>
        <w:t xml:space="preserve">auch </w:t>
      </w:r>
      <w:r w:rsidR="00452572" w:rsidRPr="00452572">
        <w:rPr>
          <w:rFonts w:ascii="Arial" w:hAnsi="Arial"/>
        </w:rPr>
        <w:t>"</w:t>
      </w:r>
      <w:r w:rsidRPr="003232C7">
        <w:rPr>
          <w:rFonts w:ascii="Arial" w:hAnsi="Arial"/>
        </w:rPr>
        <w:t>Begriffe, methodische Anmerkungen oder Lesehilfen</w:t>
      </w:r>
      <w:r w:rsidR="00452572" w:rsidRPr="00452572">
        <w:rPr>
          <w:rFonts w:ascii="Arial" w:hAnsi="Arial"/>
        </w:rPr>
        <w:t>"</w:t>
      </w:r>
      <w:r>
        <w:rPr>
          <w:rFonts w:ascii="Arial" w:hAnsi="Arial"/>
        </w:rPr>
        <w:t xml:space="preserve">) beziehen sich </w:t>
      </w:r>
      <w:r w:rsidR="00EA7833">
        <w:rPr>
          <w:rFonts w:ascii="Arial" w:hAnsi="Arial"/>
        </w:rPr>
        <w:t xml:space="preserve">auf den Handel mit </w:t>
      </w:r>
      <w:r>
        <w:rPr>
          <w:rFonts w:ascii="Arial" w:hAnsi="Arial"/>
        </w:rPr>
        <w:t xml:space="preserve">3.685 Millionen Tonnen Öläquivalent </w:t>
      </w:r>
      <w:r w:rsidRPr="00D61585">
        <w:rPr>
          <w:rFonts w:ascii="Arial" w:hAnsi="Arial"/>
        </w:rPr>
        <w:t>Erdöl und Erdgas</w:t>
      </w:r>
      <w:r>
        <w:rPr>
          <w:rFonts w:ascii="Arial" w:hAnsi="Arial"/>
        </w:rPr>
        <w:t xml:space="preserve"> (2.788 bzw. 897</w:t>
      </w:r>
      <w:r w:rsidR="001E25EA">
        <w:rPr>
          <w:rFonts w:ascii="Arial" w:hAnsi="Arial"/>
        </w:rPr>
        <w:t xml:space="preserve"> </w:t>
      </w:r>
      <w:r>
        <w:rPr>
          <w:rFonts w:ascii="Arial" w:hAnsi="Arial"/>
        </w:rPr>
        <w:t>Mio. t)</w:t>
      </w:r>
      <w:r w:rsidR="00187C0E">
        <w:rPr>
          <w:rFonts w:ascii="Arial" w:hAnsi="Arial"/>
        </w:rPr>
        <w:t xml:space="preserve"> im Jahr 2014</w:t>
      </w:r>
      <w:r>
        <w:rPr>
          <w:rFonts w:ascii="Arial" w:hAnsi="Arial"/>
        </w:rPr>
        <w:t>.</w:t>
      </w:r>
      <w:r w:rsidR="00452572">
        <w:rPr>
          <w:rFonts w:ascii="Arial" w:hAnsi="Arial"/>
        </w:rPr>
        <w:t xml:space="preserve"> </w:t>
      </w:r>
      <w:r w:rsidR="00EA7833" w:rsidRPr="009C04D9">
        <w:rPr>
          <w:rFonts w:ascii="Arial" w:hAnsi="Arial"/>
        </w:rPr>
        <w:t>Davon wurden 27,5 Prozent innerhalb der Regionen gehandelt (Intraregionaler Handel) und 72,5 Prozent zwischen den Regionen (Interregionaler Handel).</w:t>
      </w:r>
      <w:r w:rsidR="00D47700" w:rsidRPr="009C04D9">
        <w:rPr>
          <w:rFonts w:ascii="Arial" w:hAnsi="Arial"/>
        </w:rPr>
        <w:t xml:space="preserve"> Gut zwei Fünftel des interregionalen Exports stammte</w:t>
      </w:r>
      <w:r w:rsidR="009C04D9" w:rsidRPr="009C04D9">
        <w:rPr>
          <w:rFonts w:ascii="Arial" w:hAnsi="Arial"/>
        </w:rPr>
        <w:t>n</w:t>
      </w:r>
      <w:r w:rsidR="00D47700" w:rsidRPr="009C04D9">
        <w:rPr>
          <w:rFonts w:ascii="Arial" w:hAnsi="Arial"/>
        </w:rPr>
        <w:t xml:space="preserve"> dabei aus dem Mittleren Osten (41,3 Prozent), knapp ein Viertel aus den Nachfolgestaaten der UdSSR (23,3 Prozent) </w:t>
      </w:r>
      <w:r w:rsidR="00D43625" w:rsidRPr="009C04D9">
        <w:rPr>
          <w:rFonts w:ascii="Arial" w:hAnsi="Arial"/>
        </w:rPr>
        <w:t>und ein weiteres Siebtel aus Afrika (14,4 Prozent)</w:t>
      </w:r>
      <w:r w:rsidR="00187C0E" w:rsidRPr="009C04D9">
        <w:rPr>
          <w:rFonts w:ascii="Arial" w:hAnsi="Arial"/>
        </w:rPr>
        <w:t>. Z</w:t>
      </w:r>
      <w:r w:rsidR="00D43625" w:rsidRPr="009C04D9">
        <w:rPr>
          <w:rFonts w:ascii="Arial" w:hAnsi="Arial"/>
        </w:rPr>
        <w:t xml:space="preserve">usammen </w:t>
      </w:r>
      <w:r w:rsidR="00187C0E" w:rsidRPr="009C04D9">
        <w:rPr>
          <w:rFonts w:ascii="Arial" w:hAnsi="Arial"/>
        </w:rPr>
        <w:t xml:space="preserve">hatten diese drei Regionen einen Anteil von </w:t>
      </w:r>
      <w:r w:rsidR="00D43625" w:rsidRPr="009C04D9">
        <w:rPr>
          <w:rFonts w:ascii="Arial" w:hAnsi="Arial"/>
        </w:rPr>
        <w:t>78,9 Prozent</w:t>
      </w:r>
      <w:r w:rsidR="00187C0E" w:rsidRPr="009C04D9">
        <w:rPr>
          <w:rFonts w:ascii="Arial" w:hAnsi="Arial"/>
        </w:rPr>
        <w:t xml:space="preserve"> am interregionalen </w:t>
      </w:r>
      <w:r w:rsidR="001E25EA">
        <w:rPr>
          <w:rFonts w:ascii="Arial" w:hAnsi="Arial"/>
        </w:rPr>
        <w:t>Öl- und Gase</w:t>
      </w:r>
      <w:r w:rsidR="00187C0E" w:rsidRPr="009C04D9">
        <w:rPr>
          <w:rFonts w:ascii="Arial" w:hAnsi="Arial"/>
        </w:rPr>
        <w:t>xport</w:t>
      </w:r>
      <w:r w:rsidR="00D43625" w:rsidRPr="009C04D9">
        <w:rPr>
          <w:rFonts w:ascii="Arial" w:hAnsi="Arial"/>
        </w:rPr>
        <w:t>.</w:t>
      </w:r>
      <w:r w:rsidR="00187C0E" w:rsidRPr="009C04D9">
        <w:rPr>
          <w:rFonts w:ascii="Arial" w:hAnsi="Arial"/>
        </w:rPr>
        <w:t xml:space="preserve"> </w:t>
      </w:r>
      <w:r w:rsidR="001E25EA">
        <w:rPr>
          <w:rFonts w:ascii="Arial" w:hAnsi="Arial"/>
        </w:rPr>
        <w:t xml:space="preserve">Auf der anderen Seite war im Jahr 2014 </w:t>
      </w:r>
      <w:r w:rsidR="00187C0E" w:rsidRPr="009C04D9">
        <w:rPr>
          <w:rFonts w:ascii="Arial" w:hAnsi="Arial"/>
        </w:rPr>
        <w:t xml:space="preserve">Asien-Pazifik die Region mit dem höchsten Anteil am interregionalen </w:t>
      </w:r>
      <w:r w:rsidR="001E25EA">
        <w:rPr>
          <w:rFonts w:ascii="Arial" w:hAnsi="Arial"/>
        </w:rPr>
        <w:t>Öl- und Gasi</w:t>
      </w:r>
      <w:r w:rsidR="00187C0E" w:rsidRPr="009C04D9">
        <w:rPr>
          <w:rFonts w:ascii="Arial" w:hAnsi="Arial"/>
        </w:rPr>
        <w:t>mport</w:t>
      </w:r>
      <w:r w:rsidR="009C04D9" w:rsidRPr="009C04D9">
        <w:rPr>
          <w:rFonts w:ascii="Arial" w:hAnsi="Arial"/>
        </w:rPr>
        <w:t xml:space="preserve"> (4</w:t>
      </w:r>
      <w:r w:rsidR="009C04D9">
        <w:rPr>
          <w:rFonts w:ascii="Arial" w:hAnsi="Arial"/>
        </w:rPr>
        <w:t>8</w:t>
      </w:r>
      <w:r w:rsidR="009C04D9" w:rsidRPr="009C04D9">
        <w:rPr>
          <w:rFonts w:ascii="Arial" w:hAnsi="Arial"/>
        </w:rPr>
        <w:t>,</w:t>
      </w:r>
      <w:r w:rsidR="009C04D9">
        <w:rPr>
          <w:rFonts w:ascii="Arial" w:hAnsi="Arial"/>
        </w:rPr>
        <w:t>2</w:t>
      </w:r>
      <w:r w:rsidR="009C04D9" w:rsidRPr="009C04D9">
        <w:rPr>
          <w:rFonts w:ascii="Arial" w:hAnsi="Arial"/>
        </w:rPr>
        <w:t xml:space="preserve"> Prozent)</w:t>
      </w:r>
      <w:r w:rsidR="00187C0E" w:rsidRPr="009C04D9">
        <w:rPr>
          <w:rFonts w:ascii="Arial" w:hAnsi="Arial"/>
        </w:rPr>
        <w:t>. Darauf folgten Europa (3</w:t>
      </w:r>
      <w:r w:rsidR="009C04D9" w:rsidRPr="009C04D9">
        <w:rPr>
          <w:rFonts w:ascii="Arial" w:hAnsi="Arial"/>
        </w:rPr>
        <w:t>1</w:t>
      </w:r>
      <w:r w:rsidR="00187C0E" w:rsidRPr="009C04D9">
        <w:rPr>
          <w:rFonts w:ascii="Arial" w:hAnsi="Arial"/>
        </w:rPr>
        <w:t>,</w:t>
      </w:r>
      <w:r w:rsidR="009C04D9" w:rsidRPr="009C04D9">
        <w:rPr>
          <w:rFonts w:ascii="Arial" w:hAnsi="Arial"/>
        </w:rPr>
        <w:t>2 Prozent) und Nordamerika (10,4</w:t>
      </w:r>
      <w:r w:rsidR="00187C0E" w:rsidRPr="009C04D9">
        <w:rPr>
          <w:rFonts w:ascii="Arial" w:hAnsi="Arial"/>
        </w:rPr>
        <w:t xml:space="preserve"> Prozent). Zusammen hatten diese drei Regionen einen Anteil von 8</w:t>
      </w:r>
      <w:r w:rsidR="009C04D9" w:rsidRPr="009C04D9">
        <w:rPr>
          <w:rFonts w:ascii="Arial" w:hAnsi="Arial"/>
        </w:rPr>
        <w:t>9</w:t>
      </w:r>
      <w:r w:rsidR="00187C0E" w:rsidRPr="009C04D9">
        <w:rPr>
          <w:rFonts w:ascii="Arial" w:hAnsi="Arial"/>
        </w:rPr>
        <w:t>,</w:t>
      </w:r>
      <w:r w:rsidR="009C04D9" w:rsidRPr="009C04D9">
        <w:rPr>
          <w:rFonts w:ascii="Arial" w:hAnsi="Arial"/>
        </w:rPr>
        <w:t>8</w:t>
      </w:r>
      <w:r w:rsidR="00187C0E" w:rsidRPr="009C04D9">
        <w:rPr>
          <w:rFonts w:ascii="Arial" w:hAnsi="Arial"/>
        </w:rPr>
        <w:t xml:space="preserve"> Prozent am interregionalen </w:t>
      </w:r>
      <w:r w:rsidR="001E25EA">
        <w:rPr>
          <w:rFonts w:ascii="Arial" w:hAnsi="Arial"/>
        </w:rPr>
        <w:t>Öl- und Gasi</w:t>
      </w:r>
      <w:r w:rsidR="00187C0E" w:rsidRPr="009C04D9">
        <w:rPr>
          <w:rFonts w:ascii="Arial" w:hAnsi="Arial"/>
        </w:rPr>
        <w:t>mport.</w:t>
      </w:r>
    </w:p>
    <w:p w14:paraId="6CFC6D34" w14:textId="77777777" w:rsidR="001E25EA" w:rsidRDefault="001E25EA">
      <w:pPr>
        <w:rPr>
          <w:rFonts w:ascii="Arial" w:hAnsi="Arial"/>
        </w:rPr>
      </w:pPr>
    </w:p>
    <w:p w14:paraId="2AF66033" w14:textId="77777777" w:rsidR="00187C0E" w:rsidRDefault="00187C0E">
      <w:pPr>
        <w:rPr>
          <w:rFonts w:ascii="Arial" w:hAnsi="Arial"/>
        </w:rPr>
      </w:pPr>
      <w:r w:rsidRPr="00714802">
        <w:rPr>
          <w:rFonts w:ascii="Arial" w:hAnsi="Arial"/>
        </w:rPr>
        <w:t xml:space="preserve">Bezogen auf den interregionalen </w:t>
      </w:r>
      <w:r w:rsidR="001E25EA">
        <w:rPr>
          <w:rFonts w:ascii="Arial" w:hAnsi="Arial"/>
        </w:rPr>
        <w:t>Öl- und Gase</w:t>
      </w:r>
      <w:r w:rsidRPr="00714802">
        <w:rPr>
          <w:rFonts w:ascii="Arial" w:hAnsi="Arial"/>
        </w:rPr>
        <w:t xml:space="preserve">xport </w:t>
      </w:r>
      <w:r w:rsidR="00EC012C" w:rsidRPr="00714802">
        <w:rPr>
          <w:rFonts w:ascii="Arial" w:hAnsi="Arial"/>
        </w:rPr>
        <w:t xml:space="preserve">des Mittleren Ostens </w:t>
      </w:r>
      <w:r w:rsidRPr="00714802">
        <w:rPr>
          <w:rFonts w:ascii="Arial" w:hAnsi="Arial"/>
        </w:rPr>
        <w:t xml:space="preserve">entfielen </w:t>
      </w:r>
      <w:r w:rsidR="00EC012C" w:rsidRPr="00714802">
        <w:rPr>
          <w:rFonts w:ascii="Arial" w:hAnsi="Arial"/>
        </w:rPr>
        <w:t xml:space="preserve">im Jahr 2014 </w:t>
      </w:r>
      <w:r w:rsidRPr="00714802">
        <w:rPr>
          <w:rFonts w:ascii="Arial" w:hAnsi="Arial"/>
        </w:rPr>
        <w:t xml:space="preserve">75,9 Prozent </w:t>
      </w:r>
      <w:r w:rsidR="00EC012C" w:rsidRPr="00714802">
        <w:rPr>
          <w:rFonts w:ascii="Arial" w:hAnsi="Arial"/>
        </w:rPr>
        <w:t>auf die Region Asien-Pazifik. Die Nachfolgestaaten der UdSSR exportierten hingegen vor allem nach Europa (69,9 Prozent des interregionalen Exports). Auf der anderen Seite bezog Europa 52,1 Prozent des interregional</w:t>
      </w:r>
      <w:r w:rsidR="001E25EA">
        <w:rPr>
          <w:rFonts w:ascii="Arial" w:hAnsi="Arial"/>
        </w:rPr>
        <w:t xml:space="preserve">en </w:t>
      </w:r>
      <w:r w:rsidR="00EC012C" w:rsidRPr="00714802">
        <w:rPr>
          <w:rFonts w:ascii="Arial" w:hAnsi="Arial"/>
        </w:rPr>
        <w:t>Öl</w:t>
      </w:r>
      <w:r w:rsidR="001E25EA">
        <w:rPr>
          <w:rFonts w:ascii="Arial" w:hAnsi="Arial"/>
        </w:rPr>
        <w:t>- und</w:t>
      </w:r>
      <w:r w:rsidR="00EC012C" w:rsidRPr="00714802">
        <w:rPr>
          <w:rFonts w:ascii="Arial" w:hAnsi="Arial"/>
        </w:rPr>
        <w:t xml:space="preserve"> Gas</w:t>
      </w:r>
      <w:r w:rsidR="001E25EA">
        <w:rPr>
          <w:rFonts w:ascii="Arial" w:hAnsi="Arial"/>
        </w:rPr>
        <w:t>imports</w:t>
      </w:r>
      <w:r w:rsidR="00EC012C" w:rsidRPr="00714802">
        <w:rPr>
          <w:rFonts w:ascii="Arial" w:hAnsi="Arial"/>
        </w:rPr>
        <w:t xml:space="preserve"> von den Nachfolgestaaten der UdSSR und 21,6 Prozent aus Afrika. Aus dem Mittleren Osten stammten lediglich 15,7 Prozent – etwas weniger als intraregional </w:t>
      </w:r>
      <w:r w:rsidR="00155FB2" w:rsidRPr="00714802">
        <w:rPr>
          <w:rFonts w:ascii="Arial" w:hAnsi="Arial"/>
        </w:rPr>
        <w:t xml:space="preserve">aus Norwegen und den Niederlanden </w:t>
      </w:r>
      <w:r w:rsidR="001E25EA">
        <w:rPr>
          <w:rFonts w:ascii="Arial" w:hAnsi="Arial"/>
        </w:rPr>
        <w:t xml:space="preserve">von den </w:t>
      </w:r>
      <w:r w:rsidR="00155FB2" w:rsidRPr="00714802">
        <w:rPr>
          <w:rFonts w:ascii="Arial" w:hAnsi="Arial"/>
        </w:rPr>
        <w:t xml:space="preserve">anderen Staaten </w:t>
      </w:r>
      <w:r w:rsidR="00EC012C" w:rsidRPr="00714802">
        <w:rPr>
          <w:rFonts w:ascii="Arial" w:hAnsi="Arial"/>
        </w:rPr>
        <w:t>Europa</w:t>
      </w:r>
      <w:r w:rsidR="00341761">
        <w:rPr>
          <w:rFonts w:ascii="Arial" w:hAnsi="Arial"/>
        </w:rPr>
        <w:t>s</w:t>
      </w:r>
      <w:r w:rsidR="00EC012C" w:rsidRPr="00714802">
        <w:rPr>
          <w:rFonts w:ascii="Arial" w:hAnsi="Arial"/>
        </w:rPr>
        <w:t xml:space="preserve"> </w:t>
      </w:r>
      <w:r w:rsidR="001E25EA">
        <w:rPr>
          <w:rFonts w:ascii="Arial" w:hAnsi="Arial"/>
        </w:rPr>
        <w:t>im</w:t>
      </w:r>
      <w:r w:rsidR="00EC012C" w:rsidRPr="00714802">
        <w:rPr>
          <w:rFonts w:ascii="Arial" w:hAnsi="Arial"/>
        </w:rPr>
        <w:t xml:space="preserve">portiert wurde. </w:t>
      </w:r>
      <w:r w:rsidR="001E25EA">
        <w:rPr>
          <w:rFonts w:ascii="Arial" w:hAnsi="Arial"/>
        </w:rPr>
        <w:t xml:space="preserve">Auch für Nordamerika ist </w:t>
      </w:r>
      <w:r w:rsidR="00EC012C" w:rsidRPr="00714802">
        <w:rPr>
          <w:rFonts w:ascii="Arial" w:hAnsi="Arial"/>
        </w:rPr>
        <w:t xml:space="preserve">die Bedeutung des Mittleren Ostens </w:t>
      </w:r>
      <w:r w:rsidR="001E25EA">
        <w:rPr>
          <w:rFonts w:ascii="Arial" w:hAnsi="Arial"/>
        </w:rPr>
        <w:t xml:space="preserve">vergleichsweise </w:t>
      </w:r>
      <w:r w:rsidR="001E25EA" w:rsidRPr="00714802">
        <w:rPr>
          <w:rFonts w:ascii="Arial" w:hAnsi="Arial"/>
        </w:rPr>
        <w:t>gering</w:t>
      </w:r>
      <w:r w:rsidR="00EC012C" w:rsidRPr="00714802">
        <w:rPr>
          <w:rFonts w:ascii="Arial" w:hAnsi="Arial"/>
        </w:rPr>
        <w:t xml:space="preserve">: Zwar stammten 36,0 Prozent des </w:t>
      </w:r>
      <w:r w:rsidR="00EC012C" w:rsidRPr="00714802">
        <w:rPr>
          <w:rFonts w:ascii="Arial" w:hAnsi="Arial"/>
        </w:rPr>
        <w:lastRenderedPageBreak/>
        <w:t>interregional</w:t>
      </w:r>
      <w:r w:rsidR="001E25EA">
        <w:rPr>
          <w:rFonts w:ascii="Arial" w:hAnsi="Arial"/>
        </w:rPr>
        <w:t xml:space="preserve">en </w:t>
      </w:r>
      <w:r w:rsidR="00EC012C" w:rsidRPr="00714802">
        <w:rPr>
          <w:rFonts w:ascii="Arial" w:hAnsi="Arial"/>
        </w:rPr>
        <w:t>Öl</w:t>
      </w:r>
      <w:r w:rsidR="001E25EA">
        <w:rPr>
          <w:rFonts w:ascii="Arial" w:hAnsi="Arial"/>
        </w:rPr>
        <w:t xml:space="preserve">- und </w:t>
      </w:r>
      <w:r w:rsidR="00EC012C" w:rsidRPr="00714802">
        <w:rPr>
          <w:rFonts w:ascii="Arial" w:hAnsi="Arial"/>
        </w:rPr>
        <w:t>Gas</w:t>
      </w:r>
      <w:r w:rsidR="001E25EA">
        <w:rPr>
          <w:rFonts w:ascii="Arial" w:hAnsi="Arial"/>
        </w:rPr>
        <w:t>imports</w:t>
      </w:r>
      <w:r w:rsidR="00EC012C" w:rsidRPr="00714802">
        <w:rPr>
          <w:rFonts w:ascii="Arial" w:hAnsi="Arial"/>
        </w:rPr>
        <w:t xml:space="preserve"> aus dem Mittleren Osten</w:t>
      </w:r>
      <w:r w:rsidR="00155FB2" w:rsidRPr="00714802">
        <w:rPr>
          <w:rFonts w:ascii="Arial" w:hAnsi="Arial"/>
        </w:rPr>
        <w:t xml:space="preserve">. Mit </w:t>
      </w:r>
      <w:r w:rsidR="00EC012C" w:rsidRPr="00714802">
        <w:rPr>
          <w:rFonts w:ascii="Arial" w:hAnsi="Arial"/>
        </w:rPr>
        <w:t xml:space="preserve">rund 100 Millionen Tonnen Öläquivalent </w:t>
      </w:r>
      <w:r w:rsidR="00155FB2" w:rsidRPr="00714802">
        <w:rPr>
          <w:rFonts w:ascii="Arial" w:hAnsi="Arial"/>
        </w:rPr>
        <w:t xml:space="preserve">bleibt </w:t>
      </w:r>
      <w:r w:rsidR="00341761">
        <w:rPr>
          <w:rFonts w:ascii="Arial" w:hAnsi="Arial"/>
        </w:rPr>
        <w:t xml:space="preserve">dieser </w:t>
      </w:r>
      <w:r w:rsidR="00155FB2" w:rsidRPr="00714802">
        <w:rPr>
          <w:rFonts w:ascii="Arial" w:hAnsi="Arial"/>
        </w:rPr>
        <w:t xml:space="preserve">jedoch weit hinter dem intraregionalen </w:t>
      </w:r>
      <w:r w:rsidR="00341761">
        <w:rPr>
          <w:rFonts w:ascii="Arial" w:hAnsi="Arial"/>
        </w:rPr>
        <w:t>Öl- und Gash</w:t>
      </w:r>
      <w:r w:rsidR="00155FB2" w:rsidRPr="00714802">
        <w:rPr>
          <w:rFonts w:ascii="Arial" w:hAnsi="Arial"/>
        </w:rPr>
        <w:t>andel Nordamerikas</w:t>
      </w:r>
      <w:r w:rsidR="001C61A2" w:rsidRPr="00714802">
        <w:rPr>
          <w:rFonts w:ascii="Arial" w:hAnsi="Arial"/>
        </w:rPr>
        <w:t xml:space="preserve"> – </w:t>
      </w:r>
      <w:r w:rsidR="001C61A2">
        <w:rPr>
          <w:rFonts w:ascii="Arial" w:hAnsi="Arial"/>
        </w:rPr>
        <w:t xml:space="preserve">in Höhe von insgesamt </w:t>
      </w:r>
      <w:r w:rsidR="001C61A2" w:rsidRPr="00714802">
        <w:rPr>
          <w:rFonts w:ascii="Arial" w:hAnsi="Arial"/>
        </w:rPr>
        <w:t>rund 380 Millionen Tonnen Öläquivalent</w:t>
      </w:r>
      <w:r w:rsidR="001C61A2">
        <w:rPr>
          <w:rFonts w:ascii="Arial" w:hAnsi="Arial"/>
        </w:rPr>
        <w:t xml:space="preserve"> </w:t>
      </w:r>
      <w:r w:rsidR="001C61A2" w:rsidRPr="00714802">
        <w:rPr>
          <w:rFonts w:ascii="Arial" w:hAnsi="Arial"/>
        </w:rPr>
        <w:t>–</w:t>
      </w:r>
      <w:r w:rsidR="00155FB2" w:rsidRPr="00714802">
        <w:rPr>
          <w:rFonts w:ascii="Arial" w:hAnsi="Arial"/>
        </w:rPr>
        <w:t xml:space="preserve"> zurück. Allein </w:t>
      </w:r>
      <w:r w:rsidR="001E25EA">
        <w:rPr>
          <w:rFonts w:ascii="Arial" w:hAnsi="Arial"/>
        </w:rPr>
        <w:t xml:space="preserve">der </w:t>
      </w:r>
      <w:r w:rsidR="001E25EA" w:rsidRPr="00714802">
        <w:rPr>
          <w:rFonts w:ascii="Arial" w:hAnsi="Arial"/>
        </w:rPr>
        <w:t>Öl</w:t>
      </w:r>
      <w:r w:rsidR="001E25EA">
        <w:rPr>
          <w:rFonts w:ascii="Arial" w:hAnsi="Arial"/>
        </w:rPr>
        <w:t>-</w:t>
      </w:r>
      <w:r w:rsidR="001E25EA" w:rsidRPr="00714802">
        <w:rPr>
          <w:rFonts w:ascii="Arial" w:hAnsi="Arial"/>
        </w:rPr>
        <w:t xml:space="preserve"> und Gas</w:t>
      </w:r>
      <w:r w:rsidR="001E25EA">
        <w:rPr>
          <w:rFonts w:ascii="Arial" w:hAnsi="Arial"/>
        </w:rPr>
        <w:t>import</w:t>
      </w:r>
      <w:r w:rsidR="001E25EA" w:rsidRPr="00714802">
        <w:rPr>
          <w:rFonts w:ascii="Arial" w:hAnsi="Arial"/>
        </w:rPr>
        <w:t xml:space="preserve"> </w:t>
      </w:r>
      <w:r w:rsidR="001E25EA">
        <w:rPr>
          <w:rFonts w:ascii="Arial" w:hAnsi="Arial"/>
        </w:rPr>
        <w:t xml:space="preserve">der </w:t>
      </w:r>
      <w:r w:rsidR="009A7FAC" w:rsidRPr="00714802">
        <w:rPr>
          <w:rFonts w:ascii="Arial" w:hAnsi="Arial"/>
        </w:rPr>
        <w:t xml:space="preserve">USA aus Kanada </w:t>
      </w:r>
      <w:r w:rsidR="001E25EA">
        <w:rPr>
          <w:rFonts w:ascii="Arial" w:hAnsi="Arial"/>
        </w:rPr>
        <w:t>lag</w:t>
      </w:r>
      <w:r w:rsidR="00341761">
        <w:rPr>
          <w:rFonts w:ascii="Arial" w:hAnsi="Arial"/>
        </w:rPr>
        <w:t xml:space="preserve"> 2014</w:t>
      </w:r>
      <w:r w:rsidR="001E25EA">
        <w:rPr>
          <w:rFonts w:ascii="Arial" w:hAnsi="Arial"/>
        </w:rPr>
        <w:t xml:space="preserve"> bei </w:t>
      </w:r>
      <w:r w:rsidR="00155FB2" w:rsidRPr="00714802">
        <w:rPr>
          <w:rFonts w:ascii="Arial" w:hAnsi="Arial"/>
        </w:rPr>
        <w:t>235 Millionen Tonnen</w:t>
      </w:r>
      <w:r w:rsidR="001E25EA">
        <w:rPr>
          <w:rFonts w:ascii="Arial" w:hAnsi="Arial"/>
        </w:rPr>
        <w:t xml:space="preserve"> </w:t>
      </w:r>
      <w:r w:rsidR="001E25EA" w:rsidRPr="00714802">
        <w:rPr>
          <w:rFonts w:ascii="Arial" w:hAnsi="Arial"/>
        </w:rPr>
        <w:t>Öläquivalent</w:t>
      </w:r>
      <w:r w:rsidR="00155FB2" w:rsidRPr="00714802">
        <w:rPr>
          <w:rFonts w:ascii="Arial" w:hAnsi="Arial"/>
        </w:rPr>
        <w:t>.</w:t>
      </w:r>
    </w:p>
    <w:p w14:paraId="48D54531" w14:textId="77777777" w:rsidR="001E25EA" w:rsidRDefault="001E25EA">
      <w:pPr>
        <w:rPr>
          <w:rFonts w:ascii="Arial" w:hAnsi="Arial"/>
        </w:rPr>
      </w:pPr>
    </w:p>
    <w:p w14:paraId="38CC3946" w14:textId="77777777" w:rsidR="00121761" w:rsidRPr="009C04D9" w:rsidRDefault="00121761">
      <w:pPr>
        <w:rPr>
          <w:rFonts w:ascii="Arial" w:hAnsi="Arial"/>
          <w:color w:val="FF0000"/>
          <w:lang w:val="en-US"/>
        </w:rPr>
      </w:pPr>
      <w:r w:rsidRPr="009C04D9">
        <w:rPr>
          <w:rFonts w:ascii="Arial" w:hAnsi="Arial"/>
          <w:color w:val="FF0000"/>
          <w:lang w:val="en-US"/>
        </w:rPr>
        <w:t>Datenquelle</w:t>
      </w:r>
    </w:p>
    <w:p w14:paraId="0DBE0F6B" w14:textId="77777777" w:rsidR="00121761" w:rsidRPr="009C04D9" w:rsidRDefault="00121761">
      <w:pPr>
        <w:rPr>
          <w:rFonts w:ascii="Arial" w:hAnsi="Arial"/>
          <w:color w:val="FF0000"/>
          <w:lang w:val="en-US"/>
        </w:rPr>
      </w:pPr>
    </w:p>
    <w:p w14:paraId="4F623F4E" w14:textId="77777777" w:rsidR="009759CA" w:rsidRDefault="009759CA" w:rsidP="009759CA">
      <w:pPr>
        <w:tabs>
          <w:tab w:val="left" w:pos="3060"/>
        </w:tabs>
        <w:rPr>
          <w:rFonts w:ascii="Arial" w:hAnsi="Arial"/>
          <w:color w:val="000000"/>
          <w:lang w:val="en-GB"/>
        </w:rPr>
      </w:pPr>
      <w:r>
        <w:rPr>
          <w:rFonts w:ascii="Arial" w:hAnsi="Arial"/>
          <w:color w:val="000000"/>
          <w:lang w:val="en-GB"/>
        </w:rPr>
        <w:t>British Petroleum (BP): Statistical Review of World Energy 2015</w:t>
      </w:r>
    </w:p>
    <w:p w14:paraId="07237F76" w14:textId="77777777" w:rsidR="00121761" w:rsidRDefault="00121761">
      <w:pPr>
        <w:rPr>
          <w:rFonts w:ascii="Arial" w:hAnsi="Arial"/>
          <w:lang w:val="en-GB"/>
        </w:rPr>
      </w:pPr>
    </w:p>
    <w:p w14:paraId="77DD8976" w14:textId="77777777" w:rsidR="00121761" w:rsidRDefault="00121761">
      <w:pPr>
        <w:rPr>
          <w:rFonts w:ascii="Arial" w:hAnsi="Arial"/>
          <w:color w:val="FF0000"/>
        </w:rPr>
      </w:pPr>
      <w:r>
        <w:rPr>
          <w:rFonts w:ascii="Arial" w:hAnsi="Arial"/>
          <w:color w:val="FF0000"/>
        </w:rPr>
        <w:t>Begriffe, methodische Anmerkungen oder Lesehilfen</w:t>
      </w:r>
    </w:p>
    <w:p w14:paraId="08EF6B88" w14:textId="77777777" w:rsidR="001E25EA" w:rsidRDefault="001E25EA" w:rsidP="009759CA">
      <w:pPr>
        <w:rPr>
          <w:rFonts w:ascii="Arial" w:hAnsi="Arial"/>
        </w:rPr>
      </w:pPr>
      <w:bookmarkStart w:id="1" w:name="Primaerenergie"/>
    </w:p>
    <w:p w14:paraId="63FCF707" w14:textId="5BE5FC88" w:rsidR="00012764" w:rsidRDefault="00012764" w:rsidP="009759CA">
      <w:pPr>
        <w:rPr>
          <w:rFonts w:ascii="Arial" w:hAnsi="Arial"/>
        </w:rPr>
      </w:pPr>
      <w:r>
        <w:rPr>
          <w:rFonts w:ascii="Arial" w:hAnsi="Arial"/>
        </w:rPr>
        <w:t xml:space="preserve">Um die </w:t>
      </w:r>
      <w:r w:rsidRPr="00061F54">
        <w:rPr>
          <w:rFonts w:ascii="Arial" w:hAnsi="Arial"/>
          <w:b/>
        </w:rPr>
        <w:t>Haupthandelsströme</w:t>
      </w:r>
      <w:r w:rsidRPr="00AA0AEA">
        <w:rPr>
          <w:rFonts w:ascii="Arial" w:hAnsi="Arial"/>
        </w:rPr>
        <w:t xml:space="preserve"> </w:t>
      </w:r>
      <w:r>
        <w:rPr>
          <w:rFonts w:ascii="Arial" w:hAnsi="Arial"/>
        </w:rPr>
        <w:t>im Bereich de</w:t>
      </w:r>
      <w:r w:rsidR="005D0D0B">
        <w:rPr>
          <w:rFonts w:ascii="Arial" w:hAnsi="Arial"/>
        </w:rPr>
        <w:t xml:space="preserve">s Erdöl- und Gashandels </w:t>
      </w:r>
      <w:r>
        <w:rPr>
          <w:rFonts w:ascii="Arial" w:hAnsi="Arial"/>
        </w:rPr>
        <w:t xml:space="preserve">abzubilden, wurden hier die Daten </w:t>
      </w:r>
      <w:r w:rsidR="00061F54">
        <w:rPr>
          <w:rFonts w:ascii="Arial" w:hAnsi="Arial"/>
        </w:rPr>
        <w:t xml:space="preserve">des Energiekonzerns </w:t>
      </w:r>
      <w:r w:rsidR="00061F54" w:rsidRPr="00061F54">
        <w:rPr>
          <w:rFonts w:ascii="Arial" w:hAnsi="Arial"/>
          <w:color w:val="000000"/>
        </w:rPr>
        <w:t>British Petroleum (BP)</w:t>
      </w:r>
      <w:r w:rsidR="00061F54">
        <w:rPr>
          <w:rFonts w:ascii="Arial" w:hAnsi="Arial"/>
        </w:rPr>
        <w:t xml:space="preserve"> </w:t>
      </w:r>
      <w:r>
        <w:rPr>
          <w:rFonts w:ascii="Arial" w:hAnsi="Arial"/>
        </w:rPr>
        <w:t>in einer Grafik zusammengefasst. Dabei</w:t>
      </w:r>
      <w:r w:rsidR="001E25EA">
        <w:rPr>
          <w:rFonts w:ascii="Arial" w:hAnsi="Arial"/>
        </w:rPr>
        <w:t xml:space="preserve"> ist zu beachten, dass </w:t>
      </w:r>
      <w:r w:rsidR="00124891">
        <w:rPr>
          <w:rFonts w:ascii="Arial" w:hAnsi="Arial"/>
        </w:rPr>
        <w:t xml:space="preserve">von BP </w:t>
      </w:r>
      <w:r>
        <w:rPr>
          <w:rFonts w:ascii="Arial" w:hAnsi="Arial"/>
        </w:rPr>
        <w:t xml:space="preserve">nicht alle Ex- und </w:t>
      </w:r>
      <w:r w:rsidR="004C25B9">
        <w:rPr>
          <w:rFonts w:ascii="Arial" w:hAnsi="Arial"/>
        </w:rPr>
        <w:t>I</w:t>
      </w:r>
      <w:r>
        <w:rPr>
          <w:rFonts w:ascii="Arial" w:hAnsi="Arial"/>
        </w:rPr>
        <w:t>mporte erfasst wurden. Insbesondere fehlen beim Öl Daten zum Handel innerhalb der einzelnen Regionen (Intraregionaler Handel) – lediglich für die Regionen Nordamerika und Asien-Pazifik liegen entsprechende Daten vor.</w:t>
      </w:r>
    </w:p>
    <w:p w14:paraId="7A9DB157" w14:textId="77777777" w:rsidR="00012764" w:rsidRDefault="00012764" w:rsidP="009759CA">
      <w:pPr>
        <w:rPr>
          <w:rFonts w:ascii="Arial" w:hAnsi="Arial"/>
        </w:rPr>
      </w:pPr>
    </w:p>
    <w:p w14:paraId="3B9D8D93" w14:textId="77777777" w:rsidR="009759CA" w:rsidRDefault="009759CA" w:rsidP="009759CA">
      <w:pPr>
        <w:rPr>
          <w:rFonts w:ascii="Arial" w:hAnsi="Arial" w:cs="Arial"/>
        </w:rPr>
      </w:pPr>
      <w:r w:rsidRPr="00EE4461">
        <w:rPr>
          <w:rStyle w:val="Fett"/>
          <w:rFonts w:ascii="Arial" w:hAnsi="Arial" w:cs="Arial"/>
        </w:rPr>
        <w:t>Primärenergie</w:t>
      </w:r>
      <w:bookmarkEnd w:id="1"/>
      <w:r w:rsidRPr="00EE4461">
        <w:rPr>
          <w:rFonts w:ascii="Arial" w:hAnsi="Arial" w:cs="Arial"/>
        </w:rPr>
        <w:t xml:space="preserve"> 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EE4461">
        <w:rPr>
          <w:rStyle w:val="Fett"/>
          <w:rFonts w:ascii="Arial" w:hAnsi="Arial" w:cs="Arial"/>
        </w:rPr>
        <w:t>Endenergie</w:t>
      </w:r>
      <w:r w:rsidRPr="00EE4461">
        <w:rPr>
          <w:rFonts w:ascii="Arial" w:hAnsi="Arial" w:cs="Arial"/>
        </w:rPr>
        <w:t xml:space="preserve"> (Sekundärenergie). Die Form der Energie, in der sie tatsächlich vom Anwender verwendet wird, wird </w:t>
      </w:r>
      <w:r w:rsidRPr="00EE4461">
        <w:rPr>
          <w:rStyle w:val="Fett"/>
          <w:rFonts w:ascii="Arial" w:hAnsi="Arial" w:cs="Arial"/>
        </w:rPr>
        <w:t>Nutzenergie</w:t>
      </w:r>
      <w:r w:rsidRPr="00EE4461">
        <w:rPr>
          <w:rFonts w:ascii="Arial" w:hAnsi="Arial" w:cs="Arial"/>
        </w:rPr>
        <w:t xml:space="preserve"> genannt. Ein Beispiel: Rohöl (Primärenergie) wird zu Heizöl (Endenergie/Sekundärenergie) wird zu Wärme (Nutzenergie).</w:t>
      </w:r>
    </w:p>
    <w:p w14:paraId="264D1932" w14:textId="77777777" w:rsidR="00373328" w:rsidRDefault="00373328" w:rsidP="009759CA">
      <w:pPr>
        <w:rPr>
          <w:rFonts w:ascii="Arial" w:hAnsi="Arial" w:cs="Arial"/>
        </w:rPr>
      </w:pPr>
    </w:p>
    <w:p w14:paraId="6C245668" w14:textId="77777777" w:rsidR="00124891" w:rsidRDefault="00124891" w:rsidP="00124891">
      <w:pPr>
        <w:rPr>
          <w:rFonts w:ascii="Arial" w:hAnsi="Arial"/>
        </w:rPr>
      </w:pPr>
      <w:r>
        <w:rPr>
          <w:rFonts w:ascii="Arial" w:hAnsi="Arial"/>
        </w:rPr>
        <w:t>Um die Energieträger vergleichbar zu machen, werden sie mithilfe einzelner Umrechnungsfaktoren auf das Öl bezogen (</w:t>
      </w:r>
      <w:r w:rsidRPr="00124891">
        <w:rPr>
          <w:rFonts w:ascii="Arial" w:hAnsi="Arial"/>
          <w:b/>
        </w:rPr>
        <w:t>Öläquivalent</w:t>
      </w:r>
      <w:r>
        <w:rPr>
          <w:rFonts w:ascii="Arial" w:hAnsi="Arial"/>
        </w:rPr>
        <w:t>). Nach Angaben des Energiekonzerns British Petroleum (BP) entspricht eine Tonne Öläquivalent beispielsweise in etwa 1,5 Tonnen Steinkohle, 1.111 Kubikmeter Erdgas oder auch 12 Megawattstunden (Primärenergie).</w:t>
      </w:r>
    </w:p>
    <w:p w14:paraId="6942DD82" w14:textId="77777777" w:rsidR="00C232CA" w:rsidRDefault="00C232CA" w:rsidP="00124891">
      <w:pPr>
        <w:rPr>
          <w:rFonts w:ascii="Arial" w:hAnsi="Arial"/>
        </w:rPr>
      </w:pPr>
    </w:p>
    <w:p w14:paraId="2BCF18EA" w14:textId="3A25C8D0" w:rsidR="00C232CA" w:rsidRDefault="00C232CA" w:rsidP="00C232CA">
      <w:pPr>
        <w:rPr>
          <w:rFonts w:ascii="Arial" w:hAnsi="Arial" w:cs="Arial"/>
        </w:rPr>
      </w:pPr>
      <w:r w:rsidRPr="00012764">
        <w:rPr>
          <w:rFonts w:ascii="Arial" w:hAnsi="Arial" w:cs="Arial"/>
        </w:rPr>
        <w:t>1</w:t>
      </w:r>
      <w:r>
        <w:rPr>
          <w:rFonts w:ascii="Arial" w:hAnsi="Arial" w:cs="Arial"/>
        </w:rPr>
        <w:t>.</w:t>
      </w:r>
      <w:r w:rsidRPr="00012764">
        <w:rPr>
          <w:rFonts w:ascii="Arial" w:hAnsi="Arial" w:cs="Arial"/>
        </w:rPr>
        <w:t>00</w:t>
      </w:r>
      <w:r>
        <w:rPr>
          <w:rFonts w:ascii="Arial" w:hAnsi="Arial" w:cs="Arial"/>
        </w:rPr>
        <w:t>0</w:t>
      </w:r>
      <w:r w:rsidRPr="00012764">
        <w:rPr>
          <w:rFonts w:ascii="Arial" w:hAnsi="Arial" w:cs="Arial"/>
        </w:rPr>
        <w:t xml:space="preserve"> Kubikmeter Gas (</w:t>
      </w:r>
      <w:proofErr w:type="spellStart"/>
      <w:r w:rsidRPr="00012764">
        <w:rPr>
          <w:rFonts w:ascii="Arial" w:hAnsi="Arial" w:cs="Arial"/>
        </w:rPr>
        <w:t>natural</w:t>
      </w:r>
      <w:proofErr w:type="spellEnd"/>
      <w:r w:rsidRPr="00012764">
        <w:rPr>
          <w:rFonts w:ascii="Arial" w:hAnsi="Arial" w:cs="Arial"/>
        </w:rPr>
        <w:t xml:space="preserve"> </w:t>
      </w:r>
      <w:proofErr w:type="spellStart"/>
      <w:r w:rsidRPr="00012764">
        <w:rPr>
          <w:rFonts w:ascii="Arial" w:hAnsi="Arial" w:cs="Arial"/>
        </w:rPr>
        <w:t>gas</w:t>
      </w:r>
      <w:proofErr w:type="spellEnd"/>
      <w:r w:rsidRPr="00012764">
        <w:rPr>
          <w:rFonts w:ascii="Arial" w:hAnsi="Arial" w:cs="Arial"/>
        </w:rPr>
        <w:t xml:space="preserve"> – NG/</w:t>
      </w:r>
      <w:proofErr w:type="spellStart"/>
      <w:r w:rsidRPr="00012764">
        <w:rPr>
          <w:rFonts w:ascii="Arial" w:hAnsi="Arial" w:cs="Arial"/>
        </w:rPr>
        <w:t>liquefied</w:t>
      </w:r>
      <w:proofErr w:type="spellEnd"/>
      <w:r w:rsidRPr="00012764">
        <w:rPr>
          <w:rFonts w:ascii="Arial" w:hAnsi="Arial" w:cs="Arial"/>
        </w:rPr>
        <w:t xml:space="preserve"> </w:t>
      </w:r>
      <w:proofErr w:type="spellStart"/>
      <w:r w:rsidRPr="00012764">
        <w:rPr>
          <w:rFonts w:ascii="Arial" w:hAnsi="Arial" w:cs="Arial"/>
        </w:rPr>
        <w:t>natural</w:t>
      </w:r>
      <w:proofErr w:type="spellEnd"/>
      <w:r w:rsidRPr="00012764">
        <w:rPr>
          <w:rFonts w:ascii="Arial" w:hAnsi="Arial" w:cs="Arial"/>
        </w:rPr>
        <w:t xml:space="preserve"> </w:t>
      </w:r>
      <w:proofErr w:type="spellStart"/>
      <w:r w:rsidRPr="00012764">
        <w:rPr>
          <w:rFonts w:ascii="Arial" w:hAnsi="Arial" w:cs="Arial"/>
        </w:rPr>
        <w:t>gas</w:t>
      </w:r>
      <w:proofErr w:type="spellEnd"/>
      <w:r w:rsidRPr="00012764">
        <w:rPr>
          <w:rFonts w:ascii="Arial" w:hAnsi="Arial" w:cs="Arial"/>
        </w:rPr>
        <w:t xml:space="preserve"> – LNG) entsprechen 0,9</w:t>
      </w:r>
      <w:r>
        <w:rPr>
          <w:rFonts w:ascii="Arial" w:hAnsi="Arial" w:cs="Arial"/>
        </w:rPr>
        <w:t xml:space="preserve"> T</w:t>
      </w:r>
      <w:r w:rsidRPr="00D211D7">
        <w:rPr>
          <w:rFonts w:ascii="Arial" w:hAnsi="Arial" w:cs="Arial"/>
        </w:rPr>
        <w:t>onne</w:t>
      </w:r>
      <w:r>
        <w:rPr>
          <w:rFonts w:ascii="Arial" w:hAnsi="Arial" w:cs="Arial"/>
        </w:rPr>
        <w:t>n</w:t>
      </w:r>
      <w:r w:rsidRPr="00D211D7">
        <w:rPr>
          <w:rFonts w:ascii="Arial" w:hAnsi="Arial" w:cs="Arial"/>
        </w:rPr>
        <w:t xml:space="preserve"> Rohöl (metrisch)</w:t>
      </w:r>
      <w:r w:rsidR="00305766">
        <w:rPr>
          <w:rFonts w:ascii="Arial" w:hAnsi="Arial" w:cs="Arial"/>
        </w:rPr>
        <w:t>.</w:t>
      </w:r>
    </w:p>
    <w:p w14:paraId="4913B916" w14:textId="77777777" w:rsidR="00124891" w:rsidRDefault="00124891" w:rsidP="00373328">
      <w:pPr>
        <w:rPr>
          <w:rFonts w:ascii="Arial" w:hAnsi="Arial"/>
        </w:rPr>
      </w:pPr>
    </w:p>
    <w:p w14:paraId="76CC5001" w14:textId="77777777" w:rsidR="00373328" w:rsidRDefault="00373328" w:rsidP="00373328">
      <w:pPr>
        <w:rPr>
          <w:rFonts w:ascii="Arial" w:hAnsi="Arial" w:cs="Arial"/>
        </w:rPr>
      </w:pPr>
      <w:r w:rsidRPr="00AA0AEA">
        <w:rPr>
          <w:rFonts w:ascii="Arial" w:hAnsi="Arial"/>
        </w:rPr>
        <w:t>UdSSR</w:t>
      </w:r>
      <w:r>
        <w:rPr>
          <w:rFonts w:ascii="Arial" w:hAnsi="Arial"/>
        </w:rPr>
        <w:t xml:space="preserve"> – </w:t>
      </w:r>
      <w:r w:rsidRPr="00AB16DA">
        <w:rPr>
          <w:rFonts w:ascii="Arial" w:hAnsi="Arial"/>
        </w:rPr>
        <w:t>Union der Sozialistischen Sowjetrepubliken</w:t>
      </w:r>
    </w:p>
    <w:p w14:paraId="17262316" w14:textId="77777777" w:rsidR="009759CA" w:rsidRDefault="009759CA" w:rsidP="009759CA">
      <w:pPr>
        <w:rPr>
          <w:rFonts w:ascii="Arial" w:hAnsi="Arial" w:cs="Arial"/>
        </w:rPr>
      </w:pPr>
    </w:p>
    <w:p w14:paraId="2D1CCC0C" w14:textId="77777777" w:rsidR="009759CA" w:rsidRDefault="009759CA" w:rsidP="009759CA">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44CCC605" w14:textId="77777777" w:rsidR="00121761" w:rsidRPr="00C21DD1" w:rsidRDefault="009759CA" w:rsidP="009759CA">
      <w:pPr>
        <w:rPr>
          <w:rFonts w:ascii="Arial" w:hAnsi="Arial"/>
          <w:color w:val="000000"/>
        </w:rPr>
      </w:pPr>
      <w:r>
        <w:rPr>
          <w:rFonts w:ascii="Arial" w:hAnsi="Arial"/>
          <w:sz w:val="20"/>
          <w:szCs w:val="20"/>
        </w:rPr>
        <w:t xml:space="preserve">Bundeszentrale für politische Bildung 2016 | </w:t>
      </w:r>
      <w:hyperlink r:id="rId6" w:history="1">
        <w:r w:rsidRPr="00DB72F5">
          <w:rPr>
            <w:rFonts w:ascii="Arial" w:hAnsi="Arial"/>
            <w:sz w:val="20"/>
            <w:szCs w:val="20"/>
          </w:rPr>
          <w:t>www.bpb.de</w:t>
        </w:r>
      </w:hyperlink>
    </w:p>
    <w:sectPr w:rsidR="00121761" w:rsidRPr="00C21DD1">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0CC657" w15:done="0"/>
  <w15:commentEx w15:paraId="7E1C367F" w15:paraIdParent="610CC657" w15:done="0"/>
  <w15:commentEx w15:paraId="21792F20" w15:done="0"/>
  <w15:commentEx w15:paraId="3CA74A68" w15:paraIdParent="21792F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lk, Merle Kristin">
    <w15:presenceInfo w15:providerId="None" w15:userId="Tilk, Merle Kristin"/>
  </w15:person>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13"/>
    <w:rsid w:val="00012764"/>
    <w:rsid w:val="00061F54"/>
    <w:rsid w:val="00081565"/>
    <w:rsid w:val="00081B32"/>
    <w:rsid w:val="000D250C"/>
    <w:rsid w:val="00101F8D"/>
    <w:rsid w:val="00121761"/>
    <w:rsid w:val="00124891"/>
    <w:rsid w:val="00155FB2"/>
    <w:rsid w:val="00180811"/>
    <w:rsid w:val="00187C0E"/>
    <w:rsid w:val="00194078"/>
    <w:rsid w:val="001A5C02"/>
    <w:rsid w:val="001C61A2"/>
    <w:rsid w:val="001E25EA"/>
    <w:rsid w:val="002127A1"/>
    <w:rsid w:val="00301501"/>
    <w:rsid w:val="00305766"/>
    <w:rsid w:val="00305860"/>
    <w:rsid w:val="003232C7"/>
    <w:rsid w:val="00341761"/>
    <w:rsid w:val="00373328"/>
    <w:rsid w:val="0037652F"/>
    <w:rsid w:val="00387E25"/>
    <w:rsid w:val="003F2EBE"/>
    <w:rsid w:val="00407896"/>
    <w:rsid w:val="004442D1"/>
    <w:rsid w:val="00452572"/>
    <w:rsid w:val="00490564"/>
    <w:rsid w:val="00494377"/>
    <w:rsid w:val="004C25B9"/>
    <w:rsid w:val="004E2BC7"/>
    <w:rsid w:val="00507911"/>
    <w:rsid w:val="00520F2B"/>
    <w:rsid w:val="005546FC"/>
    <w:rsid w:val="005D0D0B"/>
    <w:rsid w:val="006425CA"/>
    <w:rsid w:val="006A65F8"/>
    <w:rsid w:val="007020AE"/>
    <w:rsid w:val="00714802"/>
    <w:rsid w:val="00824016"/>
    <w:rsid w:val="0083411B"/>
    <w:rsid w:val="008852EF"/>
    <w:rsid w:val="008865EE"/>
    <w:rsid w:val="008B05C5"/>
    <w:rsid w:val="008D5135"/>
    <w:rsid w:val="008E225D"/>
    <w:rsid w:val="008F1B6C"/>
    <w:rsid w:val="009678FF"/>
    <w:rsid w:val="009759CA"/>
    <w:rsid w:val="009A5380"/>
    <w:rsid w:val="009A7FAC"/>
    <w:rsid w:val="009C04D9"/>
    <w:rsid w:val="009E4E91"/>
    <w:rsid w:val="009F3888"/>
    <w:rsid w:val="00A10378"/>
    <w:rsid w:val="00B14017"/>
    <w:rsid w:val="00B311D2"/>
    <w:rsid w:val="00B86233"/>
    <w:rsid w:val="00BE0828"/>
    <w:rsid w:val="00BE0D89"/>
    <w:rsid w:val="00BF5950"/>
    <w:rsid w:val="00C019CF"/>
    <w:rsid w:val="00C21DD1"/>
    <w:rsid w:val="00C232CA"/>
    <w:rsid w:val="00C32AAD"/>
    <w:rsid w:val="00D43625"/>
    <w:rsid w:val="00D47700"/>
    <w:rsid w:val="00D61585"/>
    <w:rsid w:val="00DF213D"/>
    <w:rsid w:val="00E25721"/>
    <w:rsid w:val="00E56232"/>
    <w:rsid w:val="00E74778"/>
    <w:rsid w:val="00E80C56"/>
    <w:rsid w:val="00EA7833"/>
    <w:rsid w:val="00EB2CDC"/>
    <w:rsid w:val="00EC012C"/>
    <w:rsid w:val="00ED2E6F"/>
    <w:rsid w:val="00F30F26"/>
    <w:rsid w:val="00F45AD0"/>
    <w:rsid w:val="00F50DC7"/>
    <w:rsid w:val="00F510CC"/>
    <w:rsid w:val="00F678AF"/>
    <w:rsid w:val="00F7378F"/>
    <w:rsid w:val="00F77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2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F77413"/>
    <w:rPr>
      <w:rFonts w:ascii="Tahoma" w:hAnsi="Tahoma" w:cs="Tahoma"/>
      <w:sz w:val="16"/>
      <w:szCs w:val="16"/>
    </w:rPr>
  </w:style>
  <w:style w:type="character" w:styleId="Fett">
    <w:name w:val="Strong"/>
    <w:uiPriority w:val="22"/>
    <w:qFormat/>
    <w:rsid w:val="009759CA"/>
    <w:rPr>
      <w:b/>
      <w:bCs/>
    </w:rPr>
  </w:style>
  <w:style w:type="paragraph" w:styleId="Kommentarthema">
    <w:name w:val="annotation subject"/>
    <w:basedOn w:val="Kommentartext"/>
    <w:next w:val="Kommentartext"/>
    <w:link w:val="KommentarthemaZchn"/>
    <w:uiPriority w:val="99"/>
    <w:semiHidden/>
    <w:unhideWhenUsed/>
    <w:rsid w:val="00490564"/>
    <w:rPr>
      <w:b/>
      <w:bCs/>
      <w:szCs w:val="20"/>
    </w:rPr>
  </w:style>
  <w:style w:type="character" w:customStyle="1" w:styleId="KommentartextZchn">
    <w:name w:val="Kommentartext Zchn"/>
    <w:basedOn w:val="Absatz-Standardschriftart"/>
    <w:link w:val="Kommentartext"/>
    <w:semiHidden/>
    <w:rsid w:val="00490564"/>
    <w:rPr>
      <w:szCs w:val="24"/>
    </w:rPr>
  </w:style>
  <w:style w:type="character" w:customStyle="1" w:styleId="KommentarthemaZchn">
    <w:name w:val="Kommentarthema Zchn"/>
    <w:basedOn w:val="KommentartextZchn"/>
    <w:link w:val="Kommentarthema"/>
    <w:uiPriority w:val="99"/>
    <w:semiHidden/>
    <w:rsid w:val="00490564"/>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F77413"/>
    <w:rPr>
      <w:rFonts w:ascii="Tahoma" w:hAnsi="Tahoma" w:cs="Tahoma"/>
      <w:sz w:val="16"/>
      <w:szCs w:val="16"/>
    </w:rPr>
  </w:style>
  <w:style w:type="character" w:styleId="Fett">
    <w:name w:val="Strong"/>
    <w:uiPriority w:val="22"/>
    <w:qFormat/>
    <w:rsid w:val="009759CA"/>
    <w:rPr>
      <w:b/>
      <w:bCs/>
    </w:rPr>
  </w:style>
  <w:style w:type="paragraph" w:styleId="Kommentarthema">
    <w:name w:val="annotation subject"/>
    <w:basedOn w:val="Kommentartext"/>
    <w:next w:val="Kommentartext"/>
    <w:link w:val="KommentarthemaZchn"/>
    <w:uiPriority w:val="99"/>
    <w:semiHidden/>
    <w:unhideWhenUsed/>
    <w:rsid w:val="00490564"/>
    <w:rPr>
      <w:b/>
      <w:bCs/>
      <w:szCs w:val="20"/>
    </w:rPr>
  </w:style>
  <w:style w:type="character" w:customStyle="1" w:styleId="KommentartextZchn">
    <w:name w:val="Kommentartext Zchn"/>
    <w:basedOn w:val="Absatz-Standardschriftart"/>
    <w:link w:val="Kommentartext"/>
    <w:semiHidden/>
    <w:rsid w:val="00490564"/>
    <w:rPr>
      <w:szCs w:val="24"/>
    </w:rPr>
  </w:style>
  <w:style w:type="character" w:customStyle="1" w:styleId="KommentarthemaZchn">
    <w:name w:val="Kommentarthema Zchn"/>
    <w:basedOn w:val="KommentartextZchn"/>
    <w:link w:val="Kommentarthema"/>
    <w:uiPriority w:val="99"/>
    <w:semiHidden/>
    <w:rsid w:val="00490564"/>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4909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5</cp:revision>
  <dcterms:created xsi:type="dcterms:W3CDTF">2016-10-13T08:45:00Z</dcterms:created>
  <dcterms:modified xsi:type="dcterms:W3CDTF">2016-10-14T08:39:00Z</dcterms:modified>
</cp:coreProperties>
</file>