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D3991" w14:textId="77777777" w:rsidR="008D00BB" w:rsidRPr="0064146F" w:rsidRDefault="008D00BB" w:rsidP="008D00BB">
      <w:pPr>
        <w:rPr>
          <w:rFonts w:ascii="Arial" w:hAnsi="Arial"/>
          <w:b/>
        </w:rPr>
      </w:pPr>
      <w:bookmarkStart w:id="0" w:name="_GoBack"/>
      <w:bookmarkEnd w:id="0"/>
      <w:r w:rsidRPr="008D00BB">
        <w:rPr>
          <w:rFonts w:ascii="Arial" w:hAnsi="Arial"/>
          <w:b/>
        </w:rPr>
        <w:t xml:space="preserve">Multinationale Unternehmen (MNU) </w:t>
      </w:r>
      <w:r>
        <w:rPr>
          <w:rFonts w:ascii="Arial" w:hAnsi="Arial"/>
          <w:b/>
        </w:rPr>
        <w:t xml:space="preserve">sind zentrale Akteure der </w:t>
      </w:r>
      <w:r w:rsidRPr="008D00BB">
        <w:rPr>
          <w:rFonts w:ascii="Arial" w:hAnsi="Arial"/>
          <w:b/>
        </w:rPr>
        <w:t>Globalisierung</w:t>
      </w:r>
      <w:r>
        <w:rPr>
          <w:rFonts w:ascii="Arial" w:hAnsi="Arial"/>
          <w:b/>
        </w:rPr>
        <w:t xml:space="preserve">. </w:t>
      </w:r>
      <w:r w:rsidRPr="008D00BB">
        <w:rPr>
          <w:rFonts w:ascii="Arial" w:hAnsi="Arial"/>
          <w:b/>
        </w:rPr>
        <w:t>Die – nach Vermögenswerten im Ausland – 100 größten MNU</w:t>
      </w:r>
      <w:r w:rsidR="00293677">
        <w:rPr>
          <w:rFonts w:ascii="Arial" w:hAnsi="Arial"/>
          <w:b/>
        </w:rPr>
        <w:t xml:space="preserve"> h</w:t>
      </w:r>
      <w:r w:rsidRPr="008D00BB">
        <w:rPr>
          <w:rFonts w:ascii="Arial" w:hAnsi="Arial"/>
          <w:b/>
        </w:rPr>
        <w:t xml:space="preserve">atten im Jahr 2015 ein Gesamtvermögen von 12,9 Billionen US-Dollar, davon entfielen </w:t>
      </w:r>
      <w:r>
        <w:rPr>
          <w:rFonts w:ascii="Arial" w:hAnsi="Arial"/>
          <w:b/>
        </w:rPr>
        <w:t xml:space="preserve">62,0 Prozent </w:t>
      </w:r>
      <w:r w:rsidRPr="008D00BB">
        <w:rPr>
          <w:rFonts w:ascii="Arial" w:hAnsi="Arial"/>
          <w:b/>
        </w:rPr>
        <w:t xml:space="preserve">auf das Ausland. Der Umsatz der Top 100 lag bei 7,7 Billionen US-Dollar, wovon </w:t>
      </w:r>
      <w:r>
        <w:rPr>
          <w:rFonts w:ascii="Arial" w:hAnsi="Arial"/>
          <w:b/>
        </w:rPr>
        <w:t xml:space="preserve">64,2 Prozent </w:t>
      </w:r>
      <w:r w:rsidRPr="008D00BB">
        <w:rPr>
          <w:rFonts w:ascii="Arial" w:hAnsi="Arial"/>
          <w:b/>
        </w:rPr>
        <w:t xml:space="preserve">im Ausland erzielt wurden. </w:t>
      </w:r>
      <w:r>
        <w:rPr>
          <w:rFonts w:ascii="Arial" w:hAnsi="Arial"/>
          <w:b/>
        </w:rPr>
        <w:t>Und v</w:t>
      </w:r>
      <w:r w:rsidRPr="008D00BB">
        <w:rPr>
          <w:rFonts w:ascii="Arial" w:hAnsi="Arial"/>
          <w:b/>
        </w:rPr>
        <w:t>on den 16,1 Millionen Beschäftigten der Top 100 MNU waren 56,9 Prozent</w:t>
      </w:r>
      <w:r>
        <w:rPr>
          <w:rFonts w:ascii="Arial" w:hAnsi="Arial"/>
          <w:b/>
        </w:rPr>
        <w:t xml:space="preserve"> im Ausland unter Vertrag</w:t>
      </w:r>
      <w:r w:rsidRPr="008D00BB">
        <w:rPr>
          <w:rFonts w:ascii="Arial" w:hAnsi="Arial"/>
          <w:b/>
        </w:rPr>
        <w:t>.</w:t>
      </w:r>
      <w:r>
        <w:rPr>
          <w:rFonts w:ascii="Arial" w:hAnsi="Arial"/>
          <w:b/>
        </w:rPr>
        <w:t xml:space="preserve"> </w:t>
      </w:r>
      <w:r w:rsidR="0064146F" w:rsidRPr="008D00BB">
        <w:rPr>
          <w:rFonts w:ascii="Arial" w:hAnsi="Arial"/>
          <w:b/>
        </w:rPr>
        <w:t>Insgesamt erhöhte sich das Auslandsengagement der MNU in den letzten zwei Jahrzehnten deutlich</w:t>
      </w:r>
      <w:r w:rsidR="0064146F">
        <w:rPr>
          <w:rFonts w:ascii="Arial" w:hAnsi="Arial"/>
          <w:b/>
        </w:rPr>
        <w:t>.</w:t>
      </w:r>
      <w:r w:rsidR="0064146F" w:rsidRPr="0064146F">
        <w:rPr>
          <w:rFonts w:ascii="Arial" w:hAnsi="Arial"/>
          <w:b/>
        </w:rPr>
        <w:t xml:space="preserve"> </w:t>
      </w:r>
      <w:r w:rsidRPr="008D00BB">
        <w:rPr>
          <w:rFonts w:ascii="Arial" w:hAnsi="Arial"/>
          <w:b/>
        </w:rPr>
        <w:t>In der Gruppe der nach Vermögenswerten im Ausland 100 größten MNU ist die ökonomische Bedeutung nochmals stark konzentriert: Allein auf die Top 10 MNU entfielen 25,4 Prozent der Vermögenswerte und 25,1 Prozent des Umsatzes</w:t>
      </w:r>
      <w:r>
        <w:rPr>
          <w:rFonts w:ascii="Arial" w:hAnsi="Arial"/>
          <w:b/>
        </w:rPr>
        <w:t xml:space="preserve">. </w:t>
      </w:r>
      <w:r w:rsidRPr="0064146F">
        <w:rPr>
          <w:rFonts w:ascii="Arial" w:hAnsi="Arial"/>
          <w:b/>
        </w:rPr>
        <w:t>Im Jahr 2015 hatten von den 100 größten MNU 92 ihren Hauptsitz in einem ökonomisch entwickelten Staat. Acht MNU hatten ihren Hauptsitz in einem ökonomisch sich entwickelnden Staat.</w:t>
      </w:r>
    </w:p>
    <w:p w14:paraId="63B6186F" w14:textId="77777777" w:rsidR="008D00BB" w:rsidRPr="0064146F" w:rsidRDefault="008D00BB" w:rsidP="008D00BB">
      <w:pPr>
        <w:rPr>
          <w:rFonts w:ascii="Arial" w:hAnsi="Arial"/>
          <w:b/>
        </w:rPr>
      </w:pPr>
    </w:p>
    <w:p w14:paraId="5BD45355" w14:textId="77777777" w:rsidR="00D25A9E" w:rsidRPr="00F35CB4" w:rsidRDefault="00866A9F" w:rsidP="00D25A9E">
      <w:pPr>
        <w:rPr>
          <w:rFonts w:ascii="Arial" w:hAnsi="Arial"/>
        </w:rPr>
      </w:pPr>
      <w:r w:rsidRPr="00B07C7C">
        <w:rPr>
          <w:rFonts w:ascii="Arial" w:hAnsi="Arial"/>
          <w:color w:val="FF0000"/>
        </w:rPr>
        <w:t>Fakten</w:t>
      </w:r>
    </w:p>
    <w:p w14:paraId="7B8DCB20" w14:textId="77777777" w:rsidR="0075307D" w:rsidRPr="00B35942" w:rsidRDefault="0075307D">
      <w:pPr>
        <w:rPr>
          <w:rFonts w:ascii="Arial" w:hAnsi="Arial"/>
        </w:rPr>
      </w:pPr>
    </w:p>
    <w:p w14:paraId="09B6965F" w14:textId="77777777" w:rsidR="006270F9" w:rsidRDefault="00780729" w:rsidP="00780729">
      <w:pPr>
        <w:rPr>
          <w:rFonts w:ascii="Arial" w:hAnsi="Arial"/>
        </w:rPr>
      </w:pPr>
      <w:r>
        <w:rPr>
          <w:rFonts w:ascii="Arial" w:hAnsi="Arial"/>
        </w:rPr>
        <w:t>Multinationale Unternehmen (MNU) können als treibende Kraft der Globalisierung betrachtet werden, da sie über die organisatorischen, technischen und finanziellen Ressourcen verfügen, um eine Strategie des 'global-</w:t>
      </w:r>
      <w:proofErr w:type="spellStart"/>
      <w:r>
        <w:rPr>
          <w:rFonts w:ascii="Arial" w:hAnsi="Arial"/>
        </w:rPr>
        <w:t>sourcing</w:t>
      </w:r>
      <w:proofErr w:type="spellEnd"/>
      <w:r>
        <w:rPr>
          <w:rFonts w:ascii="Arial" w:hAnsi="Arial"/>
        </w:rPr>
        <w:t>' umzusetzen. Durch brancheninterne Fusionen, Unternehmenskäufe und -beteiligungen bzw. durch die hieraus resultierende Markterschließung, Marktsicherung und Kostenersparnis haben die MNU ihre Marktmacht weiter ausgebaut</w:t>
      </w:r>
      <w:r w:rsidR="006270F9">
        <w:rPr>
          <w:rFonts w:ascii="Arial" w:hAnsi="Arial"/>
        </w:rPr>
        <w:t>.</w:t>
      </w:r>
    </w:p>
    <w:p w14:paraId="3CB364D9" w14:textId="77777777" w:rsidR="006270F9" w:rsidRDefault="006270F9" w:rsidP="00780729">
      <w:pPr>
        <w:rPr>
          <w:rFonts w:ascii="Arial" w:hAnsi="Arial"/>
        </w:rPr>
      </w:pPr>
    </w:p>
    <w:p w14:paraId="4930A45C" w14:textId="77777777" w:rsidR="006270F9" w:rsidRDefault="00780729" w:rsidP="00780729">
      <w:pPr>
        <w:rPr>
          <w:rFonts w:ascii="Arial" w:hAnsi="Arial"/>
        </w:rPr>
      </w:pPr>
      <w:r w:rsidRPr="00391E5F">
        <w:rPr>
          <w:rFonts w:ascii="Arial" w:hAnsi="Arial"/>
        </w:rPr>
        <w:t xml:space="preserve">Die – nach Vermögenswerten im Ausland – 100 größten MNU hatten im Jahr 2015 </w:t>
      </w:r>
      <w:r w:rsidR="00391E5F" w:rsidRPr="00391E5F">
        <w:rPr>
          <w:rFonts w:ascii="Arial" w:hAnsi="Arial"/>
        </w:rPr>
        <w:t xml:space="preserve">ein Gesamtvermögen von 12,9 Billionen US-Dollar, davon </w:t>
      </w:r>
      <w:r w:rsidR="00391E5F">
        <w:rPr>
          <w:rFonts w:ascii="Arial" w:hAnsi="Arial"/>
        </w:rPr>
        <w:t xml:space="preserve">entfielen </w:t>
      </w:r>
      <w:r w:rsidR="00391E5F" w:rsidRPr="00391E5F">
        <w:rPr>
          <w:rFonts w:ascii="Arial" w:hAnsi="Arial"/>
        </w:rPr>
        <w:t xml:space="preserve">8,0 Billionen US-Dollar </w:t>
      </w:r>
      <w:r w:rsidR="00391E5F">
        <w:rPr>
          <w:rFonts w:ascii="Arial" w:hAnsi="Arial"/>
        </w:rPr>
        <w:t xml:space="preserve">auf das </w:t>
      </w:r>
      <w:r w:rsidR="00391E5F" w:rsidRPr="00391E5F">
        <w:rPr>
          <w:rFonts w:ascii="Arial" w:hAnsi="Arial"/>
        </w:rPr>
        <w:t xml:space="preserve">Ausland (62,0 Prozent). Der Umsatz der Top 100 lag im selben Jahr bei 7,7 Billionen US-Dollar, </w:t>
      </w:r>
      <w:r w:rsidR="009E22FD">
        <w:rPr>
          <w:rFonts w:ascii="Arial" w:hAnsi="Arial"/>
        </w:rPr>
        <w:t xml:space="preserve">wovon </w:t>
      </w:r>
      <w:r w:rsidR="00391E5F" w:rsidRPr="00391E5F">
        <w:rPr>
          <w:rFonts w:ascii="Arial" w:hAnsi="Arial"/>
        </w:rPr>
        <w:t xml:space="preserve">4,9 Billionen US-Dollar im Ausland erzielt </w:t>
      </w:r>
      <w:r w:rsidR="009E22FD">
        <w:rPr>
          <w:rFonts w:ascii="Arial" w:hAnsi="Arial"/>
        </w:rPr>
        <w:t xml:space="preserve">wurden </w:t>
      </w:r>
      <w:r w:rsidR="00391E5F" w:rsidRPr="00391E5F">
        <w:rPr>
          <w:rFonts w:ascii="Arial" w:hAnsi="Arial"/>
        </w:rPr>
        <w:t>(64,2 Prozent). Von den 16,1 Millionen Beschäftigten der Top 100 MNU waren 9,2 Millionen in ausländischen Tochtergesellschaften beschäftigt (56,9 Prozent)</w:t>
      </w:r>
      <w:r w:rsidR="006270F9">
        <w:rPr>
          <w:rFonts w:ascii="Arial" w:hAnsi="Arial"/>
        </w:rPr>
        <w:t>.</w:t>
      </w:r>
    </w:p>
    <w:p w14:paraId="6A1E3ADB" w14:textId="77777777" w:rsidR="006270F9" w:rsidRDefault="006270F9" w:rsidP="00780729">
      <w:pPr>
        <w:rPr>
          <w:rFonts w:ascii="Arial" w:hAnsi="Arial"/>
        </w:rPr>
      </w:pPr>
    </w:p>
    <w:p w14:paraId="24C4D0CE" w14:textId="77777777" w:rsidR="006270F9" w:rsidRDefault="0075307D" w:rsidP="006F7D3D">
      <w:pPr>
        <w:rPr>
          <w:rFonts w:ascii="Arial" w:hAnsi="Arial"/>
        </w:rPr>
      </w:pPr>
      <w:r w:rsidRPr="009E22FD">
        <w:rPr>
          <w:rFonts w:ascii="Arial" w:hAnsi="Arial"/>
        </w:rPr>
        <w:t xml:space="preserve">In der Gruppe der </w:t>
      </w:r>
      <w:r w:rsidR="009E22FD" w:rsidRPr="00391E5F">
        <w:rPr>
          <w:rFonts w:ascii="Arial" w:hAnsi="Arial"/>
        </w:rPr>
        <w:t>nach Vermögenswerten im Ausland 100 größten MNU</w:t>
      </w:r>
      <w:r w:rsidR="009E22FD" w:rsidRPr="009E22FD">
        <w:rPr>
          <w:rFonts w:ascii="Arial" w:hAnsi="Arial"/>
        </w:rPr>
        <w:t xml:space="preserve"> </w:t>
      </w:r>
      <w:r w:rsidRPr="009E22FD">
        <w:rPr>
          <w:rFonts w:ascii="Arial" w:hAnsi="Arial"/>
        </w:rPr>
        <w:t xml:space="preserve">ist die ökonomische Bedeutung nochmals stark konzentriert: </w:t>
      </w:r>
      <w:r w:rsidR="009E22FD" w:rsidRPr="009E22FD">
        <w:rPr>
          <w:rFonts w:ascii="Arial" w:hAnsi="Arial"/>
        </w:rPr>
        <w:t xml:space="preserve">Allein auf die Top 10 MNU entfielen 25,4 Prozent der </w:t>
      </w:r>
      <w:r w:rsidR="009E22FD" w:rsidRPr="00391E5F">
        <w:rPr>
          <w:rFonts w:ascii="Arial" w:hAnsi="Arial"/>
        </w:rPr>
        <w:t xml:space="preserve">Vermögenswerte </w:t>
      </w:r>
      <w:r w:rsidR="009E22FD">
        <w:rPr>
          <w:rFonts w:ascii="Arial" w:hAnsi="Arial"/>
        </w:rPr>
        <w:t xml:space="preserve">(3,3 </w:t>
      </w:r>
      <w:r w:rsidR="009E22FD" w:rsidRPr="00391E5F">
        <w:rPr>
          <w:rFonts w:ascii="Arial" w:hAnsi="Arial"/>
        </w:rPr>
        <w:t>Billionen US-Dollar</w:t>
      </w:r>
      <w:r w:rsidR="009E22FD">
        <w:rPr>
          <w:rFonts w:ascii="Arial" w:hAnsi="Arial"/>
        </w:rPr>
        <w:t xml:space="preserve">) und 25,1 Prozent des Umsatzes (1,9 </w:t>
      </w:r>
      <w:r w:rsidR="009E22FD" w:rsidRPr="00391E5F">
        <w:rPr>
          <w:rFonts w:ascii="Arial" w:hAnsi="Arial"/>
        </w:rPr>
        <w:t>Billionen US-Dollar</w:t>
      </w:r>
      <w:r w:rsidR="009E22FD">
        <w:rPr>
          <w:rFonts w:ascii="Arial" w:hAnsi="Arial"/>
        </w:rPr>
        <w:t>). Der Anteil an den Beschäftigten lag mit 11,9 Prozent nur leicht über dem Durchschnitt (1,9 Millionen)</w:t>
      </w:r>
      <w:r w:rsidR="006270F9">
        <w:rPr>
          <w:rFonts w:ascii="Arial" w:hAnsi="Arial"/>
        </w:rPr>
        <w:t>. V</w:t>
      </w:r>
      <w:r w:rsidR="00EE7443" w:rsidRPr="00977C59">
        <w:rPr>
          <w:rFonts w:ascii="Arial" w:hAnsi="Arial"/>
        </w:rPr>
        <w:t xml:space="preserve">on den </w:t>
      </w:r>
      <w:r w:rsidR="006F7D3D" w:rsidRPr="00977C59">
        <w:rPr>
          <w:rFonts w:ascii="Arial" w:hAnsi="Arial"/>
        </w:rPr>
        <w:t>Vermögenswerte</w:t>
      </w:r>
      <w:r w:rsidR="00EE7443" w:rsidRPr="00977C59">
        <w:rPr>
          <w:rFonts w:ascii="Arial" w:hAnsi="Arial"/>
        </w:rPr>
        <w:t xml:space="preserve">n der Top 10 </w:t>
      </w:r>
      <w:r w:rsidR="007740C3">
        <w:rPr>
          <w:rFonts w:ascii="Arial" w:hAnsi="Arial"/>
        </w:rPr>
        <w:t xml:space="preserve">MNU </w:t>
      </w:r>
      <w:r w:rsidR="006F7D3D" w:rsidRPr="00977C59">
        <w:rPr>
          <w:rFonts w:ascii="Arial" w:hAnsi="Arial"/>
        </w:rPr>
        <w:t xml:space="preserve">entfielen </w:t>
      </w:r>
      <w:r w:rsidR="00EE7443" w:rsidRPr="00977C59">
        <w:rPr>
          <w:rFonts w:ascii="Arial" w:hAnsi="Arial"/>
        </w:rPr>
        <w:t xml:space="preserve">65,9 Prozent </w:t>
      </w:r>
      <w:r w:rsidR="006F7D3D" w:rsidRPr="00977C59">
        <w:rPr>
          <w:rFonts w:ascii="Arial" w:hAnsi="Arial"/>
        </w:rPr>
        <w:t>auf das Ausland</w:t>
      </w:r>
      <w:r w:rsidR="00977C59" w:rsidRPr="00977C59">
        <w:rPr>
          <w:rFonts w:ascii="Arial" w:hAnsi="Arial"/>
        </w:rPr>
        <w:t xml:space="preserve">, 66,5 Prozent des Gesamtumsatzes wurden im Ausland erzielt und 57,0 der Beschäftigten der Top 10 MNU waren </w:t>
      </w:r>
      <w:r w:rsidR="006F7D3D" w:rsidRPr="00977C59">
        <w:rPr>
          <w:rFonts w:ascii="Arial" w:hAnsi="Arial"/>
        </w:rPr>
        <w:t>im Ausland unter Vertrag</w:t>
      </w:r>
      <w:r w:rsidR="006270F9">
        <w:rPr>
          <w:rFonts w:ascii="Arial" w:hAnsi="Arial"/>
        </w:rPr>
        <w:t>.</w:t>
      </w:r>
    </w:p>
    <w:p w14:paraId="2D8B423C" w14:textId="77777777" w:rsidR="006270F9" w:rsidRDefault="006270F9" w:rsidP="006F7D3D">
      <w:pPr>
        <w:rPr>
          <w:rFonts w:ascii="Arial" w:hAnsi="Arial"/>
        </w:rPr>
      </w:pPr>
    </w:p>
    <w:p w14:paraId="5278B1A4" w14:textId="77777777" w:rsidR="006270F9" w:rsidRDefault="0075307D" w:rsidP="00762D35">
      <w:pPr>
        <w:rPr>
          <w:rFonts w:ascii="Arial" w:hAnsi="Arial"/>
        </w:rPr>
      </w:pPr>
      <w:r w:rsidRPr="00273571">
        <w:rPr>
          <w:rFonts w:ascii="Arial" w:hAnsi="Arial"/>
        </w:rPr>
        <w:t xml:space="preserve">Der Transnationalisierungsindex (TNI), der die Aktivitäten eines Unternehmens im Ausland misst, </w:t>
      </w:r>
      <w:r w:rsidR="00861070" w:rsidRPr="00273571">
        <w:rPr>
          <w:rFonts w:ascii="Arial" w:hAnsi="Arial"/>
        </w:rPr>
        <w:t xml:space="preserve">lag </w:t>
      </w:r>
      <w:r w:rsidR="00762D35" w:rsidRPr="00273571">
        <w:rPr>
          <w:rFonts w:ascii="Arial" w:hAnsi="Arial"/>
        </w:rPr>
        <w:t xml:space="preserve">2015 </w:t>
      </w:r>
      <w:r w:rsidR="007740C3">
        <w:rPr>
          <w:rFonts w:ascii="Arial" w:hAnsi="Arial"/>
        </w:rPr>
        <w:t xml:space="preserve">bei den </w:t>
      </w:r>
      <w:r w:rsidR="00762D35" w:rsidRPr="00273571">
        <w:rPr>
          <w:rFonts w:ascii="Arial" w:hAnsi="Arial"/>
        </w:rPr>
        <w:t xml:space="preserve">Top 10 </w:t>
      </w:r>
      <w:r w:rsidR="00861070" w:rsidRPr="00273571">
        <w:rPr>
          <w:rFonts w:ascii="Arial" w:hAnsi="Arial"/>
        </w:rPr>
        <w:t>M</w:t>
      </w:r>
      <w:r w:rsidRPr="00273571">
        <w:rPr>
          <w:rFonts w:ascii="Arial" w:hAnsi="Arial"/>
        </w:rPr>
        <w:t xml:space="preserve">NU bei </w:t>
      </w:r>
      <w:r w:rsidR="007740C3">
        <w:rPr>
          <w:rFonts w:ascii="Arial" w:hAnsi="Arial"/>
        </w:rPr>
        <w:t xml:space="preserve">durchschnittlich </w:t>
      </w:r>
      <w:r w:rsidR="00861070" w:rsidRPr="00273571">
        <w:rPr>
          <w:rFonts w:ascii="Arial" w:hAnsi="Arial"/>
        </w:rPr>
        <w:t>65,</w:t>
      </w:r>
      <w:r w:rsidR="00762D35" w:rsidRPr="00273571">
        <w:rPr>
          <w:rFonts w:ascii="Arial" w:hAnsi="Arial"/>
        </w:rPr>
        <w:t>3</w:t>
      </w:r>
      <w:r w:rsidR="00861070" w:rsidRPr="00273571">
        <w:rPr>
          <w:rFonts w:ascii="Arial" w:hAnsi="Arial"/>
        </w:rPr>
        <w:t xml:space="preserve"> Prozent</w:t>
      </w:r>
      <w:r w:rsidR="00762D35" w:rsidRPr="00273571">
        <w:rPr>
          <w:rFonts w:ascii="Arial" w:hAnsi="Arial"/>
        </w:rPr>
        <w:t>. Dab</w:t>
      </w:r>
      <w:r w:rsidRPr="00273571">
        <w:rPr>
          <w:rFonts w:ascii="Arial" w:hAnsi="Arial"/>
        </w:rPr>
        <w:t xml:space="preserve">ei war der </w:t>
      </w:r>
      <w:r w:rsidR="00861070" w:rsidRPr="00273571">
        <w:rPr>
          <w:rFonts w:ascii="Arial" w:hAnsi="Arial"/>
        </w:rPr>
        <w:t>Wert des TNI</w:t>
      </w:r>
      <w:r w:rsidRPr="00273571">
        <w:rPr>
          <w:rFonts w:ascii="Arial" w:hAnsi="Arial"/>
        </w:rPr>
        <w:t xml:space="preserve"> bei dem</w:t>
      </w:r>
      <w:r w:rsidR="00762D35" w:rsidRPr="00273571">
        <w:rPr>
          <w:rFonts w:ascii="Arial" w:hAnsi="Arial"/>
        </w:rPr>
        <w:t xml:space="preserve"> T</w:t>
      </w:r>
      <w:r w:rsidRPr="00273571">
        <w:rPr>
          <w:rFonts w:ascii="Arial" w:hAnsi="Arial"/>
        </w:rPr>
        <w:t>elekommunikationsunternehmen Vodafone am höchsten (8</w:t>
      </w:r>
      <w:r w:rsidR="00762D35" w:rsidRPr="00273571">
        <w:rPr>
          <w:rFonts w:ascii="Arial" w:hAnsi="Arial"/>
        </w:rPr>
        <w:t>1</w:t>
      </w:r>
      <w:r w:rsidRPr="00273571">
        <w:rPr>
          <w:rFonts w:ascii="Arial" w:hAnsi="Arial"/>
        </w:rPr>
        <w:t>,</w:t>
      </w:r>
      <w:r w:rsidR="00762D35" w:rsidRPr="00273571">
        <w:rPr>
          <w:rFonts w:ascii="Arial" w:hAnsi="Arial"/>
        </w:rPr>
        <w:t>2</w:t>
      </w:r>
      <w:r w:rsidRPr="00273571">
        <w:rPr>
          <w:rFonts w:ascii="Arial" w:hAnsi="Arial"/>
        </w:rPr>
        <w:t xml:space="preserve"> Prozent) und bei dem Energie</w:t>
      </w:r>
      <w:r w:rsidR="00762D35" w:rsidRPr="00273571">
        <w:rPr>
          <w:rFonts w:ascii="Arial" w:hAnsi="Arial"/>
        </w:rPr>
        <w:t>unternehmen Chevron</w:t>
      </w:r>
      <w:r w:rsidRPr="00273571">
        <w:rPr>
          <w:rFonts w:ascii="Arial" w:hAnsi="Arial"/>
        </w:rPr>
        <w:t xml:space="preserve"> am niedrigsten (</w:t>
      </w:r>
      <w:r w:rsidR="00762D35" w:rsidRPr="00273571">
        <w:rPr>
          <w:rFonts w:ascii="Arial" w:hAnsi="Arial"/>
        </w:rPr>
        <w:t>53</w:t>
      </w:r>
      <w:r w:rsidRPr="00273571">
        <w:rPr>
          <w:rFonts w:ascii="Arial" w:hAnsi="Arial"/>
        </w:rPr>
        <w:t>,</w:t>
      </w:r>
      <w:r w:rsidR="00762D35" w:rsidRPr="00273571">
        <w:rPr>
          <w:rFonts w:ascii="Arial" w:hAnsi="Arial"/>
        </w:rPr>
        <w:t>7</w:t>
      </w:r>
      <w:r w:rsidRPr="00273571">
        <w:rPr>
          <w:rFonts w:ascii="Arial" w:hAnsi="Arial"/>
        </w:rPr>
        <w:t xml:space="preserve"> Prozent).</w:t>
      </w:r>
      <w:r w:rsidR="00762D35" w:rsidRPr="00273571">
        <w:rPr>
          <w:rFonts w:ascii="Arial" w:hAnsi="Arial"/>
        </w:rPr>
        <w:t xml:space="preserve"> Insgesamt </w:t>
      </w:r>
      <w:r w:rsidR="007740C3" w:rsidRPr="00273571">
        <w:rPr>
          <w:rFonts w:ascii="Arial" w:hAnsi="Arial"/>
        </w:rPr>
        <w:t>erhöht</w:t>
      </w:r>
      <w:r w:rsidR="007740C3">
        <w:rPr>
          <w:rFonts w:ascii="Arial" w:hAnsi="Arial"/>
        </w:rPr>
        <w:t>e</w:t>
      </w:r>
      <w:r w:rsidR="00762D35" w:rsidRPr="00273571">
        <w:rPr>
          <w:rFonts w:ascii="Arial" w:hAnsi="Arial"/>
        </w:rPr>
        <w:t xml:space="preserve"> sich da</w:t>
      </w:r>
      <w:r w:rsidRPr="00273571">
        <w:rPr>
          <w:rFonts w:ascii="Arial" w:hAnsi="Arial"/>
        </w:rPr>
        <w:t xml:space="preserve">s Auslandsengagement der </w:t>
      </w:r>
      <w:r w:rsidR="00762D35" w:rsidRPr="00273571">
        <w:rPr>
          <w:rFonts w:ascii="Arial" w:hAnsi="Arial"/>
        </w:rPr>
        <w:t>M</w:t>
      </w:r>
      <w:r w:rsidRPr="00273571">
        <w:rPr>
          <w:rFonts w:ascii="Arial" w:hAnsi="Arial"/>
        </w:rPr>
        <w:t xml:space="preserve">NU in den letzten </w:t>
      </w:r>
      <w:r w:rsidR="007740C3">
        <w:rPr>
          <w:rFonts w:ascii="Arial" w:hAnsi="Arial"/>
        </w:rPr>
        <w:t xml:space="preserve">zwei </w:t>
      </w:r>
      <w:r w:rsidRPr="00273571">
        <w:rPr>
          <w:rFonts w:ascii="Arial" w:hAnsi="Arial"/>
        </w:rPr>
        <w:t>Jahr</w:t>
      </w:r>
      <w:r w:rsidR="007740C3">
        <w:rPr>
          <w:rFonts w:ascii="Arial" w:hAnsi="Arial"/>
        </w:rPr>
        <w:t>zehnten</w:t>
      </w:r>
      <w:r w:rsidRPr="00273571">
        <w:rPr>
          <w:rFonts w:ascii="Arial" w:hAnsi="Arial"/>
        </w:rPr>
        <w:t xml:space="preserve"> deutlich: Zwischen 1995 und 2000 </w:t>
      </w:r>
      <w:r w:rsidR="007740C3">
        <w:rPr>
          <w:rFonts w:ascii="Arial" w:hAnsi="Arial"/>
        </w:rPr>
        <w:t xml:space="preserve">stieg </w:t>
      </w:r>
      <w:r w:rsidRPr="00273571">
        <w:rPr>
          <w:rFonts w:ascii="Arial" w:hAnsi="Arial"/>
        </w:rPr>
        <w:t xml:space="preserve">der TNI-Wert der </w:t>
      </w:r>
      <w:r w:rsidR="00762D35" w:rsidRPr="00273571">
        <w:rPr>
          <w:rFonts w:ascii="Arial" w:hAnsi="Arial"/>
        </w:rPr>
        <w:t xml:space="preserve">Top </w:t>
      </w:r>
      <w:r w:rsidRPr="00273571">
        <w:rPr>
          <w:rFonts w:ascii="Arial" w:hAnsi="Arial"/>
        </w:rPr>
        <w:t xml:space="preserve">100 </w:t>
      </w:r>
      <w:r w:rsidR="00762D35" w:rsidRPr="00273571">
        <w:rPr>
          <w:rFonts w:ascii="Arial" w:hAnsi="Arial"/>
        </w:rPr>
        <w:t>M</w:t>
      </w:r>
      <w:r w:rsidRPr="00273571">
        <w:rPr>
          <w:rFonts w:ascii="Arial" w:hAnsi="Arial"/>
        </w:rPr>
        <w:t xml:space="preserve">NU von </w:t>
      </w:r>
      <w:r w:rsidR="005178D2">
        <w:rPr>
          <w:rFonts w:ascii="Arial" w:hAnsi="Arial"/>
        </w:rPr>
        <w:t xml:space="preserve">durchschnittlich </w:t>
      </w:r>
      <w:r w:rsidRPr="00273571">
        <w:rPr>
          <w:rFonts w:ascii="Arial" w:hAnsi="Arial"/>
        </w:rPr>
        <w:t>51,5 auf 55,7 Prozent</w:t>
      </w:r>
      <w:r w:rsidR="00273571">
        <w:rPr>
          <w:rFonts w:ascii="Arial" w:hAnsi="Arial"/>
        </w:rPr>
        <w:t xml:space="preserve"> und zwischen 2005 und 2</w:t>
      </w:r>
      <w:r w:rsidRPr="00273571">
        <w:rPr>
          <w:rFonts w:ascii="Arial" w:hAnsi="Arial"/>
        </w:rPr>
        <w:t>0</w:t>
      </w:r>
      <w:r w:rsidR="00762D35" w:rsidRPr="00273571">
        <w:rPr>
          <w:rFonts w:ascii="Arial" w:hAnsi="Arial"/>
        </w:rPr>
        <w:t>15</w:t>
      </w:r>
      <w:r w:rsidRPr="00273571">
        <w:rPr>
          <w:rFonts w:ascii="Arial" w:hAnsi="Arial"/>
        </w:rPr>
        <w:t xml:space="preserve"> </w:t>
      </w:r>
      <w:r w:rsidR="00273571">
        <w:rPr>
          <w:rFonts w:ascii="Arial" w:hAnsi="Arial"/>
        </w:rPr>
        <w:t xml:space="preserve">von </w:t>
      </w:r>
      <w:r w:rsidR="00273571" w:rsidRPr="00273571">
        <w:rPr>
          <w:rFonts w:ascii="Arial" w:hAnsi="Arial"/>
        </w:rPr>
        <w:t xml:space="preserve">59,9 </w:t>
      </w:r>
      <w:r w:rsidR="00273571">
        <w:rPr>
          <w:rFonts w:ascii="Arial" w:hAnsi="Arial"/>
        </w:rPr>
        <w:t xml:space="preserve">auf </w:t>
      </w:r>
      <w:r w:rsidRPr="00273571">
        <w:rPr>
          <w:rFonts w:ascii="Arial" w:hAnsi="Arial"/>
        </w:rPr>
        <w:t>6</w:t>
      </w:r>
      <w:r w:rsidR="00762D35" w:rsidRPr="00273571">
        <w:rPr>
          <w:rFonts w:ascii="Arial" w:hAnsi="Arial"/>
        </w:rPr>
        <w:t>5</w:t>
      </w:r>
      <w:r w:rsidRPr="00273571">
        <w:rPr>
          <w:rFonts w:ascii="Arial" w:hAnsi="Arial"/>
        </w:rPr>
        <w:t xml:space="preserve">,4 Prozent. </w:t>
      </w:r>
      <w:r w:rsidRPr="00762D35">
        <w:rPr>
          <w:rFonts w:ascii="Arial" w:hAnsi="Arial"/>
        </w:rPr>
        <w:t>Im Jahr 20</w:t>
      </w:r>
      <w:r w:rsidR="00762D35" w:rsidRPr="00762D35">
        <w:rPr>
          <w:rFonts w:ascii="Arial" w:hAnsi="Arial"/>
        </w:rPr>
        <w:t>15</w:t>
      </w:r>
      <w:r w:rsidRPr="00762D35">
        <w:rPr>
          <w:rFonts w:ascii="Arial" w:hAnsi="Arial"/>
        </w:rPr>
        <w:t xml:space="preserve"> hatten 8</w:t>
      </w:r>
      <w:r w:rsidR="00762D35" w:rsidRPr="00762D35">
        <w:rPr>
          <w:rFonts w:ascii="Arial" w:hAnsi="Arial"/>
        </w:rPr>
        <w:t>4</w:t>
      </w:r>
      <w:r w:rsidRPr="00762D35">
        <w:rPr>
          <w:rFonts w:ascii="Arial" w:hAnsi="Arial"/>
        </w:rPr>
        <w:t xml:space="preserve"> der 100 größten </w:t>
      </w:r>
      <w:r w:rsidR="00273571">
        <w:rPr>
          <w:rFonts w:ascii="Arial" w:hAnsi="Arial"/>
        </w:rPr>
        <w:t>M</w:t>
      </w:r>
      <w:r w:rsidRPr="00762D35">
        <w:rPr>
          <w:rFonts w:ascii="Arial" w:hAnsi="Arial"/>
        </w:rPr>
        <w:t>NU einen TNI-Wert von mindestens 50 Prozent</w:t>
      </w:r>
      <w:r w:rsidR="006270F9">
        <w:rPr>
          <w:rFonts w:ascii="Arial" w:hAnsi="Arial"/>
        </w:rPr>
        <w:t>.</w:t>
      </w:r>
    </w:p>
    <w:p w14:paraId="7B43C31B" w14:textId="77777777" w:rsidR="006270F9" w:rsidRDefault="006270F9" w:rsidP="00762D35">
      <w:pPr>
        <w:rPr>
          <w:rFonts w:ascii="Arial" w:hAnsi="Arial"/>
        </w:rPr>
      </w:pPr>
    </w:p>
    <w:p w14:paraId="71A0DD8A" w14:textId="77777777" w:rsidR="006270F9" w:rsidRDefault="0075307D" w:rsidP="00273571">
      <w:pPr>
        <w:rPr>
          <w:rFonts w:ascii="Arial" w:hAnsi="Arial"/>
        </w:rPr>
      </w:pPr>
      <w:r w:rsidRPr="00273571">
        <w:rPr>
          <w:rFonts w:ascii="Arial" w:hAnsi="Arial"/>
        </w:rPr>
        <w:lastRenderedPageBreak/>
        <w:t xml:space="preserve">Trotz der zunehmenden Transnationalisierung bleibt </w:t>
      </w:r>
      <w:r w:rsidR="00273571" w:rsidRPr="00273571">
        <w:rPr>
          <w:rFonts w:ascii="Arial" w:hAnsi="Arial"/>
        </w:rPr>
        <w:t xml:space="preserve">die ökonomische Bedeutung des jeweiligen Heimatmarktes </w:t>
      </w:r>
      <w:r w:rsidRPr="00273571">
        <w:rPr>
          <w:rFonts w:ascii="Arial" w:hAnsi="Arial"/>
        </w:rPr>
        <w:t>bei den meisten Unternehmen groß</w:t>
      </w:r>
      <w:r w:rsidR="007740C3">
        <w:rPr>
          <w:rFonts w:ascii="Arial" w:hAnsi="Arial"/>
        </w:rPr>
        <w:t xml:space="preserve">. Der Hauptgrund hierfür ist, dass </w:t>
      </w:r>
      <w:r w:rsidRPr="00273571">
        <w:rPr>
          <w:rFonts w:ascii="Arial" w:hAnsi="Arial"/>
        </w:rPr>
        <w:t>sich die Auslandsvermögenswerte, der Auslandsumsatz und die</w:t>
      </w:r>
      <w:r w:rsidR="007740C3">
        <w:rPr>
          <w:rFonts w:ascii="Arial" w:hAnsi="Arial"/>
        </w:rPr>
        <w:t xml:space="preserve"> i</w:t>
      </w:r>
      <w:r w:rsidRPr="00273571">
        <w:rPr>
          <w:rFonts w:ascii="Arial" w:hAnsi="Arial"/>
        </w:rPr>
        <w:t xml:space="preserve">m Ausland beschäftigten Personen </w:t>
      </w:r>
      <w:r w:rsidR="00D83393">
        <w:rPr>
          <w:rFonts w:ascii="Arial" w:hAnsi="Arial"/>
        </w:rPr>
        <w:t xml:space="preserve">in der Regel </w:t>
      </w:r>
      <w:r w:rsidRPr="00273571">
        <w:rPr>
          <w:rFonts w:ascii="Arial" w:hAnsi="Arial"/>
        </w:rPr>
        <w:t>auf eine Vielzahl von Staaten verteilen</w:t>
      </w:r>
      <w:r w:rsidR="00C16000">
        <w:rPr>
          <w:rFonts w:ascii="Arial" w:hAnsi="Arial"/>
        </w:rPr>
        <w:t>: D</w:t>
      </w:r>
      <w:r w:rsidR="00D83393">
        <w:rPr>
          <w:rFonts w:ascii="Arial" w:hAnsi="Arial"/>
        </w:rPr>
        <w:t>ie Zahl der Staaten, in denen die Top 100 MNU im Jahr 2015 mit Tochterunternehmen vertreten waren, l</w:t>
      </w:r>
      <w:r w:rsidR="007740C3">
        <w:rPr>
          <w:rFonts w:ascii="Arial" w:hAnsi="Arial"/>
        </w:rPr>
        <w:t>a</w:t>
      </w:r>
      <w:r w:rsidR="00D83393">
        <w:rPr>
          <w:rFonts w:ascii="Arial" w:hAnsi="Arial"/>
        </w:rPr>
        <w:t>g im Durchschnitt bei mehr als 50</w:t>
      </w:r>
      <w:r w:rsidR="006270F9">
        <w:rPr>
          <w:rFonts w:ascii="Arial" w:hAnsi="Arial"/>
        </w:rPr>
        <w:t>.</w:t>
      </w:r>
    </w:p>
    <w:p w14:paraId="435FE55A" w14:textId="77777777" w:rsidR="006270F9" w:rsidRDefault="006270F9" w:rsidP="00273571">
      <w:pPr>
        <w:rPr>
          <w:rFonts w:ascii="Arial" w:hAnsi="Arial"/>
        </w:rPr>
      </w:pPr>
    </w:p>
    <w:p w14:paraId="50EE8F07" w14:textId="77777777" w:rsidR="006270F9" w:rsidRDefault="0075307D">
      <w:pPr>
        <w:rPr>
          <w:rFonts w:ascii="Arial" w:hAnsi="Arial"/>
        </w:rPr>
      </w:pPr>
      <w:r w:rsidRPr="00B07C7C">
        <w:rPr>
          <w:rFonts w:ascii="Arial" w:hAnsi="Arial"/>
        </w:rPr>
        <w:t xml:space="preserve">Die zehn größten </w:t>
      </w:r>
      <w:r w:rsidR="00B07C7C">
        <w:rPr>
          <w:rFonts w:ascii="Arial" w:hAnsi="Arial"/>
        </w:rPr>
        <w:t>M</w:t>
      </w:r>
      <w:r w:rsidRPr="00B07C7C">
        <w:rPr>
          <w:rFonts w:ascii="Arial" w:hAnsi="Arial"/>
        </w:rPr>
        <w:t>NU des Jahres 20</w:t>
      </w:r>
      <w:r w:rsidR="00C16000">
        <w:rPr>
          <w:rFonts w:ascii="Arial" w:hAnsi="Arial"/>
        </w:rPr>
        <w:t>15</w:t>
      </w:r>
      <w:r w:rsidRPr="00B07C7C">
        <w:rPr>
          <w:rFonts w:ascii="Arial" w:hAnsi="Arial"/>
        </w:rPr>
        <w:t xml:space="preserve"> hatten ihren Hauptsitz alle in </w:t>
      </w:r>
      <w:r w:rsidR="008D00BB">
        <w:rPr>
          <w:rFonts w:ascii="Arial" w:hAnsi="Arial"/>
        </w:rPr>
        <w:t xml:space="preserve">einem </w:t>
      </w:r>
      <w:r w:rsidRPr="00B07C7C">
        <w:rPr>
          <w:rFonts w:ascii="Arial" w:hAnsi="Arial"/>
        </w:rPr>
        <w:t>ökonomisch entwickelten Staat (USA (</w:t>
      </w:r>
      <w:r w:rsidR="00B07C7C" w:rsidRPr="00B07C7C">
        <w:rPr>
          <w:rFonts w:ascii="Arial" w:hAnsi="Arial"/>
        </w:rPr>
        <w:t>4</w:t>
      </w:r>
      <w:r w:rsidRPr="00B07C7C">
        <w:rPr>
          <w:rFonts w:ascii="Arial" w:hAnsi="Arial"/>
        </w:rPr>
        <w:t xml:space="preserve">), </w:t>
      </w:r>
      <w:r w:rsidR="00B07C7C" w:rsidRPr="00B07C7C">
        <w:rPr>
          <w:rFonts w:ascii="Arial" w:hAnsi="Arial"/>
        </w:rPr>
        <w:t xml:space="preserve">Vereinigtes Königreich (3), Japan, </w:t>
      </w:r>
      <w:r w:rsidRPr="00B07C7C">
        <w:rPr>
          <w:rFonts w:ascii="Arial" w:hAnsi="Arial"/>
        </w:rPr>
        <w:t xml:space="preserve">Frankreich </w:t>
      </w:r>
      <w:r w:rsidR="00B07C7C" w:rsidRPr="00B07C7C">
        <w:rPr>
          <w:rFonts w:ascii="Arial" w:hAnsi="Arial"/>
        </w:rPr>
        <w:t xml:space="preserve">und </w:t>
      </w:r>
      <w:r w:rsidRPr="00B07C7C">
        <w:rPr>
          <w:rFonts w:ascii="Arial" w:hAnsi="Arial"/>
        </w:rPr>
        <w:t xml:space="preserve">Deutschland). Von den 100 größten </w:t>
      </w:r>
      <w:r w:rsidR="00B07C7C" w:rsidRPr="00B07C7C">
        <w:rPr>
          <w:rFonts w:ascii="Arial" w:hAnsi="Arial"/>
        </w:rPr>
        <w:t>M</w:t>
      </w:r>
      <w:r w:rsidRPr="00B07C7C">
        <w:rPr>
          <w:rFonts w:ascii="Arial" w:hAnsi="Arial"/>
        </w:rPr>
        <w:t xml:space="preserve">NU </w:t>
      </w:r>
      <w:r w:rsidR="00B07C7C" w:rsidRPr="00B07C7C">
        <w:rPr>
          <w:rFonts w:ascii="Arial" w:hAnsi="Arial"/>
        </w:rPr>
        <w:t xml:space="preserve">hatten </w:t>
      </w:r>
      <w:r w:rsidRPr="00B07C7C">
        <w:rPr>
          <w:rFonts w:ascii="Arial" w:hAnsi="Arial"/>
        </w:rPr>
        <w:t xml:space="preserve">im selben Jahr </w:t>
      </w:r>
      <w:r w:rsidR="00B07C7C" w:rsidRPr="00B07C7C">
        <w:rPr>
          <w:rFonts w:ascii="Arial" w:hAnsi="Arial"/>
        </w:rPr>
        <w:t>58</w:t>
      </w:r>
      <w:r w:rsidRPr="00B07C7C">
        <w:rPr>
          <w:rFonts w:ascii="Arial" w:hAnsi="Arial"/>
        </w:rPr>
        <w:t xml:space="preserve"> </w:t>
      </w:r>
      <w:r w:rsidR="00B07C7C" w:rsidRPr="00B07C7C">
        <w:rPr>
          <w:rFonts w:ascii="Arial" w:hAnsi="Arial"/>
        </w:rPr>
        <w:t xml:space="preserve">ihren Hauptsitz in </w:t>
      </w:r>
      <w:r w:rsidRPr="00B07C7C">
        <w:rPr>
          <w:rFonts w:ascii="Arial" w:hAnsi="Arial"/>
        </w:rPr>
        <w:t>Europa (darunter 1</w:t>
      </w:r>
      <w:r w:rsidR="00B07C7C" w:rsidRPr="00B07C7C">
        <w:rPr>
          <w:rFonts w:ascii="Arial" w:hAnsi="Arial"/>
        </w:rPr>
        <w:t>7</w:t>
      </w:r>
      <w:r w:rsidRPr="00B07C7C">
        <w:rPr>
          <w:rFonts w:ascii="Arial" w:hAnsi="Arial"/>
        </w:rPr>
        <w:t xml:space="preserve"> </w:t>
      </w:r>
      <w:r w:rsidR="00B07C7C" w:rsidRPr="00B07C7C">
        <w:rPr>
          <w:rFonts w:ascii="Arial" w:hAnsi="Arial"/>
        </w:rPr>
        <w:t>im Vereinigten Königreich, 13 in Deutschland</w:t>
      </w:r>
      <w:r w:rsidR="00B930FD">
        <w:rPr>
          <w:rFonts w:ascii="Arial" w:hAnsi="Arial"/>
        </w:rPr>
        <w:t>, 9</w:t>
      </w:r>
      <w:r w:rsidR="00113293">
        <w:rPr>
          <w:rFonts w:ascii="Arial" w:hAnsi="Arial"/>
        </w:rPr>
        <w:t xml:space="preserve"> </w:t>
      </w:r>
      <w:r w:rsidR="00B07C7C" w:rsidRPr="00B07C7C">
        <w:rPr>
          <w:rFonts w:ascii="Arial" w:hAnsi="Arial"/>
        </w:rPr>
        <w:t xml:space="preserve">in </w:t>
      </w:r>
      <w:r w:rsidRPr="00B07C7C">
        <w:rPr>
          <w:rFonts w:ascii="Arial" w:hAnsi="Arial"/>
        </w:rPr>
        <w:t>Frankreich</w:t>
      </w:r>
      <w:r w:rsidR="00B930FD">
        <w:rPr>
          <w:rFonts w:ascii="Arial" w:hAnsi="Arial"/>
        </w:rPr>
        <w:t xml:space="preserve"> und 5 in der Schweiz</w:t>
      </w:r>
      <w:r w:rsidRPr="00B07C7C">
        <w:rPr>
          <w:rFonts w:ascii="Arial" w:hAnsi="Arial"/>
        </w:rPr>
        <w:t>)</w:t>
      </w:r>
      <w:r w:rsidR="00113293">
        <w:rPr>
          <w:rFonts w:ascii="Arial" w:hAnsi="Arial"/>
        </w:rPr>
        <w:t xml:space="preserve">. </w:t>
      </w:r>
      <w:r w:rsidR="00B07C7C" w:rsidRPr="00113293">
        <w:rPr>
          <w:rFonts w:ascii="Arial" w:hAnsi="Arial"/>
        </w:rPr>
        <w:t>21</w:t>
      </w:r>
      <w:r w:rsidR="00113293" w:rsidRPr="00113293">
        <w:rPr>
          <w:rFonts w:ascii="Arial" w:hAnsi="Arial"/>
        </w:rPr>
        <w:t xml:space="preserve"> MNU hatten ihren Hauptsitz </w:t>
      </w:r>
      <w:r w:rsidR="00B07C7C" w:rsidRPr="00113293">
        <w:rPr>
          <w:rFonts w:ascii="Arial" w:hAnsi="Arial"/>
        </w:rPr>
        <w:t xml:space="preserve">in den </w:t>
      </w:r>
      <w:r w:rsidRPr="00113293">
        <w:rPr>
          <w:rFonts w:ascii="Arial" w:hAnsi="Arial"/>
        </w:rPr>
        <w:t xml:space="preserve">USA, </w:t>
      </w:r>
      <w:r w:rsidR="00113293" w:rsidRPr="00113293">
        <w:rPr>
          <w:rFonts w:ascii="Arial" w:hAnsi="Arial"/>
        </w:rPr>
        <w:t>11</w:t>
      </w:r>
      <w:r w:rsidR="00B07C7C" w:rsidRPr="00113293">
        <w:rPr>
          <w:rFonts w:ascii="Arial" w:hAnsi="Arial"/>
        </w:rPr>
        <w:t xml:space="preserve"> in </w:t>
      </w:r>
      <w:r w:rsidRPr="00113293">
        <w:rPr>
          <w:rFonts w:ascii="Arial" w:hAnsi="Arial"/>
        </w:rPr>
        <w:t>Japan</w:t>
      </w:r>
      <w:r w:rsidR="00113293" w:rsidRPr="00113293">
        <w:rPr>
          <w:rFonts w:ascii="Arial" w:hAnsi="Arial"/>
        </w:rPr>
        <w:t xml:space="preserve"> und jeweils ein MNU war in Australien und Israel ansässig. Acht MNU hatten ihren Hauptsitz in einem </w:t>
      </w:r>
      <w:r w:rsidR="00113293" w:rsidRPr="00B07C7C">
        <w:rPr>
          <w:rFonts w:ascii="Arial" w:hAnsi="Arial"/>
        </w:rPr>
        <w:t xml:space="preserve">ökonomisch </w:t>
      </w:r>
      <w:r w:rsidR="00113293">
        <w:rPr>
          <w:rFonts w:ascii="Arial" w:hAnsi="Arial"/>
        </w:rPr>
        <w:t xml:space="preserve">sich </w:t>
      </w:r>
      <w:r w:rsidR="00113293" w:rsidRPr="00B07C7C">
        <w:rPr>
          <w:rFonts w:ascii="Arial" w:hAnsi="Arial"/>
        </w:rPr>
        <w:t>entwickeln</w:t>
      </w:r>
      <w:r w:rsidR="00113293">
        <w:rPr>
          <w:rFonts w:ascii="Arial" w:hAnsi="Arial"/>
        </w:rPr>
        <w:t>den</w:t>
      </w:r>
      <w:r w:rsidR="00113293" w:rsidRPr="00B07C7C">
        <w:rPr>
          <w:rFonts w:ascii="Arial" w:hAnsi="Arial"/>
        </w:rPr>
        <w:t xml:space="preserve"> Staat</w:t>
      </w:r>
      <w:r w:rsidR="00113293">
        <w:rPr>
          <w:rFonts w:ascii="Arial" w:hAnsi="Arial"/>
        </w:rPr>
        <w:t xml:space="preserve"> (China (2 plus Hong</w:t>
      </w:r>
      <w:r w:rsidR="00C16000">
        <w:rPr>
          <w:rFonts w:ascii="Arial" w:hAnsi="Arial"/>
        </w:rPr>
        <w:t>k</w:t>
      </w:r>
      <w:r w:rsidR="00113293">
        <w:rPr>
          <w:rFonts w:ascii="Arial" w:hAnsi="Arial"/>
        </w:rPr>
        <w:t>ong), Brasilien, Malaysia, Mexiko, Südkorea und Taiwan)</w:t>
      </w:r>
      <w:r w:rsidR="006270F9">
        <w:rPr>
          <w:rFonts w:ascii="Arial" w:hAnsi="Arial"/>
        </w:rPr>
        <w:t>. 1</w:t>
      </w:r>
      <w:r w:rsidRPr="00113293">
        <w:rPr>
          <w:rFonts w:ascii="Arial" w:hAnsi="Arial"/>
        </w:rPr>
        <w:t xml:space="preserve">993 hatte von den 100 größten </w:t>
      </w:r>
      <w:r w:rsidR="00113293">
        <w:rPr>
          <w:rFonts w:ascii="Arial" w:hAnsi="Arial"/>
        </w:rPr>
        <w:t>M</w:t>
      </w:r>
      <w:r w:rsidRPr="00113293">
        <w:rPr>
          <w:rFonts w:ascii="Arial" w:hAnsi="Arial"/>
        </w:rPr>
        <w:t>NU kein einziges Unternehmen seinen Hauptsitz in einem ökonomisch sich entwickelnden</w:t>
      </w:r>
      <w:r w:rsidR="00113293">
        <w:rPr>
          <w:rFonts w:ascii="Arial" w:hAnsi="Arial"/>
        </w:rPr>
        <w:t xml:space="preserve"> Staat</w:t>
      </w:r>
      <w:r w:rsidR="006270F9">
        <w:rPr>
          <w:rFonts w:ascii="Arial" w:hAnsi="Arial"/>
        </w:rPr>
        <w:t>.</w:t>
      </w:r>
    </w:p>
    <w:p w14:paraId="6AF1D782" w14:textId="77777777" w:rsidR="006270F9" w:rsidRDefault="006270F9">
      <w:pPr>
        <w:rPr>
          <w:rFonts w:ascii="Arial" w:hAnsi="Arial"/>
        </w:rPr>
      </w:pPr>
    </w:p>
    <w:p w14:paraId="5AE57981" w14:textId="77777777" w:rsidR="006270F9" w:rsidRDefault="0075307D">
      <w:pPr>
        <w:autoSpaceDE w:val="0"/>
        <w:autoSpaceDN w:val="0"/>
        <w:adjustRightInd w:val="0"/>
        <w:rPr>
          <w:rFonts w:ascii="Arial" w:hAnsi="Arial"/>
        </w:rPr>
      </w:pPr>
      <w:r w:rsidRPr="00AA2412">
        <w:rPr>
          <w:rFonts w:ascii="Arial" w:hAnsi="Arial"/>
        </w:rPr>
        <w:t xml:space="preserve">Von den 100 größten </w:t>
      </w:r>
      <w:r w:rsidR="00113293" w:rsidRPr="00AA2412">
        <w:rPr>
          <w:rFonts w:ascii="Arial" w:hAnsi="Arial"/>
        </w:rPr>
        <w:t>M</w:t>
      </w:r>
      <w:r w:rsidRPr="00AA2412">
        <w:rPr>
          <w:rFonts w:ascii="Arial" w:hAnsi="Arial"/>
        </w:rPr>
        <w:t xml:space="preserve">NU, die </w:t>
      </w:r>
      <w:r w:rsidR="00AA2412" w:rsidRPr="00AA2412">
        <w:rPr>
          <w:rFonts w:ascii="Arial" w:hAnsi="Arial"/>
        </w:rPr>
        <w:t>im Jahr 20</w:t>
      </w:r>
      <w:r w:rsidR="00C16000">
        <w:rPr>
          <w:rFonts w:ascii="Arial" w:hAnsi="Arial"/>
        </w:rPr>
        <w:t>14</w:t>
      </w:r>
      <w:r w:rsidR="00AA2412" w:rsidRPr="00AA2412">
        <w:rPr>
          <w:rFonts w:ascii="Arial" w:hAnsi="Arial"/>
        </w:rPr>
        <w:t xml:space="preserve"> </w:t>
      </w:r>
      <w:r w:rsidRPr="00AA2412">
        <w:rPr>
          <w:rFonts w:ascii="Arial" w:hAnsi="Arial"/>
        </w:rPr>
        <w:t>ihren Hauptsitz in den ökonomisch sich entwickelnden Staaten, in Süd-Osteuropa oder der GUS ha</w:t>
      </w:r>
      <w:r w:rsidR="00AA2412" w:rsidRPr="00AA2412">
        <w:rPr>
          <w:rFonts w:ascii="Arial" w:hAnsi="Arial"/>
        </w:rPr>
        <w:t>tt</w:t>
      </w:r>
      <w:r w:rsidRPr="00AA2412">
        <w:rPr>
          <w:rFonts w:ascii="Arial" w:hAnsi="Arial"/>
        </w:rPr>
        <w:t xml:space="preserve">en, </w:t>
      </w:r>
      <w:r w:rsidR="00AA2412" w:rsidRPr="00AA2412">
        <w:rPr>
          <w:rFonts w:ascii="Arial" w:hAnsi="Arial"/>
        </w:rPr>
        <w:t>entfielen 33</w:t>
      </w:r>
      <w:r w:rsidRPr="00AA2412">
        <w:rPr>
          <w:rFonts w:ascii="Arial" w:hAnsi="Arial"/>
        </w:rPr>
        <w:t xml:space="preserve"> au</w:t>
      </w:r>
      <w:r w:rsidR="00AA2412" w:rsidRPr="00AA2412">
        <w:rPr>
          <w:rFonts w:ascii="Arial" w:hAnsi="Arial"/>
        </w:rPr>
        <w:t>f</w:t>
      </w:r>
      <w:r w:rsidRPr="00AA2412">
        <w:rPr>
          <w:rFonts w:ascii="Arial" w:hAnsi="Arial"/>
        </w:rPr>
        <w:t xml:space="preserve"> China (darunter 1</w:t>
      </w:r>
      <w:r w:rsidR="00AA2412" w:rsidRPr="00AA2412">
        <w:rPr>
          <w:rFonts w:ascii="Arial" w:hAnsi="Arial"/>
        </w:rPr>
        <w:t>7</w:t>
      </w:r>
      <w:r w:rsidRPr="00AA2412">
        <w:rPr>
          <w:rFonts w:ascii="Arial" w:hAnsi="Arial"/>
        </w:rPr>
        <w:t xml:space="preserve"> au</w:t>
      </w:r>
      <w:r w:rsidR="00AA2412" w:rsidRPr="00AA2412">
        <w:rPr>
          <w:rFonts w:ascii="Arial" w:hAnsi="Arial"/>
        </w:rPr>
        <w:t>f</w:t>
      </w:r>
      <w:r w:rsidRPr="00AA2412">
        <w:rPr>
          <w:rFonts w:ascii="Arial" w:hAnsi="Arial"/>
        </w:rPr>
        <w:t xml:space="preserve"> Hongkong), </w:t>
      </w:r>
      <w:r w:rsidR="00AA2412" w:rsidRPr="00AA2412">
        <w:rPr>
          <w:rFonts w:ascii="Arial" w:hAnsi="Arial"/>
        </w:rPr>
        <w:t>10 auf Singapur, jeweils 8 auf Indien und Taiwan</w:t>
      </w:r>
      <w:r w:rsidR="00C16000">
        <w:rPr>
          <w:rFonts w:ascii="Arial" w:hAnsi="Arial"/>
        </w:rPr>
        <w:t xml:space="preserve">, </w:t>
      </w:r>
      <w:r w:rsidR="00AA2412" w:rsidRPr="00AA2412">
        <w:rPr>
          <w:rFonts w:ascii="Arial" w:hAnsi="Arial"/>
        </w:rPr>
        <w:t>jeweils 7 auf Südafrika und Südkorea sowie jeweils 5 auf Brasilien und Malaysia</w:t>
      </w:r>
      <w:r w:rsidRPr="00AA2412">
        <w:rPr>
          <w:rFonts w:ascii="Arial" w:hAnsi="Arial"/>
        </w:rPr>
        <w:t>.</w:t>
      </w:r>
      <w:r w:rsidR="00AA2412" w:rsidRPr="00AA2412">
        <w:rPr>
          <w:rFonts w:ascii="Arial" w:hAnsi="Arial"/>
        </w:rPr>
        <w:t xml:space="preserve"> Darauf folgten Mexiko (4), die Vereinigten Arabischen Emirate (3)</w:t>
      </w:r>
      <w:r w:rsidR="004964B5">
        <w:rPr>
          <w:rFonts w:ascii="Arial" w:hAnsi="Arial"/>
        </w:rPr>
        <w:t xml:space="preserve">, </w:t>
      </w:r>
      <w:r w:rsidR="00AA2412" w:rsidRPr="00AA2412">
        <w:rPr>
          <w:rFonts w:ascii="Arial" w:hAnsi="Arial"/>
        </w:rPr>
        <w:t>Russland (2)</w:t>
      </w:r>
      <w:r w:rsidR="004964B5">
        <w:rPr>
          <w:rFonts w:ascii="Arial" w:hAnsi="Arial"/>
        </w:rPr>
        <w:t xml:space="preserve"> und acht weitere Staaten, in denen jeweils ein MNU ansässig war</w:t>
      </w:r>
      <w:r w:rsidR="006270F9">
        <w:rPr>
          <w:rFonts w:ascii="Arial" w:hAnsi="Arial"/>
        </w:rPr>
        <w:t>.</w:t>
      </w:r>
    </w:p>
    <w:p w14:paraId="30733DA1" w14:textId="77777777" w:rsidR="006270F9" w:rsidRDefault="006270F9">
      <w:pPr>
        <w:autoSpaceDE w:val="0"/>
        <w:autoSpaceDN w:val="0"/>
        <w:adjustRightInd w:val="0"/>
        <w:rPr>
          <w:rFonts w:ascii="Arial" w:hAnsi="Arial"/>
        </w:rPr>
      </w:pPr>
    </w:p>
    <w:p w14:paraId="50101551" w14:textId="77777777" w:rsidR="0075307D" w:rsidRPr="008D00BB" w:rsidRDefault="0075307D">
      <w:pPr>
        <w:rPr>
          <w:rFonts w:ascii="Arial" w:hAnsi="Arial"/>
          <w:color w:val="FF0000"/>
          <w:lang w:val="en-US"/>
        </w:rPr>
      </w:pPr>
      <w:proofErr w:type="spellStart"/>
      <w:r w:rsidRPr="008D00BB">
        <w:rPr>
          <w:rFonts w:ascii="Arial" w:hAnsi="Arial"/>
          <w:color w:val="FF0000"/>
          <w:lang w:val="en-US"/>
        </w:rPr>
        <w:t>Datenquelle</w:t>
      </w:r>
      <w:proofErr w:type="spellEnd"/>
    </w:p>
    <w:p w14:paraId="140E9760" w14:textId="77777777" w:rsidR="0075307D" w:rsidRPr="008D00BB" w:rsidRDefault="0075307D" w:rsidP="00AA2412">
      <w:pPr>
        <w:autoSpaceDE w:val="0"/>
        <w:autoSpaceDN w:val="0"/>
        <w:adjustRightInd w:val="0"/>
        <w:rPr>
          <w:rFonts w:ascii="Arial" w:hAnsi="Arial"/>
          <w:lang w:val="en-US"/>
        </w:rPr>
      </w:pPr>
    </w:p>
    <w:p w14:paraId="0ED1F447" w14:textId="77777777" w:rsidR="0075307D" w:rsidRDefault="0075307D">
      <w:pPr>
        <w:rPr>
          <w:rFonts w:ascii="Arial" w:hAnsi="Arial"/>
          <w:lang w:val="en-GB"/>
        </w:rPr>
      </w:pPr>
      <w:r>
        <w:rPr>
          <w:rFonts w:ascii="Arial" w:hAnsi="Arial"/>
          <w:lang w:val="en-GB"/>
        </w:rPr>
        <w:t>United Nations Conference on Trade and Development (UNCTAD): World Investment Report</w:t>
      </w:r>
      <w:r w:rsidR="000A2A73">
        <w:rPr>
          <w:rFonts w:ascii="Arial" w:hAnsi="Arial"/>
          <w:lang w:val="en-GB"/>
        </w:rPr>
        <w:t xml:space="preserve"> 2016</w:t>
      </w:r>
    </w:p>
    <w:p w14:paraId="2794F653" w14:textId="77777777" w:rsidR="0075307D" w:rsidRDefault="0075307D">
      <w:pPr>
        <w:rPr>
          <w:rFonts w:ascii="Arial" w:hAnsi="Arial"/>
          <w:lang w:val="en-GB"/>
        </w:rPr>
      </w:pPr>
    </w:p>
    <w:p w14:paraId="18BAA047" w14:textId="77777777" w:rsidR="0075307D" w:rsidRDefault="0075307D">
      <w:pPr>
        <w:rPr>
          <w:rFonts w:ascii="Arial" w:hAnsi="Arial"/>
          <w:color w:val="FF0000"/>
        </w:rPr>
      </w:pPr>
      <w:r>
        <w:rPr>
          <w:rFonts w:ascii="Arial" w:hAnsi="Arial"/>
          <w:color w:val="FF0000"/>
        </w:rPr>
        <w:t>Begriffe, methodische Anmerkungen oder Lesehilfen</w:t>
      </w:r>
    </w:p>
    <w:p w14:paraId="4AA37A44" w14:textId="77777777" w:rsidR="0075307D" w:rsidRPr="00F35CB4" w:rsidRDefault="0075307D">
      <w:pPr>
        <w:rPr>
          <w:rFonts w:ascii="Arial" w:hAnsi="Arial"/>
        </w:rPr>
      </w:pPr>
    </w:p>
    <w:p w14:paraId="7C965E90" w14:textId="77777777" w:rsidR="006270F9" w:rsidRDefault="00F35CB4">
      <w:pPr>
        <w:rPr>
          <w:rFonts w:ascii="Arial" w:hAnsi="Arial"/>
        </w:rPr>
      </w:pPr>
      <w:r w:rsidRPr="00F35CB4">
        <w:rPr>
          <w:rFonts w:ascii="Arial" w:hAnsi="Arial"/>
        </w:rPr>
        <w:t xml:space="preserve">Die </w:t>
      </w:r>
      <w:r w:rsidR="006F7D3D" w:rsidRPr="007811DB">
        <w:rPr>
          <w:rFonts w:ascii="Arial" w:hAnsi="Arial"/>
          <w:b/>
        </w:rPr>
        <w:t>Multi</w:t>
      </w:r>
      <w:r w:rsidR="006B14A0" w:rsidRPr="007811DB">
        <w:rPr>
          <w:rFonts w:ascii="Arial" w:hAnsi="Arial"/>
          <w:b/>
        </w:rPr>
        <w:t xml:space="preserve">nationalen Unternehmen </w:t>
      </w:r>
      <w:r w:rsidR="006F7D3D" w:rsidRPr="007811DB">
        <w:rPr>
          <w:rFonts w:ascii="Arial" w:hAnsi="Arial"/>
          <w:b/>
        </w:rPr>
        <w:t>(MNU)</w:t>
      </w:r>
      <w:r w:rsidR="006F7D3D" w:rsidRPr="00F35CB4">
        <w:rPr>
          <w:rFonts w:ascii="Arial" w:hAnsi="Arial"/>
        </w:rPr>
        <w:t xml:space="preserve"> </w:t>
      </w:r>
      <w:r w:rsidRPr="00F35CB4">
        <w:rPr>
          <w:rFonts w:ascii="Arial" w:hAnsi="Arial"/>
        </w:rPr>
        <w:t xml:space="preserve">sind </w:t>
      </w:r>
      <w:r w:rsidR="006B14A0" w:rsidRPr="00F35CB4">
        <w:rPr>
          <w:rFonts w:ascii="Arial" w:hAnsi="Arial"/>
        </w:rPr>
        <w:t xml:space="preserve">hier </w:t>
      </w:r>
      <w:r w:rsidRPr="00F35CB4">
        <w:rPr>
          <w:rFonts w:ascii="Arial" w:hAnsi="Arial"/>
        </w:rPr>
        <w:t xml:space="preserve">nach den </w:t>
      </w:r>
      <w:r w:rsidR="00932861" w:rsidRPr="00F35CB4">
        <w:rPr>
          <w:rFonts w:ascii="Arial" w:hAnsi="Arial"/>
        </w:rPr>
        <w:t xml:space="preserve">jeweiligen </w:t>
      </w:r>
      <w:r w:rsidR="006F7D3D" w:rsidRPr="00F35CB4">
        <w:rPr>
          <w:rFonts w:ascii="Arial" w:hAnsi="Arial"/>
        </w:rPr>
        <w:t>Vermögenswerte</w:t>
      </w:r>
      <w:r w:rsidRPr="00F35CB4">
        <w:rPr>
          <w:rFonts w:ascii="Arial" w:hAnsi="Arial"/>
        </w:rPr>
        <w:t>n</w:t>
      </w:r>
      <w:r w:rsidR="006F7D3D" w:rsidRPr="00F35CB4">
        <w:rPr>
          <w:rFonts w:ascii="Arial" w:hAnsi="Arial"/>
        </w:rPr>
        <w:t xml:space="preserve"> </w:t>
      </w:r>
      <w:r w:rsidR="006B14A0" w:rsidRPr="00F35CB4">
        <w:rPr>
          <w:rFonts w:ascii="Arial" w:hAnsi="Arial"/>
        </w:rPr>
        <w:t>im Ausland</w:t>
      </w:r>
      <w:r w:rsidR="00932861" w:rsidRPr="00F35CB4">
        <w:rPr>
          <w:rFonts w:ascii="Arial" w:hAnsi="Arial"/>
        </w:rPr>
        <w:t xml:space="preserve"> </w:t>
      </w:r>
      <w:r w:rsidRPr="00F35CB4">
        <w:rPr>
          <w:rFonts w:ascii="Arial" w:hAnsi="Arial"/>
        </w:rPr>
        <w:t>sortiert</w:t>
      </w:r>
      <w:r w:rsidR="006B14A0" w:rsidRPr="00F35CB4">
        <w:rPr>
          <w:rFonts w:ascii="Arial" w:hAnsi="Arial"/>
        </w:rPr>
        <w:t xml:space="preserve">. Bei Auswahl eines anderen </w:t>
      </w:r>
      <w:r>
        <w:rPr>
          <w:rFonts w:ascii="Arial" w:hAnsi="Arial"/>
        </w:rPr>
        <w:t>Kriterium</w:t>
      </w:r>
      <w:r w:rsidR="006B14A0" w:rsidRPr="00F35CB4">
        <w:rPr>
          <w:rFonts w:ascii="Arial" w:hAnsi="Arial"/>
        </w:rPr>
        <w:t xml:space="preserve">s – zum Beispiel </w:t>
      </w:r>
      <w:r w:rsidR="006F7D3D" w:rsidRPr="00F35CB4">
        <w:rPr>
          <w:rFonts w:ascii="Arial" w:hAnsi="Arial"/>
        </w:rPr>
        <w:t xml:space="preserve">Vermögenswerte </w:t>
      </w:r>
      <w:r w:rsidR="006B14A0" w:rsidRPr="00F35CB4">
        <w:rPr>
          <w:rFonts w:ascii="Arial" w:hAnsi="Arial"/>
        </w:rPr>
        <w:t>im In- und Ausland</w:t>
      </w:r>
      <w:r w:rsidR="00D95854" w:rsidRPr="00F35CB4">
        <w:rPr>
          <w:rFonts w:ascii="Arial" w:hAnsi="Arial"/>
        </w:rPr>
        <w:t xml:space="preserve"> oder Anzahl der Beschäftigten</w:t>
      </w:r>
      <w:r w:rsidR="00195C0F" w:rsidRPr="00F35CB4">
        <w:rPr>
          <w:rFonts w:ascii="Arial" w:hAnsi="Arial"/>
        </w:rPr>
        <w:t xml:space="preserve"> – würde sich die </w:t>
      </w:r>
      <w:r>
        <w:rPr>
          <w:rFonts w:ascii="Arial" w:hAnsi="Arial"/>
        </w:rPr>
        <w:t xml:space="preserve">Rangfolge </w:t>
      </w:r>
      <w:r w:rsidR="00195C0F" w:rsidRPr="00F35CB4">
        <w:rPr>
          <w:rFonts w:ascii="Arial" w:hAnsi="Arial"/>
        </w:rPr>
        <w:t xml:space="preserve">der </w:t>
      </w:r>
      <w:r>
        <w:rPr>
          <w:rFonts w:ascii="Arial" w:hAnsi="Arial"/>
        </w:rPr>
        <w:t xml:space="preserve">Top </w:t>
      </w:r>
      <w:r w:rsidR="00195C0F" w:rsidRPr="00F35CB4">
        <w:rPr>
          <w:rFonts w:ascii="Arial" w:hAnsi="Arial"/>
        </w:rPr>
        <w:t>10</w:t>
      </w:r>
      <w:r w:rsidR="006B14A0" w:rsidRPr="00F35CB4">
        <w:rPr>
          <w:rFonts w:ascii="Arial" w:hAnsi="Arial"/>
        </w:rPr>
        <w:t xml:space="preserve">0 </w:t>
      </w:r>
      <w:r>
        <w:rPr>
          <w:rFonts w:ascii="Arial" w:hAnsi="Arial"/>
        </w:rPr>
        <w:t>M</w:t>
      </w:r>
      <w:r w:rsidR="006B14A0" w:rsidRPr="00F35CB4">
        <w:rPr>
          <w:rFonts w:ascii="Arial" w:hAnsi="Arial"/>
        </w:rPr>
        <w:t>NU entsprechend ändern.</w:t>
      </w:r>
      <w:r w:rsidR="009C3605" w:rsidRPr="009C3605">
        <w:rPr>
          <w:rFonts w:ascii="Arial" w:hAnsi="Arial"/>
        </w:rPr>
        <w:t xml:space="preserve"> Die MNU bestehen aus einem Mutterunternehmen und den dazugehörenden Tochterunternehmen. Bei der Zuordnung der MNU zu den einzelnen Staaten ist der Hauptsitz des Mutterunternehmens entscheidend</w:t>
      </w:r>
      <w:r w:rsidR="006270F9">
        <w:rPr>
          <w:rFonts w:ascii="Arial" w:hAnsi="Arial"/>
        </w:rPr>
        <w:t>.</w:t>
      </w:r>
    </w:p>
    <w:p w14:paraId="2FB6AEAD" w14:textId="77777777" w:rsidR="006270F9" w:rsidRDefault="006270F9">
      <w:pPr>
        <w:rPr>
          <w:rFonts w:ascii="Arial" w:hAnsi="Arial"/>
        </w:rPr>
      </w:pPr>
    </w:p>
    <w:p w14:paraId="0E580023" w14:textId="77777777" w:rsidR="007811DB" w:rsidRDefault="007811DB" w:rsidP="007811DB">
      <w:pPr>
        <w:rPr>
          <w:rFonts w:ascii="Arial" w:hAnsi="Arial"/>
        </w:rPr>
      </w:pPr>
      <w:r w:rsidRPr="00F35CB4">
        <w:rPr>
          <w:rFonts w:ascii="Arial" w:hAnsi="Arial"/>
        </w:rPr>
        <w:t xml:space="preserve">Zur Berechnung des </w:t>
      </w:r>
      <w:r w:rsidRPr="007811DB">
        <w:rPr>
          <w:rFonts w:ascii="Arial" w:hAnsi="Arial"/>
          <w:b/>
        </w:rPr>
        <w:t>Transnationalisierungsindex (TNI)</w:t>
      </w:r>
      <w:r w:rsidRPr="00F35CB4">
        <w:rPr>
          <w:rFonts w:ascii="Arial" w:hAnsi="Arial"/>
        </w:rPr>
        <w:t xml:space="preserve"> wird der prozentuale Anteil der Auslandsvermögenswerte an den Gesamtvermögenswerten, des Auslandsumsatzes am Gesamtumsatz und der Anteil der im Ausland Beschäftigten an der Gesamtbeschäftigung eines Unternehmens errechnet. Der Mittelwert dieser drei Prozentangaben ist gleich dem Wert des </w:t>
      </w:r>
      <w:r>
        <w:rPr>
          <w:rFonts w:ascii="Arial" w:hAnsi="Arial"/>
        </w:rPr>
        <w:t>TNI</w:t>
      </w:r>
      <w:r w:rsidRPr="00F35CB4">
        <w:rPr>
          <w:rFonts w:ascii="Arial" w:hAnsi="Arial"/>
        </w:rPr>
        <w:t>. Je höher der Wert des TNI eines Unternehmens ist, desto ausgeprägter sind die Aktivitäten dieses Unternehmens im Ausland</w:t>
      </w:r>
      <w:r>
        <w:rPr>
          <w:rFonts w:ascii="Arial" w:hAnsi="Arial"/>
        </w:rPr>
        <w:t>.</w:t>
      </w:r>
    </w:p>
    <w:p w14:paraId="6109F7A9" w14:textId="77777777" w:rsidR="007811DB" w:rsidRDefault="007811DB" w:rsidP="007811DB">
      <w:pPr>
        <w:rPr>
          <w:rFonts w:ascii="Arial" w:hAnsi="Arial"/>
        </w:rPr>
      </w:pPr>
    </w:p>
    <w:p w14:paraId="566EEA08" w14:textId="77777777" w:rsidR="006270F9" w:rsidRDefault="006F7D3D">
      <w:pPr>
        <w:rPr>
          <w:rFonts w:ascii="Arial" w:hAnsi="Arial"/>
        </w:rPr>
      </w:pPr>
      <w:r w:rsidRPr="00F35CB4">
        <w:rPr>
          <w:rFonts w:ascii="Arial" w:hAnsi="Arial"/>
        </w:rPr>
        <w:t xml:space="preserve">Zu den </w:t>
      </w:r>
      <w:r w:rsidR="0075307D" w:rsidRPr="007811DB">
        <w:rPr>
          <w:rFonts w:ascii="Arial" w:hAnsi="Arial"/>
          <w:b/>
        </w:rPr>
        <w:t>Vermögenswerte</w:t>
      </w:r>
      <w:r w:rsidRPr="007811DB">
        <w:rPr>
          <w:rFonts w:ascii="Arial" w:hAnsi="Arial"/>
          <w:b/>
        </w:rPr>
        <w:t>n</w:t>
      </w:r>
      <w:r w:rsidR="0075307D" w:rsidRPr="00F35CB4">
        <w:rPr>
          <w:rFonts w:ascii="Arial" w:hAnsi="Arial"/>
        </w:rPr>
        <w:t xml:space="preserve"> eines Unternehmens</w:t>
      </w:r>
      <w:r w:rsidRPr="00F35CB4">
        <w:rPr>
          <w:rFonts w:ascii="Arial" w:hAnsi="Arial"/>
        </w:rPr>
        <w:t xml:space="preserve"> </w:t>
      </w:r>
      <w:r w:rsidR="0075307D" w:rsidRPr="00F35CB4">
        <w:rPr>
          <w:rFonts w:ascii="Arial" w:hAnsi="Arial"/>
        </w:rPr>
        <w:t xml:space="preserve">gehören immaterielle Vermögensgegenstände (Konzessionen, Lizenzen, Patente, Marken), Sachanlagen (Grundstücke, Gebäude, technische Anlagen, Maschinen, Betriebs- und </w:t>
      </w:r>
      <w:r w:rsidR="0075307D" w:rsidRPr="00F35CB4">
        <w:rPr>
          <w:rFonts w:ascii="Arial" w:hAnsi="Arial"/>
        </w:rPr>
        <w:lastRenderedPageBreak/>
        <w:t>Geschäftsausstattung), Finanzanlagen (Unternehmensanteile, Beteiligungen, Wertpapiere des Anlagevermögens), Vorräte (Rohstoffe, Waren), Forderungen, Wertpapiere, Barreserven und andere liquide Mittel</w:t>
      </w:r>
      <w:r w:rsidR="006270F9">
        <w:rPr>
          <w:rFonts w:ascii="Arial" w:hAnsi="Arial"/>
        </w:rPr>
        <w:t>.</w:t>
      </w:r>
    </w:p>
    <w:p w14:paraId="7815145D" w14:textId="77777777" w:rsidR="006270F9" w:rsidRDefault="006270F9">
      <w:pPr>
        <w:rPr>
          <w:rFonts w:ascii="Arial" w:hAnsi="Arial"/>
        </w:rPr>
      </w:pPr>
    </w:p>
    <w:p w14:paraId="5BBB1D5C" w14:textId="77777777" w:rsidR="007811DB" w:rsidRPr="007811DB" w:rsidRDefault="007811DB">
      <w:pPr>
        <w:rPr>
          <w:rFonts w:ascii="Arial" w:hAnsi="Arial"/>
        </w:rPr>
      </w:pPr>
      <w:r w:rsidRPr="007811DB">
        <w:rPr>
          <w:rFonts w:ascii="Arial" w:hAnsi="Arial"/>
        </w:rPr>
        <w:t>GUS – Gemeinschaft Unabhängiger Staaten (CIS – Commonwealth of Independent States)</w:t>
      </w:r>
    </w:p>
    <w:p w14:paraId="346229B7" w14:textId="77777777" w:rsidR="007811DB" w:rsidRDefault="007811DB">
      <w:pPr>
        <w:rPr>
          <w:rFonts w:ascii="Arial" w:hAnsi="Arial"/>
        </w:rPr>
      </w:pPr>
    </w:p>
    <w:p w14:paraId="34E71C69" w14:textId="77777777" w:rsidR="00F35CB4" w:rsidRDefault="00F35CB4" w:rsidP="00F35CB4">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5" w:tgtFrame="extern" w:history="1">
        <w:proofErr w:type="spellStart"/>
        <w:r w:rsidRPr="00DB72F5">
          <w:rPr>
            <w:rFonts w:ascii="Arial" w:hAnsi="Arial"/>
            <w:sz w:val="20"/>
            <w:szCs w:val="20"/>
          </w:rPr>
          <w:t>by-nc-nd</w:t>
        </w:r>
        <w:proofErr w:type="spellEnd"/>
        <w:r w:rsidRPr="00DB72F5">
          <w:rPr>
            <w:rFonts w:ascii="Arial" w:hAnsi="Arial"/>
            <w:sz w:val="20"/>
            <w:szCs w:val="20"/>
          </w:rPr>
          <w:t>/3.0/de/</w:t>
        </w:r>
      </w:hyperlink>
      <w:r>
        <w:rPr>
          <w:rFonts w:ascii="Arial" w:hAnsi="Arial"/>
          <w:sz w:val="20"/>
          <w:szCs w:val="20"/>
        </w:rPr>
        <w:t xml:space="preserve"> veröffentlicht. </w:t>
      </w:r>
    </w:p>
    <w:p w14:paraId="2139B433" w14:textId="77777777" w:rsidR="00AA2412" w:rsidRDefault="00F35CB4">
      <w:pPr>
        <w:rPr>
          <w:rFonts w:ascii="Arial" w:hAnsi="Arial"/>
          <w:sz w:val="20"/>
          <w:szCs w:val="20"/>
        </w:rPr>
      </w:pPr>
      <w:r>
        <w:rPr>
          <w:rFonts w:ascii="Arial" w:hAnsi="Arial"/>
          <w:sz w:val="20"/>
          <w:szCs w:val="20"/>
        </w:rPr>
        <w:t xml:space="preserve">Bundeszentrale für politische Bildung 2017 | </w:t>
      </w:r>
      <w:hyperlink r:id="rId6" w:history="1">
        <w:r w:rsidRPr="00DB72F5">
          <w:rPr>
            <w:rFonts w:ascii="Arial" w:hAnsi="Arial"/>
            <w:sz w:val="20"/>
            <w:szCs w:val="20"/>
          </w:rPr>
          <w:t>www.bpb.de</w:t>
        </w:r>
      </w:hyperlink>
    </w:p>
    <w:sectPr w:rsidR="00AA2412">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CCCBD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662"/>
    <w:rsid w:val="000A2A73"/>
    <w:rsid w:val="00113293"/>
    <w:rsid w:val="0012568B"/>
    <w:rsid w:val="00195C0F"/>
    <w:rsid w:val="001E7D68"/>
    <w:rsid w:val="00221389"/>
    <w:rsid w:val="00273571"/>
    <w:rsid w:val="00293677"/>
    <w:rsid w:val="003279AA"/>
    <w:rsid w:val="00391E5F"/>
    <w:rsid w:val="003C09D0"/>
    <w:rsid w:val="004964B5"/>
    <w:rsid w:val="005178D2"/>
    <w:rsid w:val="006270F9"/>
    <w:rsid w:val="0064146F"/>
    <w:rsid w:val="00644FA9"/>
    <w:rsid w:val="006B14A0"/>
    <w:rsid w:val="006B7F78"/>
    <w:rsid w:val="006C0459"/>
    <w:rsid w:val="006C7A9D"/>
    <w:rsid w:val="006D2E04"/>
    <w:rsid w:val="006F7D3D"/>
    <w:rsid w:val="00726571"/>
    <w:rsid w:val="0075307D"/>
    <w:rsid w:val="00762D35"/>
    <w:rsid w:val="007740C3"/>
    <w:rsid w:val="00780729"/>
    <w:rsid w:val="007811DB"/>
    <w:rsid w:val="00820662"/>
    <w:rsid w:val="00861070"/>
    <w:rsid w:val="00866A9F"/>
    <w:rsid w:val="008D00BB"/>
    <w:rsid w:val="008E238A"/>
    <w:rsid w:val="008F2E31"/>
    <w:rsid w:val="00932861"/>
    <w:rsid w:val="009537D4"/>
    <w:rsid w:val="00977C59"/>
    <w:rsid w:val="009C3605"/>
    <w:rsid w:val="009E22FD"/>
    <w:rsid w:val="00AA2412"/>
    <w:rsid w:val="00B07C7C"/>
    <w:rsid w:val="00B35942"/>
    <w:rsid w:val="00B930FD"/>
    <w:rsid w:val="00BD5270"/>
    <w:rsid w:val="00C16000"/>
    <w:rsid w:val="00C23355"/>
    <w:rsid w:val="00D04679"/>
    <w:rsid w:val="00D25A9E"/>
    <w:rsid w:val="00D83393"/>
    <w:rsid w:val="00D95854"/>
    <w:rsid w:val="00E34894"/>
    <w:rsid w:val="00EA0AD8"/>
    <w:rsid w:val="00EE7443"/>
    <w:rsid w:val="00F16381"/>
    <w:rsid w:val="00F24D83"/>
    <w:rsid w:val="00F35CB4"/>
    <w:rsid w:val="00F6441A"/>
    <w:rsid w:val="00F96665"/>
    <w:rsid w:val="00FA1DE0"/>
    <w:rsid w:val="00FF0C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18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styleId="HTMLAkronym">
    <w:name w:val="HTML Acronym"/>
    <w:basedOn w:val="Absatz-Standardschriftart"/>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sid w:val="00820662"/>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9537D4"/>
    <w:rPr>
      <w:b/>
      <w:bCs/>
      <w:szCs w:val="20"/>
    </w:rPr>
  </w:style>
  <w:style w:type="character" w:customStyle="1" w:styleId="KommentartextZchn">
    <w:name w:val="Kommentartext Zchn"/>
    <w:basedOn w:val="Absatz-Standardschriftart"/>
    <w:link w:val="Kommentartext"/>
    <w:semiHidden/>
    <w:rsid w:val="009537D4"/>
    <w:rPr>
      <w:szCs w:val="24"/>
    </w:rPr>
  </w:style>
  <w:style w:type="character" w:customStyle="1" w:styleId="KommentarthemaZchn">
    <w:name w:val="Kommentarthema Zchn"/>
    <w:basedOn w:val="KommentartextZchn"/>
    <w:link w:val="Kommentarthema"/>
    <w:uiPriority w:val="99"/>
    <w:semiHidden/>
    <w:rsid w:val="009537D4"/>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styleId="HTMLAkronym">
    <w:name w:val="HTML Acronym"/>
    <w:basedOn w:val="Absatz-Standardschriftart"/>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sid w:val="00820662"/>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9537D4"/>
    <w:rPr>
      <w:b/>
      <w:bCs/>
      <w:szCs w:val="20"/>
    </w:rPr>
  </w:style>
  <w:style w:type="character" w:customStyle="1" w:styleId="KommentartextZchn">
    <w:name w:val="Kommentartext Zchn"/>
    <w:basedOn w:val="Absatz-Standardschriftart"/>
    <w:link w:val="Kommentartext"/>
    <w:semiHidden/>
    <w:rsid w:val="009537D4"/>
    <w:rPr>
      <w:szCs w:val="24"/>
    </w:rPr>
  </w:style>
  <w:style w:type="character" w:customStyle="1" w:styleId="KommentarthemaZchn">
    <w:name w:val="Kommentarthema Zchn"/>
    <w:basedOn w:val="KommentartextZchn"/>
    <w:link w:val="Kommentarthema"/>
    <w:uiPriority w:val="99"/>
    <w:semiHidden/>
    <w:rsid w:val="009537D4"/>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 TargetMode="External"/><Relationship Id="rId5" Type="http://schemas.openxmlformats.org/officeDocument/2006/relationships/hyperlink" Target="http://creativecommons.org/licenses/by-nc-nd/3.0/de/" TargetMode="External"/><Relationship Id="rId10"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5755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5</cp:revision>
  <dcterms:created xsi:type="dcterms:W3CDTF">2017-06-30T07:38:00Z</dcterms:created>
  <dcterms:modified xsi:type="dcterms:W3CDTF">2017-09-08T12:50:00Z</dcterms:modified>
</cp:coreProperties>
</file>