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D6" w:rsidRPr="009969AD" w:rsidRDefault="006D4A4C" w:rsidP="006D4A4C">
      <w:pPr>
        <w:rPr>
          <w:rFonts w:ascii="Arial" w:hAnsi="Arial" w:cs="Arial"/>
          <w:b/>
          <w:color w:val="363636"/>
          <w:shd w:val="clear" w:color="auto" w:fill="FFFFFF"/>
        </w:rPr>
      </w:pPr>
      <w:bookmarkStart w:id="0" w:name="_GoBack"/>
      <w:bookmarkEnd w:id="0"/>
      <w:r w:rsidRPr="009969AD">
        <w:rPr>
          <w:rFonts w:ascii="Arial" w:hAnsi="Arial" w:cs="Arial"/>
          <w:b/>
          <w:color w:val="363636"/>
          <w:shd w:val="clear" w:color="auto" w:fill="FFFFFF"/>
        </w:rPr>
        <w:t>Die Grenzen Europas verändern sich im Laufe der Zeit. Zudem entscheidet der Blickwickel darüber, welche Staaten zu Europa gehören und welche nicht</w:t>
      </w:r>
      <w:r w:rsidR="00B65FD6" w:rsidRPr="009969AD">
        <w:rPr>
          <w:rFonts w:ascii="Arial" w:hAnsi="Arial" w:cs="Arial"/>
          <w:b/>
          <w:color w:val="363636"/>
          <w:shd w:val="clear" w:color="auto" w:fill="FFFFFF"/>
        </w:rPr>
        <w:t>:</w:t>
      </w:r>
      <w:r w:rsidRPr="009969AD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="00B65FD6" w:rsidRPr="009969AD">
        <w:rPr>
          <w:rFonts w:ascii="Arial" w:hAnsi="Arial" w:cs="Arial"/>
          <w:b/>
          <w:color w:val="363636"/>
          <w:shd w:val="clear" w:color="auto" w:fill="FFFFFF"/>
        </w:rPr>
        <w:t>Je nachdem, ob Europa politisch, geologisch, ökonomisch oder kulturell betrachtet wird, kommt es zu unterschiedlichen Abgrenzungen. Noch größer werden die Unterschiede</w:t>
      </w:r>
      <w:r w:rsidRPr="009969AD">
        <w:rPr>
          <w:rFonts w:ascii="Arial" w:hAnsi="Arial" w:cs="Arial"/>
          <w:b/>
          <w:color w:val="363636"/>
          <w:shd w:val="clear" w:color="auto" w:fill="FFFFFF"/>
        </w:rPr>
        <w:t>, wenn nicht nur Staaten betrachtet werden, sondern zum Beispiel auch politisch umstrittene Gebiete oder Gebiete, die politisch zu Europa gehören, aber geologisch auf einem anderen Kontinent liegen.</w:t>
      </w:r>
      <w:r w:rsidR="009969AD" w:rsidRPr="009969AD">
        <w:rPr>
          <w:rFonts w:ascii="Arial" w:hAnsi="Arial" w:cs="Arial"/>
          <w:b/>
          <w:color w:val="363636"/>
          <w:shd w:val="clear" w:color="auto" w:fill="FFFFFF"/>
        </w:rPr>
        <w:t xml:space="preserve"> Die Europäische Kommission hat mit 50 Staaten einen sehr weiten Begriff von Europa.</w:t>
      </w:r>
    </w:p>
    <w:p w:rsidR="009969AD" w:rsidRDefault="009969AD" w:rsidP="006D4A4C">
      <w:pPr>
        <w:rPr>
          <w:rFonts w:ascii="Arial" w:hAnsi="Arial" w:cs="Arial"/>
          <w:color w:val="363636"/>
          <w:shd w:val="clear" w:color="auto" w:fill="FFFFFF"/>
        </w:rPr>
      </w:pPr>
    </w:p>
    <w:p w:rsidR="00500A42" w:rsidRDefault="00500A42" w:rsidP="00500A42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500A42" w:rsidRPr="00500A42" w:rsidRDefault="00500A42" w:rsidP="007D10BB">
      <w:pPr>
        <w:rPr>
          <w:rFonts w:ascii="Arial" w:hAnsi="Arial" w:cs="Arial"/>
          <w:color w:val="363636"/>
          <w:shd w:val="clear" w:color="auto" w:fill="FFFFFF"/>
        </w:rPr>
      </w:pPr>
    </w:p>
    <w:p w:rsidR="00506770" w:rsidRPr="00506770" w:rsidRDefault="007D10BB" w:rsidP="00506770">
      <w:pPr>
        <w:rPr>
          <w:rFonts w:ascii="Arial" w:hAnsi="Arial" w:cs="Arial"/>
          <w:color w:val="363636"/>
          <w:shd w:val="clear" w:color="auto" w:fill="FFFFFF"/>
        </w:rPr>
      </w:pPr>
      <w:r w:rsidRPr="00500A42">
        <w:rPr>
          <w:rFonts w:ascii="Arial" w:hAnsi="Arial" w:cs="Arial"/>
          <w:color w:val="363636"/>
          <w:shd w:val="clear" w:color="auto" w:fill="FFFFFF"/>
        </w:rPr>
        <w:t xml:space="preserve">Die Grenzen Europas sind nicht starr, sondern </w:t>
      </w:r>
      <w:r w:rsidR="004744FB">
        <w:rPr>
          <w:rFonts w:ascii="Arial" w:hAnsi="Arial" w:cs="Arial"/>
          <w:color w:val="363636"/>
          <w:shd w:val="clear" w:color="auto" w:fill="FFFFFF"/>
        </w:rPr>
        <w:t xml:space="preserve">immer wieder </w:t>
      </w:r>
      <w:r w:rsidRPr="00500A42">
        <w:rPr>
          <w:rFonts w:ascii="Arial" w:hAnsi="Arial" w:cs="Arial"/>
          <w:color w:val="363636"/>
          <w:shd w:val="clear" w:color="auto" w:fill="FFFFFF"/>
        </w:rPr>
        <w:t>Veränderungen</w:t>
      </w:r>
      <w:r w:rsidR="004744FB">
        <w:rPr>
          <w:rFonts w:ascii="Arial" w:hAnsi="Arial" w:cs="Arial"/>
          <w:color w:val="363636"/>
          <w:shd w:val="clear" w:color="auto" w:fill="FFFFFF"/>
        </w:rPr>
        <w:t xml:space="preserve"> ausgesetzt</w:t>
      </w:r>
      <w:r w:rsidRPr="00500A42">
        <w:rPr>
          <w:rFonts w:ascii="Arial" w:hAnsi="Arial" w:cs="Arial"/>
          <w:color w:val="363636"/>
          <w:shd w:val="clear" w:color="auto" w:fill="FFFFFF"/>
        </w:rPr>
        <w:t xml:space="preserve">. Entsprechend existieren </w:t>
      </w:r>
      <w:r w:rsidR="004744FB" w:rsidRPr="00500A42">
        <w:rPr>
          <w:rFonts w:ascii="Arial" w:hAnsi="Arial" w:cs="Arial"/>
          <w:color w:val="363636"/>
          <w:shd w:val="clear" w:color="auto" w:fill="FFFFFF"/>
        </w:rPr>
        <w:t xml:space="preserve">unterschiedliche Interpretationen </w:t>
      </w:r>
      <w:r w:rsidR="004744FB">
        <w:rPr>
          <w:rFonts w:ascii="Arial" w:hAnsi="Arial" w:cs="Arial"/>
          <w:color w:val="363636"/>
          <w:shd w:val="clear" w:color="auto" w:fill="FFFFFF"/>
        </w:rPr>
        <w:t xml:space="preserve">und </w:t>
      </w:r>
      <w:r w:rsidRPr="00500A42">
        <w:rPr>
          <w:rFonts w:ascii="Arial" w:hAnsi="Arial" w:cs="Arial"/>
          <w:color w:val="363636"/>
          <w:shd w:val="clear" w:color="auto" w:fill="FFFFFF"/>
        </w:rPr>
        <w:t>mehrere Definitionen des Begriffs "Europa" nebeneinander. Zum Beispiel unterscheidet die Europäische Kommission zwischen den</w:t>
      </w:r>
      <w:r w:rsidR="004C2A62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500A42">
        <w:rPr>
          <w:rFonts w:ascii="Arial" w:hAnsi="Arial" w:cs="Arial"/>
          <w:color w:val="363636"/>
          <w:shd w:val="clear" w:color="auto" w:fill="FFFFFF"/>
        </w:rPr>
        <w:t xml:space="preserve">EU-Mitgliedstaaten, </w:t>
      </w:r>
      <w:r w:rsidR="00500A42" w:rsidRPr="00500A42">
        <w:rPr>
          <w:rFonts w:ascii="Arial" w:hAnsi="Arial" w:cs="Arial"/>
          <w:color w:val="363636"/>
          <w:shd w:val="clear" w:color="auto" w:fill="FFFFFF"/>
        </w:rPr>
        <w:t>Kandidatenländern</w:t>
      </w:r>
      <w:r w:rsidRPr="00500A42">
        <w:rPr>
          <w:rFonts w:ascii="Arial" w:hAnsi="Arial" w:cs="Arial"/>
          <w:color w:val="363636"/>
          <w:shd w:val="clear" w:color="auto" w:fill="FFFFFF"/>
        </w:rPr>
        <w:t xml:space="preserve"> und 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weiteren Ländern in Europa – zusammen </w:t>
      </w:r>
      <w:r w:rsidR="00500A42" w:rsidRPr="00506770">
        <w:rPr>
          <w:rFonts w:ascii="Arial" w:hAnsi="Arial" w:cs="Arial"/>
          <w:color w:val="363636"/>
          <w:shd w:val="clear" w:color="auto" w:fill="FFFFFF"/>
        </w:rPr>
        <w:t>50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 Staaten.</w:t>
      </w:r>
    </w:p>
    <w:p w:rsidR="00506770" w:rsidRPr="00506770" w:rsidRDefault="00506770" w:rsidP="00506770">
      <w:pPr>
        <w:rPr>
          <w:rFonts w:ascii="Arial" w:hAnsi="Arial" w:cs="Arial"/>
          <w:color w:val="363636"/>
          <w:shd w:val="clear" w:color="auto" w:fill="FFFFFF"/>
        </w:rPr>
      </w:pPr>
    </w:p>
    <w:p w:rsidR="007D10BB" w:rsidRPr="00506770" w:rsidRDefault="007D10BB" w:rsidP="00506770">
      <w:pPr>
        <w:rPr>
          <w:rFonts w:ascii="Arial" w:hAnsi="Arial" w:cs="Arial"/>
          <w:color w:val="363636"/>
          <w:shd w:val="clear" w:color="auto" w:fill="FFFFFF"/>
        </w:rPr>
      </w:pPr>
      <w:r w:rsidRPr="00506770">
        <w:rPr>
          <w:rFonts w:ascii="Arial" w:hAnsi="Arial" w:cs="Arial"/>
          <w:color w:val="363636"/>
          <w:shd w:val="clear" w:color="auto" w:fill="FFFFFF"/>
        </w:rPr>
        <w:t>Die Europäische Union (EU) hat 2</w:t>
      </w:r>
      <w:r w:rsidR="00500A42" w:rsidRPr="00506770">
        <w:rPr>
          <w:rFonts w:ascii="Arial" w:hAnsi="Arial" w:cs="Arial"/>
          <w:color w:val="363636"/>
          <w:shd w:val="clear" w:color="auto" w:fill="FFFFFF"/>
        </w:rPr>
        <w:t>8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 Mitgliedstaaten. Nach der Gründung durch sechs Staaten </w:t>
      </w:r>
      <w:r w:rsidR="004C2A62">
        <w:rPr>
          <w:rFonts w:ascii="Arial" w:hAnsi="Arial" w:cs="Arial"/>
          <w:color w:val="363636"/>
          <w:shd w:val="clear" w:color="auto" w:fill="FFFFFF"/>
        </w:rPr>
        <w:t xml:space="preserve">– </w:t>
      </w:r>
      <w:r w:rsidRPr="00506770">
        <w:rPr>
          <w:rFonts w:ascii="Arial" w:hAnsi="Arial" w:cs="Arial"/>
          <w:color w:val="363636"/>
          <w:shd w:val="clear" w:color="auto" w:fill="FFFFFF"/>
        </w:rPr>
        <w:t>Belgien, Deutschland, Frankreich, Italien, Luxemburg und die Niederlande</w:t>
      </w:r>
      <w:r w:rsidR="004C2A62">
        <w:rPr>
          <w:rFonts w:ascii="Arial" w:hAnsi="Arial" w:cs="Arial"/>
          <w:color w:val="363636"/>
          <w:shd w:val="clear" w:color="auto" w:fill="FFFFFF"/>
        </w:rPr>
        <w:t xml:space="preserve"> – </w:t>
      </w:r>
      <w:r w:rsidRPr="00506770">
        <w:rPr>
          <w:rFonts w:ascii="Arial" w:hAnsi="Arial" w:cs="Arial"/>
          <w:color w:val="363636"/>
          <w:shd w:val="clear" w:color="auto" w:fill="FFFFFF"/>
        </w:rPr>
        <w:t>traten im Laufe der Jahre 2</w:t>
      </w:r>
      <w:r w:rsidR="009D1969" w:rsidRPr="00506770">
        <w:rPr>
          <w:rFonts w:ascii="Arial" w:hAnsi="Arial" w:cs="Arial"/>
          <w:color w:val="363636"/>
          <w:shd w:val="clear" w:color="auto" w:fill="FFFFFF"/>
        </w:rPr>
        <w:t>2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 neue Mitgliedstaaten der Union bei:</w:t>
      </w:r>
    </w:p>
    <w:p w:rsidR="007D10BB" w:rsidRPr="009D1969" w:rsidRDefault="007D10BB" w:rsidP="007D10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363636"/>
        </w:rPr>
      </w:pPr>
      <w:r w:rsidRPr="009D1969">
        <w:rPr>
          <w:rFonts w:ascii="Arial" w:hAnsi="Arial" w:cs="Arial"/>
          <w:color w:val="363636"/>
        </w:rPr>
        <w:t xml:space="preserve">1973: Dänemark, </w:t>
      </w:r>
      <w:r w:rsidR="009D1969" w:rsidRPr="009D1969">
        <w:rPr>
          <w:rFonts w:ascii="Arial" w:hAnsi="Arial" w:cs="Arial"/>
          <w:color w:val="363636"/>
        </w:rPr>
        <w:t>Irland und das Vereinigte Königreich</w:t>
      </w:r>
    </w:p>
    <w:p w:rsidR="007D10BB" w:rsidRPr="009D1969" w:rsidRDefault="009D1969" w:rsidP="007D10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363636"/>
        </w:rPr>
      </w:pPr>
      <w:r w:rsidRPr="009D1969">
        <w:rPr>
          <w:rFonts w:ascii="Arial" w:hAnsi="Arial" w:cs="Arial"/>
          <w:color w:val="363636"/>
        </w:rPr>
        <w:t>1981: Griechenland</w:t>
      </w:r>
    </w:p>
    <w:p w:rsidR="007D10BB" w:rsidRPr="009D1969" w:rsidRDefault="009D1969" w:rsidP="007D10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363636"/>
        </w:rPr>
      </w:pPr>
      <w:r w:rsidRPr="009D1969">
        <w:rPr>
          <w:rFonts w:ascii="Arial" w:hAnsi="Arial" w:cs="Arial"/>
          <w:color w:val="363636"/>
        </w:rPr>
        <w:t>1986: Portugal und Spanien</w:t>
      </w:r>
    </w:p>
    <w:p w:rsidR="007D10BB" w:rsidRPr="009D1969" w:rsidRDefault="007D10BB" w:rsidP="007D10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363636"/>
        </w:rPr>
      </w:pPr>
      <w:r w:rsidRPr="009D1969">
        <w:rPr>
          <w:rFonts w:ascii="Arial" w:hAnsi="Arial" w:cs="Arial"/>
          <w:color w:val="363636"/>
        </w:rPr>
        <w:t>1995: Fi</w:t>
      </w:r>
      <w:r w:rsidR="009D1969" w:rsidRPr="009D1969">
        <w:rPr>
          <w:rFonts w:ascii="Arial" w:hAnsi="Arial" w:cs="Arial"/>
          <w:color w:val="363636"/>
        </w:rPr>
        <w:t>nnland, Österreich und Schweden</w:t>
      </w:r>
    </w:p>
    <w:p w:rsidR="007D10BB" w:rsidRPr="00506770" w:rsidRDefault="007D10BB" w:rsidP="0050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363636"/>
        </w:rPr>
      </w:pPr>
      <w:r w:rsidRPr="009D1969">
        <w:rPr>
          <w:rFonts w:ascii="Arial" w:hAnsi="Arial" w:cs="Arial"/>
          <w:color w:val="363636"/>
        </w:rPr>
        <w:t>2004: Estland, Lettland, Litauen, Malta, Polen, die Slowakei, Slowenien,</w:t>
      </w:r>
      <w:r w:rsidR="00506770">
        <w:rPr>
          <w:rFonts w:ascii="Arial" w:hAnsi="Arial" w:cs="Arial"/>
          <w:color w:val="363636"/>
        </w:rPr>
        <w:t xml:space="preserve"> </w:t>
      </w:r>
      <w:r w:rsidR="009D1969" w:rsidRPr="00506770">
        <w:rPr>
          <w:rFonts w:ascii="Arial" w:hAnsi="Arial" w:cs="Arial"/>
          <w:color w:val="363636"/>
        </w:rPr>
        <w:t>T</w:t>
      </w:r>
      <w:r w:rsidRPr="00506770">
        <w:rPr>
          <w:rFonts w:ascii="Arial" w:hAnsi="Arial" w:cs="Arial"/>
          <w:color w:val="363636"/>
        </w:rPr>
        <w:t>schechie</w:t>
      </w:r>
      <w:r w:rsidR="009D1969" w:rsidRPr="00506770">
        <w:rPr>
          <w:rFonts w:ascii="Arial" w:hAnsi="Arial" w:cs="Arial"/>
          <w:color w:val="363636"/>
        </w:rPr>
        <w:t>n, Ungarn und Zypern</w:t>
      </w:r>
    </w:p>
    <w:p w:rsidR="007D10BB" w:rsidRPr="009D1969" w:rsidRDefault="00506770" w:rsidP="007D10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>2007: Bulgarien und Rumänien</w:t>
      </w:r>
    </w:p>
    <w:p w:rsidR="00506770" w:rsidRPr="00506770" w:rsidRDefault="009D1969" w:rsidP="0050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hAnsi="Arial" w:cs="Arial"/>
          <w:color w:val="363636"/>
        </w:rPr>
      </w:pPr>
      <w:r w:rsidRPr="009D1969">
        <w:rPr>
          <w:rFonts w:ascii="Arial" w:hAnsi="Arial" w:cs="Arial"/>
          <w:color w:val="363636"/>
        </w:rPr>
        <w:t>2013: Kroatien</w:t>
      </w:r>
    </w:p>
    <w:p w:rsidR="004C2A62" w:rsidRDefault="00596C61" w:rsidP="00506770">
      <w:pPr>
        <w:rPr>
          <w:rFonts w:ascii="Arial" w:hAnsi="Arial" w:cs="Arial"/>
          <w:color w:val="363636"/>
          <w:shd w:val="clear" w:color="auto" w:fill="FFFFFF"/>
        </w:rPr>
      </w:pPr>
      <w:r w:rsidRPr="00506770">
        <w:rPr>
          <w:rFonts w:ascii="Arial" w:hAnsi="Arial" w:cs="Arial"/>
          <w:color w:val="363636"/>
          <w:shd w:val="clear" w:color="auto" w:fill="FFFFFF"/>
        </w:rPr>
        <w:t>Den Status von EU-Beitrittskandidaten ha</w:t>
      </w:r>
      <w:r w:rsidR="004C2A62">
        <w:rPr>
          <w:rFonts w:ascii="Arial" w:hAnsi="Arial" w:cs="Arial"/>
          <w:color w:val="363636"/>
          <w:shd w:val="clear" w:color="auto" w:fill="FFFFFF"/>
        </w:rPr>
        <w:t xml:space="preserve">tten im März 2018 </w:t>
      </w:r>
      <w:r w:rsidR="00B65FD6">
        <w:rPr>
          <w:rFonts w:ascii="Arial" w:hAnsi="Arial" w:cs="Arial"/>
          <w:color w:val="363636"/>
          <w:shd w:val="clear" w:color="auto" w:fill="FFFFFF"/>
        </w:rPr>
        <w:t>fünf Staaten: D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ie </w:t>
      </w:r>
      <w:r w:rsidR="007D10BB" w:rsidRPr="00506770">
        <w:rPr>
          <w:rFonts w:ascii="Arial" w:hAnsi="Arial" w:cs="Arial"/>
          <w:color w:val="363636"/>
          <w:shd w:val="clear" w:color="auto" w:fill="FFFFFF"/>
        </w:rPr>
        <w:t>Türkei (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seit 1999), </w:t>
      </w:r>
      <w:r w:rsidR="00DE5CC9">
        <w:rPr>
          <w:rFonts w:ascii="Arial" w:hAnsi="Arial" w:cs="Arial"/>
          <w:color w:val="363636"/>
          <w:shd w:val="clear" w:color="auto" w:fill="FFFFFF"/>
        </w:rPr>
        <w:t>Nordm</w:t>
      </w:r>
      <w:r w:rsidRPr="00506770">
        <w:rPr>
          <w:rFonts w:ascii="Arial" w:hAnsi="Arial" w:cs="Arial"/>
          <w:color w:val="363636"/>
          <w:shd w:val="clear" w:color="auto" w:fill="FFFFFF"/>
        </w:rPr>
        <w:t>azedonien (2005), Montenegro (2010), Serbien (2012) und A</w:t>
      </w:r>
      <w:r w:rsidR="009D1969" w:rsidRPr="00506770">
        <w:rPr>
          <w:rFonts w:ascii="Arial" w:hAnsi="Arial" w:cs="Arial"/>
          <w:color w:val="363636"/>
          <w:shd w:val="clear" w:color="auto" w:fill="FFFFFF"/>
        </w:rPr>
        <w:t>lbanien (2014)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. </w:t>
      </w:r>
      <w:r w:rsidR="007D10BB" w:rsidRPr="00506770">
        <w:rPr>
          <w:rFonts w:ascii="Arial" w:hAnsi="Arial" w:cs="Arial"/>
          <w:color w:val="363636"/>
          <w:shd w:val="clear" w:color="auto" w:fill="FFFFFF"/>
        </w:rPr>
        <w:t xml:space="preserve">Mit 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der </w:t>
      </w:r>
      <w:r w:rsidR="007D10BB" w:rsidRPr="00506770">
        <w:rPr>
          <w:rFonts w:ascii="Arial" w:hAnsi="Arial" w:cs="Arial"/>
          <w:color w:val="363636"/>
          <w:shd w:val="clear" w:color="auto" w:fill="FFFFFF"/>
        </w:rPr>
        <w:t>Türkei wurden im Oktober 2005 die Beitrittsverhandlungen eröffnet</w:t>
      </w:r>
      <w:r w:rsidRPr="00506770">
        <w:rPr>
          <w:rFonts w:ascii="Arial" w:hAnsi="Arial" w:cs="Arial"/>
          <w:color w:val="363636"/>
          <w:shd w:val="clear" w:color="auto" w:fill="FFFFFF"/>
        </w:rPr>
        <w:t xml:space="preserve">, mit Montenegro im Juni 2012 und mit Serbien im Januar 2014. Mit Albanien und </w:t>
      </w:r>
      <w:r w:rsidR="00DE5CC9">
        <w:rPr>
          <w:rFonts w:ascii="Arial" w:hAnsi="Arial" w:cs="Arial"/>
          <w:color w:val="363636"/>
          <w:shd w:val="clear" w:color="auto" w:fill="FFFFFF"/>
        </w:rPr>
        <w:t>Nordm</w:t>
      </w:r>
      <w:r w:rsidR="00DE5CC9" w:rsidRPr="00506770">
        <w:rPr>
          <w:rFonts w:ascii="Arial" w:hAnsi="Arial" w:cs="Arial"/>
          <w:color w:val="363636"/>
          <w:shd w:val="clear" w:color="auto" w:fill="FFFFFF"/>
        </w:rPr>
        <w:t xml:space="preserve">azedonien </w:t>
      </w:r>
      <w:r w:rsidRPr="00506770">
        <w:rPr>
          <w:rFonts w:ascii="Arial" w:hAnsi="Arial" w:cs="Arial"/>
          <w:color w:val="363636"/>
          <w:shd w:val="clear" w:color="auto" w:fill="FFFFFF"/>
        </w:rPr>
        <w:t>wurden bisher keine Beitrittsverhandlungen aufgenommen.</w:t>
      </w:r>
    </w:p>
    <w:p w:rsidR="004C2A62" w:rsidRDefault="004C2A62" w:rsidP="00506770">
      <w:pPr>
        <w:rPr>
          <w:rFonts w:ascii="Arial" w:hAnsi="Arial" w:cs="Arial"/>
          <w:color w:val="363636"/>
          <w:shd w:val="clear" w:color="auto" w:fill="FFFFFF"/>
        </w:rPr>
      </w:pPr>
    </w:p>
    <w:p w:rsidR="00596C61" w:rsidRDefault="00596C61" w:rsidP="00506770">
      <w:pPr>
        <w:rPr>
          <w:rFonts w:ascii="Arial" w:hAnsi="Arial" w:cs="Arial"/>
          <w:color w:val="363636"/>
          <w:shd w:val="clear" w:color="auto" w:fill="FFFFFF"/>
        </w:rPr>
      </w:pPr>
      <w:r w:rsidRPr="00596C61">
        <w:rPr>
          <w:rFonts w:ascii="Arial" w:hAnsi="Arial" w:cs="Arial"/>
          <w:color w:val="363636"/>
          <w:shd w:val="clear" w:color="auto" w:fill="FFFFFF"/>
        </w:rPr>
        <w:t>Bosnien und Herzegowina sowie Kosovo sind laut der Europäischen Kommission potenzielle</w:t>
      </w:r>
      <w:r w:rsidR="00A83880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596C61">
        <w:rPr>
          <w:rFonts w:ascii="Arial" w:hAnsi="Arial" w:cs="Arial"/>
          <w:color w:val="363636"/>
          <w:shd w:val="clear" w:color="auto" w:fill="FFFFFF"/>
        </w:rPr>
        <w:t xml:space="preserve">Kandidatenländer. </w:t>
      </w:r>
      <w:r w:rsidR="001153A3">
        <w:rPr>
          <w:rFonts w:ascii="Arial" w:hAnsi="Arial" w:cs="Arial"/>
          <w:color w:val="363636"/>
          <w:shd w:val="clear" w:color="auto" w:fill="FFFFFF"/>
        </w:rPr>
        <w:t>Die</w:t>
      </w:r>
      <w:r w:rsidRPr="00596C61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B65FD6">
        <w:rPr>
          <w:rFonts w:ascii="Arial" w:hAnsi="Arial" w:cs="Arial"/>
          <w:color w:val="363636"/>
          <w:shd w:val="clear" w:color="auto" w:fill="FFFFFF"/>
        </w:rPr>
        <w:t xml:space="preserve">15 </w:t>
      </w:r>
      <w:r w:rsidR="007D10BB" w:rsidRPr="00596C61">
        <w:rPr>
          <w:rFonts w:ascii="Arial" w:hAnsi="Arial" w:cs="Arial"/>
          <w:color w:val="363636"/>
          <w:shd w:val="clear" w:color="auto" w:fill="FFFFFF"/>
        </w:rPr>
        <w:t xml:space="preserve">weiteren Ländern in Europa </w:t>
      </w:r>
      <w:r w:rsidR="001153A3">
        <w:rPr>
          <w:rFonts w:ascii="Arial" w:hAnsi="Arial" w:cs="Arial"/>
          <w:color w:val="363636"/>
          <w:shd w:val="clear" w:color="auto" w:fill="FFFFFF"/>
        </w:rPr>
        <w:t>sind</w:t>
      </w:r>
      <w:r w:rsidR="001153A3" w:rsidRPr="00596C61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596C61">
        <w:rPr>
          <w:rFonts w:ascii="Arial" w:hAnsi="Arial" w:cs="Arial"/>
          <w:color w:val="363636"/>
          <w:shd w:val="clear" w:color="auto" w:fill="FFFFFF"/>
        </w:rPr>
        <w:t xml:space="preserve">Andorra, Armenien, Aserbaidschan, Belarus, Georgien, Island, Liechtenstein, </w:t>
      </w:r>
      <w:r>
        <w:rPr>
          <w:rFonts w:ascii="Arial" w:hAnsi="Arial" w:cs="Arial"/>
          <w:color w:val="363636"/>
          <w:shd w:val="clear" w:color="auto" w:fill="FFFFFF"/>
        </w:rPr>
        <w:t xml:space="preserve">die </w:t>
      </w:r>
      <w:r w:rsidRPr="00596C61">
        <w:rPr>
          <w:rFonts w:ascii="Arial" w:hAnsi="Arial" w:cs="Arial"/>
          <w:color w:val="363636"/>
          <w:shd w:val="clear" w:color="auto" w:fill="FFFFFF"/>
        </w:rPr>
        <w:t>Republik Moldau, Monaco, Norwegen, Russland, San Marino, die Schweiz, die Ukraine sowie die Vatikanstadt.</w:t>
      </w:r>
    </w:p>
    <w:p w:rsidR="00506770" w:rsidRDefault="00506770" w:rsidP="00506770">
      <w:pPr>
        <w:rPr>
          <w:rFonts w:ascii="Arial" w:hAnsi="Arial" w:cs="Arial"/>
          <w:color w:val="363636"/>
          <w:shd w:val="clear" w:color="auto" w:fill="FFFFFF"/>
        </w:rPr>
      </w:pPr>
    </w:p>
    <w:p w:rsidR="00E934A1" w:rsidRPr="006E3C79" w:rsidRDefault="00E934A1" w:rsidP="00E934A1">
      <w:pPr>
        <w:rPr>
          <w:rFonts w:ascii="Arial" w:hAnsi="Arial" w:cs="Arial"/>
          <w:color w:val="363636"/>
          <w:shd w:val="clear" w:color="auto" w:fill="FFFFFF"/>
        </w:rPr>
      </w:pPr>
      <w:r w:rsidRPr="006E3C79">
        <w:rPr>
          <w:rFonts w:ascii="Arial" w:hAnsi="Arial" w:cs="Arial"/>
          <w:color w:val="363636"/>
          <w:shd w:val="clear" w:color="auto" w:fill="FFFFFF"/>
        </w:rPr>
        <w:t xml:space="preserve">Auf UN-Ebene </w:t>
      </w:r>
      <w:r>
        <w:rPr>
          <w:rFonts w:ascii="Arial" w:hAnsi="Arial" w:cs="Arial"/>
          <w:color w:val="363636"/>
          <w:shd w:val="clear" w:color="auto" w:fill="FFFFFF"/>
        </w:rPr>
        <w:t xml:space="preserve">nennt </w:t>
      </w:r>
      <w:r w:rsidRPr="006E3C79">
        <w:rPr>
          <w:rFonts w:ascii="Arial" w:hAnsi="Arial" w:cs="Arial"/>
          <w:color w:val="363636"/>
          <w:shd w:val="clear" w:color="auto" w:fill="FFFFFF"/>
        </w:rPr>
        <w:t>die United Nations Conference on Trade and Development (UNCTAD)</w:t>
      </w:r>
      <w:r>
        <w:rPr>
          <w:rFonts w:ascii="Arial" w:hAnsi="Arial" w:cs="Arial"/>
          <w:color w:val="363636"/>
          <w:shd w:val="clear" w:color="auto" w:fill="FFFFFF"/>
        </w:rPr>
        <w:t xml:space="preserve"> unter Europa separat </w:t>
      </w:r>
      <w:r w:rsidRPr="006E3C79">
        <w:rPr>
          <w:rFonts w:ascii="Arial" w:hAnsi="Arial" w:cs="Arial"/>
          <w:color w:val="363636"/>
          <w:shd w:val="clear" w:color="auto" w:fill="FFFFFF"/>
        </w:rPr>
        <w:t>4</w:t>
      </w:r>
      <w:r>
        <w:rPr>
          <w:rFonts w:ascii="Arial" w:hAnsi="Arial" w:cs="Arial"/>
          <w:color w:val="363636"/>
          <w:shd w:val="clear" w:color="auto" w:fill="FFFFFF"/>
        </w:rPr>
        <w:t>3</w:t>
      </w:r>
      <w:r w:rsidRPr="006E3C79">
        <w:rPr>
          <w:rFonts w:ascii="Arial" w:hAnsi="Arial" w:cs="Arial"/>
          <w:color w:val="363636"/>
          <w:shd w:val="clear" w:color="auto" w:fill="FFFFFF"/>
        </w:rPr>
        <w:t xml:space="preserve"> Staaten</w:t>
      </w:r>
      <w:r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6E3C79">
        <w:rPr>
          <w:rFonts w:ascii="Arial" w:hAnsi="Arial" w:cs="Arial"/>
          <w:color w:val="363636"/>
          <w:shd w:val="clear" w:color="auto" w:fill="FFFFFF"/>
        </w:rPr>
        <w:t xml:space="preserve">– im Gegensatz zur Europäischen Kommission werden Armenien, Aserbaidschan, Georgien </w:t>
      </w:r>
      <w:r>
        <w:rPr>
          <w:rFonts w:ascii="Arial" w:hAnsi="Arial" w:cs="Arial"/>
          <w:color w:val="363636"/>
          <w:shd w:val="clear" w:color="auto" w:fill="FFFFFF"/>
        </w:rPr>
        <w:t xml:space="preserve">und </w:t>
      </w:r>
      <w:r w:rsidRPr="006E3C79">
        <w:rPr>
          <w:rFonts w:ascii="Arial" w:hAnsi="Arial" w:cs="Arial"/>
          <w:color w:val="363636"/>
          <w:shd w:val="clear" w:color="auto" w:fill="FFFFFF"/>
        </w:rPr>
        <w:t xml:space="preserve">die Türkei nicht zu Europa gezählt. </w:t>
      </w:r>
      <w:r>
        <w:rPr>
          <w:rFonts w:ascii="Arial" w:hAnsi="Arial" w:cs="Arial"/>
          <w:color w:val="363636"/>
          <w:shd w:val="clear" w:color="auto" w:fill="FFFFFF"/>
        </w:rPr>
        <w:t xml:space="preserve">Kosovo wird nicht separat erfasst und Liechtenstein und Monaco werden optional der Schweiz bzw. Frankreich hinzugerechnet. </w:t>
      </w:r>
      <w:r w:rsidRPr="006E3C79">
        <w:rPr>
          <w:rFonts w:ascii="Arial" w:hAnsi="Arial" w:cs="Arial"/>
          <w:color w:val="363636"/>
          <w:shd w:val="clear" w:color="auto" w:fill="FFFFFF"/>
        </w:rPr>
        <w:t xml:space="preserve">Das UN Department of </w:t>
      </w:r>
      <w:proofErr w:type="spellStart"/>
      <w:r w:rsidRPr="006E3C79">
        <w:rPr>
          <w:rFonts w:ascii="Arial" w:hAnsi="Arial" w:cs="Arial"/>
          <w:color w:val="363636"/>
          <w:shd w:val="clear" w:color="auto" w:fill="FFFFFF"/>
        </w:rPr>
        <w:t>Economic</w:t>
      </w:r>
      <w:proofErr w:type="spellEnd"/>
      <w:r w:rsidRPr="006E3C79">
        <w:rPr>
          <w:rFonts w:ascii="Arial" w:hAnsi="Arial" w:cs="Arial"/>
          <w:color w:val="363636"/>
          <w:shd w:val="clear" w:color="auto" w:fill="FFFFFF"/>
        </w:rPr>
        <w:t xml:space="preserve"> and Social Affairs (UN/DESA) ordnet darüber hinaus Zypern Westasien</w:t>
      </w:r>
      <w:r>
        <w:rPr>
          <w:rFonts w:ascii="Arial" w:hAnsi="Arial" w:cs="Arial"/>
          <w:color w:val="363636"/>
          <w:shd w:val="clear" w:color="auto" w:fill="FFFFFF"/>
        </w:rPr>
        <w:t xml:space="preserve"> </w:t>
      </w:r>
      <w:r>
        <w:rPr>
          <w:rFonts w:ascii="Arial" w:hAnsi="Arial" w:cs="Arial"/>
          <w:color w:val="363636"/>
          <w:shd w:val="clear" w:color="auto" w:fill="FFFFFF"/>
        </w:rPr>
        <w:lastRenderedPageBreak/>
        <w:t>statt Europa</w:t>
      </w:r>
      <w:r w:rsidRPr="006E3C79">
        <w:rPr>
          <w:rFonts w:ascii="Arial" w:hAnsi="Arial" w:cs="Arial"/>
          <w:color w:val="363636"/>
          <w:shd w:val="clear" w:color="auto" w:fill="FFFFFF"/>
        </w:rPr>
        <w:t xml:space="preserve"> zu. Im Gegensatz dazu sind in der Staatenliste des Statistischen Bundesamtes sowohl die Türkei als auch Zypern </w:t>
      </w:r>
      <w:r>
        <w:rPr>
          <w:rFonts w:ascii="Arial" w:hAnsi="Arial" w:cs="Arial"/>
          <w:color w:val="363636"/>
          <w:shd w:val="clear" w:color="auto" w:fill="FFFFFF"/>
        </w:rPr>
        <w:t xml:space="preserve">bei </w:t>
      </w:r>
      <w:r w:rsidRPr="006E3C79">
        <w:rPr>
          <w:rFonts w:ascii="Arial" w:hAnsi="Arial" w:cs="Arial"/>
          <w:color w:val="363636"/>
          <w:shd w:val="clear" w:color="auto" w:fill="FFFFFF"/>
        </w:rPr>
        <w:t>Europa aufgeführt. </w:t>
      </w:r>
      <w:r>
        <w:rPr>
          <w:rFonts w:ascii="Arial" w:hAnsi="Arial" w:cs="Arial"/>
          <w:color w:val="363636"/>
          <w:shd w:val="clear" w:color="auto" w:fill="FFFFFF"/>
        </w:rPr>
        <w:t xml:space="preserve">Allerdings fehlt, anders als bei den beiden UN-Institutionen, </w:t>
      </w:r>
      <w:r w:rsidRPr="006E3C79">
        <w:rPr>
          <w:rFonts w:ascii="Arial" w:hAnsi="Arial" w:cs="Arial"/>
          <w:color w:val="363636"/>
          <w:shd w:val="clear" w:color="auto" w:fill="FFFFFF"/>
        </w:rPr>
        <w:t>der Staat Vatikanstadt.</w:t>
      </w:r>
    </w:p>
    <w:p w:rsidR="006D199F" w:rsidRDefault="006D199F" w:rsidP="006D199F">
      <w:pPr>
        <w:rPr>
          <w:rFonts w:ascii="Arial" w:hAnsi="Arial" w:cs="Arial"/>
          <w:color w:val="363636"/>
          <w:shd w:val="clear" w:color="auto" w:fill="FFFFFF"/>
        </w:rPr>
      </w:pPr>
    </w:p>
    <w:p w:rsidR="00E934A1" w:rsidRDefault="00E934A1" w:rsidP="00E934A1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Sowohl die UNCTAD als auch das UN/DESA nennen unter Europa separat </w:t>
      </w:r>
      <w:r w:rsidRPr="009059F8">
        <w:rPr>
          <w:rFonts w:ascii="Arial" w:hAnsi="Arial" w:cs="Arial"/>
          <w:color w:val="363636"/>
          <w:shd w:val="clear" w:color="auto" w:fill="FFFFFF"/>
        </w:rPr>
        <w:t>Färöer</w:t>
      </w:r>
      <w:r>
        <w:rPr>
          <w:rFonts w:ascii="Arial" w:hAnsi="Arial" w:cs="Arial"/>
          <w:color w:val="363636"/>
          <w:shd w:val="clear" w:color="auto" w:fill="FFFFFF"/>
        </w:rPr>
        <w:t xml:space="preserve"> (a</w:t>
      </w:r>
      <w:r w:rsidRPr="009059F8">
        <w:rPr>
          <w:rFonts w:ascii="Arial" w:hAnsi="Arial" w:cs="Arial"/>
          <w:color w:val="363636"/>
          <w:shd w:val="clear" w:color="auto" w:fill="FFFFFF"/>
        </w:rPr>
        <w:t>ls Teil von Dänemark</w:t>
      </w:r>
      <w:r>
        <w:rPr>
          <w:rFonts w:ascii="Arial" w:hAnsi="Arial" w:cs="Arial"/>
          <w:color w:val="363636"/>
          <w:shd w:val="clear" w:color="auto" w:fill="FFFFFF"/>
        </w:rPr>
        <w:t>)</w:t>
      </w:r>
      <w:r w:rsidRPr="00D651AD"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9059F8">
        <w:rPr>
          <w:rFonts w:ascii="Arial" w:hAnsi="Arial" w:cs="Arial"/>
          <w:color w:val="363636"/>
          <w:shd w:val="clear" w:color="auto" w:fill="FFFFFF"/>
        </w:rPr>
        <w:t>sowie die Kolonie</w:t>
      </w:r>
      <w:r>
        <w:rPr>
          <w:rFonts w:ascii="Arial" w:hAnsi="Arial" w:cs="Arial"/>
          <w:color w:val="363636"/>
          <w:shd w:val="clear" w:color="auto" w:fill="FFFFFF"/>
        </w:rPr>
        <w:t xml:space="preserve"> G</w:t>
      </w:r>
      <w:r w:rsidRPr="009059F8">
        <w:rPr>
          <w:rFonts w:ascii="Arial" w:hAnsi="Arial" w:cs="Arial"/>
          <w:color w:val="363636"/>
          <w:shd w:val="clear" w:color="auto" w:fill="FFFFFF"/>
        </w:rPr>
        <w:t xml:space="preserve">ibraltar </w:t>
      </w:r>
      <w:r>
        <w:rPr>
          <w:rFonts w:ascii="Arial" w:hAnsi="Arial" w:cs="Arial"/>
          <w:color w:val="363636"/>
          <w:shd w:val="clear" w:color="auto" w:fill="FFFFFF"/>
        </w:rPr>
        <w:t>(</w:t>
      </w:r>
      <w:r w:rsidRPr="009059F8">
        <w:rPr>
          <w:rFonts w:ascii="Arial" w:hAnsi="Arial" w:cs="Arial"/>
          <w:color w:val="363636"/>
          <w:shd w:val="clear" w:color="auto" w:fill="FFFFFF"/>
        </w:rPr>
        <w:t>Vereinigte</w:t>
      </w:r>
      <w:r>
        <w:rPr>
          <w:rFonts w:ascii="Arial" w:hAnsi="Arial" w:cs="Arial"/>
          <w:color w:val="363636"/>
          <w:shd w:val="clear" w:color="auto" w:fill="FFFFFF"/>
        </w:rPr>
        <w:t>s</w:t>
      </w:r>
      <w:r w:rsidRPr="009059F8">
        <w:rPr>
          <w:rFonts w:ascii="Arial" w:hAnsi="Arial" w:cs="Arial"/>
          <w:color w:val="363636"/>
          <w:shd w:val="clear" w:color="auto" w:fill="FFFFFF"/>
        </w:rPr>
        <w:t xml:space="preserve"> Königreich, von Spanien beansprucht</w:t>
      </w:r>
      <w:r>
        <w:rPr>
          <w:rFonts w:ascii="Arial" w:hAnsi="Arial" w:cs="Arial"/>
          <w:color w:val="363636"/>
          <w:shd w:val="clear" w:color="auto" w:fill="FFFFFF"/>
        </w:rPr>
        <w:t>)</w:t>
      </w:r>
      <w:r w:rsidRPr="009059F8">
        <w:rPr>
          <w:rFonts w:ascii="Arial" w:hAnsi="Arial" w:cs="Arial"/>
          <w:color w:val="363636"/>
          <w:shd w:val="clear" w:color="auto" w:fill="FFFFFF"/>
        </w:rPr>
        <w:t xml:space="preserve">. </w:t>
      </w:r>
      <w:r>
        <w:rPr>
          <w:rFonts w:ascii="Arial" w:hAnsi="Arial" w:cs="Arial"/>
          <w:color w:val="363636"/>
          <w:shd w:val="clear" w:color="auto" w:fill="FFFFFF"/>
        </w:rPr>
        <w:t xml:space="preserve">Vom UN/DESA werden auch </w:t>
      </w:r>
      <w:r w:rsidRPr="009059F8">
        <w:rPr>
          <w:rFonts w:ascii="Arial" w:hAnsi="Arial" w:cs="Arial"/>
          <w:color w:val="363636"/>
          <w:shd w:val="clear" w:color="auto" w:fill="FFFFFF"/>
        </w:rPr>
        <w:t>die Insel Man und die Kanalinseln, die zwar unmittelbar der englischen Krone unterstehen, aber nicht zum Vereinigten Königreich gehören</w:t>
      </w:r>
      <w:r>
        <w:rPr>
          <w:rFonts w:ascii="Arial" w:hAnsi="Arial" w:cs="Arial"/>
          <w:color w:val="363636"/>
          <w:shd w:val="clear" w:color="auto" w:fill="FFFFFF"/>
        </w:rPr>
        <w:t>, einzeln erfasst. Die UNCTAD grenzt die I</w:t>
      </w:r>
      <w:r w:rsidRPr="009059F8">
        <w:rPr>
          <w:rFonts w:ascii="Arial" w:hAnsi="Arial" w:cs="Arial"/>
          <w:color w:val="363636"/>
          <w:shd w:val="clear" w:color="auto" w:fill="FFFFFF"/>
        </w:rPr>
        <w:t>nsel Man und die Kanalinseln</w:t>
      </w:r>
      <w:r>
        <w:rPr>
          <w:rFonts w:ascii="Arial" w:hAnsi="Arial" w:cs="Arial"/>
          <w:color w:val="363636"/>
          <w:shd w:val="clear" w:color="auto" w:fill="FFFFFF"/>
        </w:rPr>
        <w:t xml:space="preserve"> </w:t>
      </w:r>
      <w:r w:rsidRPr="00FC67C0">
        <w:rPr>
          <w:rFonts w:ascii="Arial" w:hAnsi="Arial" w:cs="Arial"/>
          <w:color w:val="363636"/>
          <w:shd w:val="clear" w:color="auto" w:fill="FFFFFF"/>
        </w:rPr>
        <w:t xml:space="preserve">statistisch </w:t>
      </w:r>
      <w:r>
        <w:rPr>
          <w:rFonts w:ascii="Arial" w:hAnsi="Arial" w:cs="Arial"/>
          <w:color w:val="363636"/>
          <w:shd w:val="clear" w:color="auto" w:fill="FFFFFF"/>
        </w:rPr>
        <w:t xml:space="preserve">optional vom Vereinigten Königreich ab – ebenso beispielsweise Liechtenstein von der Schweiz oder Monaco und die </w:t>
      </w:r>
      <w:r w:rsidRPr="00255775">
        <w:rPr>
          <w:rFonts w:ascii="Arial" w:hAnsi="Arial" w:cs="Arial"/>
          <w:color w:val="363636"/>
          <w:shd w:val="clear" w:color="auto" w:fill="FFFFFF"/>
        </w:rPr>
        <w:t xml:space="preserve">französischen Übersee-Departements </w:t>
      </w:r>
      <w:r>
        <w:rPr>
          <w:rFonts w:ascii="Arial" w:hAnsi="Arial" w:cs="Arial"/>
          <w:color w:val="363636"/>
          <w:shd w:val="clear" w:color="auto" w:fill="FFFFFF"/>
        </w:rPr>
        <w:t>von Frankreich.</w:t>
      </w:r>
    </w:p>
    <w:p w:rsidR="00E934A1" w:rsidRPr="00255775" w:rsidRDefault="00E934A1" w:rsidP="00E934A1">
      <w:pPr>
        <w:rPr>
          <w:rFonts w:ascii="Arial" w:hAnsi="Arial" w:cs="Arial"/>
          <w:color w:val="363636"/>
          <w:shd w:val="clear" w:color="auto" w:fill="FFFFFF"/>
        </w:rPr>
      </w:pPr>
    </w:p>
    <w:p w:rsidR="000F4026" w:rsidRDefault="003245E8" w:rsidP="000F4026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Je nachdem, ob Europa politisch, geologisch</w:t>
      </w:r>
      <w:r w:rsidR="006D199F">
        <w:rPr>
          <w:rFonts w:ascii="Arial" w:hAnsi="Arial" w:cs="Arial"/>
          <w:color w:val="363636"/>
          <w:shd w:val="clear" w:color="auto" w:fill="FFFFFF"/>
        </w:rPr>
        <w:t>, ökonomisch</w:t>
      </w:r>
      <w:r>
        <w:rPr>
          <w:rFonts w:ascii="Arial" w:hAnsi="Arial" w:cs="Arial"/>
          <w:color w:val="363636"/>
          <w:shd w:val="clear" w:color="auto" w:fill="FFFFFF"/>
        </w:rPr>
        <w:t xml:space="preserve"> oder kulturell betrachtet wird, kommt es zu unterschiedlichen Abgrenzungen. Beispielsweise ist Grönland politisch ein Teil von Dänemark</w:t>
      </w:r>
      <w:r w:rsidR="006D199F">
        <w:rPr>
          <w:rFonts w:ascii="Arial" w:hAnsi="Arial" w:cs="Arial"/>
          <w:color w:val="363636"/>
          <w:shd w:val="clear" w:color="auto" w:fill="FFFFFF"/>
        </w:rPr>
        <w:t>, gehört geologisch jedoch zu Nordamerika</w:t>
      </w:r>
      <w:r>
        <w:rPr>
          <w:rFonts w:ascii="Arial" w:hAnsi="Arial" w:cs="Arial"/>
          <w:color w:val="363636"/>
          <w:shd w:val="clear" w:color="auto" w:fill="FFFFFF"/>
        </w:rPr>
        <w:t>. Schließlich können die Unterschiede auch aus verschiedenen methodischen Festlegungen resultieren.</w:t>
      </w:r>
      <w:r w:rsidR="006D199F">
        <w:rPr>
          <w:rFonts w:ascii="Arial" w:hAnsi="Arial" w:cs="Arial"/>
          <w:color w:val="363636"/>
          <w:shd w:val="clear" w:color="auto" w:fill="FFFFFF"/>
        </w:rPr>
        <w:t xml:space="preserve"> I</w:t>
      </w:r>
      <w:r w:rsidR="000F4026">
        <w:rPr>
          <w:rFonts w:ascii="Arial" w:hAnsi="Arial" w:cs="Arial"/>
          <w:color w:val="363636"/>
          <w:shd w:val="clear" w:color="auto" w:fill="FFFFFF"/>
        </w:rPr>
        <w:t>m Statistischen Jahrbuch des Statistischen Bundesamtes gilt h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insichtlich der territorialen Abgrenzung in der Regel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, dass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Dänemark ohne Färöer und Grönland</w:t>
      </w:r>
      <w:r w:rsidR="000F4026">
        <w:rPr>
          <w:rFonts w:ascii="Arial" w:hAnsi="Arial" w:cs="Arial"/>
          <w:color w:val="363636"/>
          <w:shd w:val="clear" w:color="auto" w:fill="FFFFFF"/>
        </w:rPr>
        <w:t>, F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rankreich einschl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ießlich der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Überseegebiete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, die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Niederlande ohne Überseegebiete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,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Portugal einschl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ießlich der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Azoren und Madeira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,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Spanien einschl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ießlich der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Balearen und Kanarische</w:t>
      </w:r>
      <w:r w:rsidR="000F4026">
        <w:rPr>
          <w:rFonts w:ascii="Arial" w:hAnsi="Arial" w:cs="Arial"/>
          <w:color w:val="363636"/>
          <w:shd w:val="clear" w:color="auto" w:fill="FFFFFF"/>
        </w:rPr>
        <w:t>n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 xml:space="preserve"> Inseln sowie einschl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ießlich </w:t>
      </w:r>
      <w:proofErr w:type="spellStart"/>
      <w:r w:rsidR="000F4026" w:rsidRPr="000F4026">
        <w:rPr>
          <w:rFonts w:ascii="Arial" w:hAnsi="Arial" w:cs="Arial"/>
          <w:color w:val="363636"/>
          <w:shd w:val="clear" w:color="auto" w:fill="FFFFFF"/>
        </w:rPr>
        <w:t>Ceuta</w:t>
      </w:r>
      <w:proofErr w:type="spellEnd"/>
      <w:r w:rsidR="000F4026" w:rsidRPr="000F4026">
        <w:rPr>
          <w:rFonts w:ascii="Arial" w:hAnsi="Arial" w:cs="Arial"/>
          <w:color w:val="363636"/>
          <w:shd w:val="clear" w:color="auto" w:fill="FFFFFF"/>
        </w:rPr>
        <w:t xml:space="preserve"> und </w:t>
      </w:r>
      <w:proofErr w:type="spellStart"/>
      <w:r w:rsidR="000F4026" w:rsidRPr="000F4026">
        <w:rPr>
          <w:rFonts w:ascii="Arial" w:hAnsi="Arial" w:cs="Arial"/>
          <w:color w:val="363636"/>
          <w:shd w:val="clear" w:color="auto" w:fill="FFFFFF"/>
        </w:rPr>
        <w:t>Melilla</w:t>
      </w:r>
      <w:proofErr w:type="spellEnd"/>
      <w:r w:rsidR="000F4026">
        <w:rPr>
          <w:rFonts w:ascii="Arial" w:hAnsi="Arial" w:cs="Arial"/>
          <w:color w:val="363636"/>
          <w:shd w:val="clear" w:color="auto" w:fill="FFFFFF"/>
        </w:rPr>
        <w:t xml:space="preserve"> und bei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 xml:space="preserve">Zypern nur 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die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Republik Zypern</w:t>
      </w:r>
      <w:r w:rsidR="000F4026">
        <w:rPr>
          <w:rFonts w:ascii="Arial" w:hAnsi="Arial" w:cs="Arial"/>
          <w:color w:val="363636"/>
          <w:shd w:val="clear" w:color="auto" w:fill="FFFFFF"/>
        </w:rPr>
        <w:t xml:space="preserve">, also der 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griechischer Teil der Insel</w:t>
      </w:r>
      <w:r w:rsidR="000F4026">
        <w:rPr>
          <w:rFonts w:ascii="Arial" w:hAnsi="Arial" w:cs="Arial"/>
          <w:color w:val="363636"/>
          <w:shd w:val="clear" w:color="auto" w:fill="FFFFFF"/>
        </w:rPr>
        <w:t>, betrachtet wird</w:t>
      </w:r>
      <w:r w:rsidR="000F4026" w:rsidRPr="000F4026">
        <w:rPr>
          <w:rFonts w:ascii="Arial" w:hAnsi="Arial" w:cs="Arial"/>
          <w:color w:val="363636"/>
          <w:shd w:val="clear" w:color="auto" w:fill="FFFFFF"/>
        </w:rPr>
        <w:t>.</w:t>
      </w:r>
    </w:p>
    <w:p w:rsidR="00255775" w:rsidRDefault="00255775" w:rsidP="006D199F">
      <w:pPr>
        <w:rPr>
          <w:rFonts w:ascii="Arial" w:hAnsi="Arial" w:cs="Arial"/>
          <w:color w:val="363636"/>
          <w:shd w:val="clear" w:color="auto" w:fill="FFFFFF"/>
        </w:rPr>
      </w:pPr>
    </w:p>
    <w:p w:rsidR="00500A42" w:rsidRDefault="00500A42" w:rsidP="00500A42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Datenquelle</w:t>
      </w:r>
    </w:p>
    <w:p w:rsidR="00500A42" w:rsidRPr="00500A42" w:rsidRDefault="00500A42" w:rsidP="007D10BB">
      <w:pPr>
        <w:rPr>
          <w:rFonts w:ascii="Arial" w:hAnsi="Arial" w:cs="Arial"/>
          <w:color w:val="363636"/>
          <w:shd w:val="clear" w:color="auto" w:fill="FFFFFF"/>
        </w:rPr>
      </w:pPr>
    </w:p>
    <w:p w:rsidR="004C2A62" w:rsidRPr="004C2A62" w:rsidRDefault="00596C61" w:rsidP="004C2A62">
      <w:pPr>
        <w:rPr>
          <w:rFonts w:ascii="Arial" w:hAnsi="Arial" w:cs="Arial"/>
          <w:color w:val="363636"/>
          <w:shd w:val="clear" w:color="auto" w:fill="FFFFFF"/>
        </w:rPr>
      </w:pPr>
      <w:proofErr w:type="spellStart"/>
      <w:r w:rsidRPr="00596C61">
        <w:rPr>
          <w:rFonts w:ascii="Arial" w:hAnsi="Arial" w:cs="Arial"/>
          <w:color w:val="363636"/>
          <w:shd w:val="clear" w:color="auto" w:fill="FFFFFF"/>
        </w:rPr>
        <w:t>UNCTADstat</w:t>
      </w:r>
      <w:proofErr w:type="spellEnd"/>
      <w:r w:rsidRPr="00596C61">
        <w:rPr>
          <w:rFonts w:ascii="Arial" w:hAnsi="Arial" w:cs="Arial"/>
          <w:color w:val="363636"/>
          <w:shd w:val="clear" w:color="auto" w:fill="FFFFFF"/>
        </w:rPr>
        <w:t xml:space="preserve">: </w:t>
      </w:r>
      <w:r w:rsidR="00A50EAD" w:rsidRPr="00A50EAD">
        <w:rPr>
          <w:rFonts w:ascii="Arial" w:hAnsi="Arial" w:cs="Arial"/>
          <w:color w:val="363636"/>
          <w:shd w:val="clear" w:color="auto" w:fill="FFFFFF"/>
        </w:rPr>
        <w:t xml:space="preserve">Countries, </w:t>
      </w:r>
      <w:proofErr w:type="spellStart"/>
      <w:r w:rsidR="00A50EAD" w:rsidRPr="00A50EAD">
        <w:rPr>
          <w:rFonts w:ascii="Arial" w:hAnsi="Arial" w:cs="Arial"/>
          <w:color w:val="363636"/>
          <w:shd w:val="clear" w:color="auto" w:fill="FFFFFF"/>
        </w:rPr>
        <w:t>geographic</w:t>
      </w:r>
      <w:proofErr w:type="spellEnd"/>
      <w:r w:rsidR="00A50EAD" w:rsidRPr="00A50EAD">
        <w:rPr>
          <w:rFonts w:ascii="Arial" w:hAnsi="Arial" w:cs="Arial"/>
          <w:color w:val="363636"/>
          <w:shd w:val="clear" w:color="auto" w:fill="FFFFFF"/>
        </w:rPr>
        <w:t xml:space="preserve"> </w:t>
      </w:r>
      <w:proofErr w:type="spellStart"/>
      <w:r w:rsidR="00A50EAD" w:rsidRPr="00A50EAD">
        <w:rPr>
          <w:rFonts w:ascii="Arial" w:hAnsi="Arial" w:cs="Arial"/>
          <w:color w:val="363636"/>
          <w:shd w:val="clear" w:color="auto" w:fill="FFFFFF"/>
        </w:rPr>
        <w:t>groups</w:t>
      </w:r>
      <w:proofErr w:type="spellEnd"/>
      <w:r w:rsidR="00A50EAD" w:rsidRPr="00A50EAD">
        <w:rPr>
          <w:rFonts w:ascii="Arial" w:hAnsi="Arial" w:cs="Arial"/>
          <w:color w:val="363636"/>
          <w:shd w:val="clear" w:color="auto" w:fill="FFFFFF"/>
        </w:rPr>
        <w:t xml:space="preserve"> </w:t>
      </w:r>
      <w:proofErr w:type="spellStart"/>
      <w:r w:rsidR="00A50EAD" w:rsidRPr="00A50EAD">
        <w:rPr>
          <w:rFonts w:ascii="Arial" w:hAnsi="Arial" w:cs="Arial"/>
          <w:color w:val="363636"/>
          <w:shd w:val="clear" w:color="auto" w:fill="FFFFFF"/>
        </w:rPr>
        <w:t>hierarchy</w:t>
      </w:r>
      <w:proofErr w:type="spellEnd"/>
      <w:r w:rsidRPr="00596C61">
        <w:rPr>
          <w:rFonts w:ascii="Arial" w:hAnsi="Arial" w:cs="Arial"/>
          <w:color w:val="363636"/>
          <w:shd w:val="clear" w:color="auto" w:fill="FFFFFF"/>
        </w:rPr>
        <w:t xml:space="preserve">; UN/DESA, Population Division: World Population </w:t>
      </w:r>
      <w:proofErr w:type="spellStart"/>
      <w:r w:rsidRPr="00596C61">
        <w:rPr>
          <w:rFonts w:ascii="Arial" w:hAnsi="Arial" w:cs="Arial"/>
          <w:color w:val="363636"/>
          <w:shd w:val="clear" w:color="auto" w:fill="FFFFFF"/>
        </w:rPr>
        <w:t>Prospects</w:t>
      </w:r>
      <w:proofErr w:type="spellEnd"/>
      <w:r w:rsidRPr="00596C61">
        <w:rPr>
          <w:rFonts w:ascii="Arial" w:hAnsi="Arial" w:cs="Arial"/>
          <w:color w:val="363636"/>
          <w:shd w:val="clear" w:color="auto" w:fill="FFFFFF"/>
        </w:rPr>
        <w:t xml:space="preserve">: The 2017 Revision; Statistisches Bundesamt: Staatenliste Europa; Europäische Union: </w:t>
      </w:r>
      <w:r w:rsidR="004C2A62" w:rsidRPr="004C2A62">
        <w:rPr>
          <w:rFonts w:ascii="Arial" w:hAnsi="Arial" w:cs="Arial"/>
          <w:color w:val="363636"/>
          <w:shd w:val="clear" w:color="auto" w:fill="FFFFFF"/>
        </w:rPr>
        <w:t>http://europa.eu</w:t>
      </w:r>
      <w:r w:rsidR="004C2A62">
        <w:rPr>
          <w:rFonts w:ascii="Arial" w:hAnsi="Arial" w:cs="Arial"/>
          <w:color w:val="363636"/>
          <w:shd w:val="clear" w:color="auto" w:fill="FFFFFF"/>
        </w:rPr>
        <w:t xml:space="preserve">; Auswärtiges Amt: </w:t>
      </w:r>
      <w:r w:rsidR="004C2A62" w:rsidRPr="004C2A62">
        <w:rPr>
          <w:rFonts w:ascii="Arial" w:hAnsi="Arial" w:cs="Arial"/>
          <w:color w:val="363636"/>
          <w:shd w:val="clear" w:color="auto" w:fill="FFFFFF"/>
        </w:rPr>
        <w:t>Länderverzeichnis für den amtlichen Gebrauch in der Bundesrepublik Deutschland</w:t>
      </w:r>
      <w:r w:rsidR="004C2A62">
        <w:rPr>
          <w:rFonts w:ascii="Arial" w:hAnsi="Arial" w:cs="Arial"/>
          <w:color w:val="363636"/>
          <w:shd w:val="clear" w:color="auto" w:fill="FFFFFF"/>
        </w:rPr>
        <w:t xml:space="preserve"> (</w:t>
      </w:r>
      <w:r w:rsidR="004C2A62" w:rsidRPr="004C2A62">
        <w:rPr>
          <w:rFonts w:ascii="Arial" w:hAnsi="Arial" w:cs="Arial"/>
          <w:color w:val="363636"/>
          <w:shd w:val="clear" w:color="auto" w:fill="FFFFFF"/>
        </w:rPr>
        <w:t>Stand: 31.01.2018</w:t>
      </w:r>
      <w:r w:rsidR="004C2A62">
        <w:rPr>
          <w:rFonts w:ascii="Arial" w:hAnsi="Arial" w:cs="Arial"/>
          <w:color w:val="363636"/>
          <w:shd w:val="clear" w:color="auto" w:fill="FFFFFF"/>
        </w:rPr>
        <w:t>)</w:t>
      </w:r>
    </w:p>
    <w:p w:rsidR="00500A42" w:rsidRDefault="007D10BB" w:rsidP="00500A42">
      <w:pPr>
        <w:rPr>
          <w:rFonts w:ascii="Arial" w:hAnsi="Arial"/>
          <w:color w:val="FF0000"/>
        </w:rPr>
      </w:pPr>
      <w:r w:rsidRPr="00506770">
        <w:rPr>
          <w:rFonts w:ascii="Arial" w:hAnsi="Arial" w:cs="Arial"/>
          <w:color w:val="363636"/>
          <w:shd w:val="clear" w:color="auto" w:fill="FFFFFF"/>
        </w:rPr>
        <w:br/>
      </w:r>
      <w:r w:rsidR="00500A42">
        <w:rPr>
          <w:rFonts w:ascii="Arial" w:hAnsi="Arial"/>
          <w:color w:val="FF0000"/>
        </w:rPr>
        <w:t>Begriffe, methodische Anmerkungen oder Lesehilfen</w:t>
      </w:r>
    </w:p>
    <w:p w:rsidR="00500A42" w:rsidRPr="00255775" w:rsidRDefault="00500A42" w:rsidP="007D10BB">
      <w:pPr>
        <w:rPr>
          <w:rFonts w:ascii="Arial" w:hAnsi="Arial" w:cs="Arial"/>
          <w:color w:val="363636"/>
          <w:shd w:val="clear" w:color="auto" w:fill="FFFFFF"/>
        </w:rPr>
      </w:pPr>
    </w:p>
    <w:p w:rsidR="005F7EAA" w:rsidRDefault="00821380" w:rsidP="007D10BB">
      <w:pPr>
        <w:rPr>
          <w:rFonts w:ascii="Arial" w:hAnsi="Arial" w:cs="Arial"/>
          <w:color w:val="363636"/>
          <w:shd w:val="clear" w:color="auto" w:fill="FFFFFF"/>
        </w:rPr>
      </w:pPr>
      <w:r w:rsidRPr="00821380">
        <w:rPr>
          <w:rFonts w:ascii="Arial" w:hAnsi="Arial" w:cs="Arial"/>
          <w:color w:val="363636"/>
          <w:shd w:val="clear" w:color="auto" w:fill="FFFFFF"/>
        </w:rPr>
        <w:t>Bei einem Referendum des Vereinigten Königreichs am 23. Juni 2016 stimmten 51,9 Prozent für den Austritt des Vereinigten Königreic</w:t>
      </w:r>
      <w:r>
        <w:rPr>
          <w:rFonts w:ascii="Arial" w:hAnsi="Arial" w:cs="Arial"/>
          <w:color w:val="363636"/>
          <w:shd w:val="clear" w:color="auto" w:fill="FFFFFF"/>
        </w:rPr>
        <w:t>hs aus der Europäischen Union (</w:t>
      </w:r>
      <w:r w:rsidRPr="00821380">
        <w:rPr>
          <w:rFonts w:ascii="Arial" w:hAnsi="Arial" w:cs="Arial"/>
          <w:color w:val="363636"/>
          <w:shd w:val="clear" w:color="auto" w:fill="FFFFFF"/>
        </w:rPr>
        <w:t>"</w:t>
      </w:r>
      <w:proofErr w:type="spellStart"/>
      <w:r w:rsidRPr="00821380">
        <w:rPr>
          <w:rFonts w:ascii="Arial" w:hAnsi="Arial" w:cs="Arial"/>
          <w:b/>
          <w:color w:val="363636"/>
          <w:shd w:val="clear" w:color="auto" w:fill="FFFFFF"/>
        </w:rPr>
        <w:t>Brexit</w:t>
      </w:r>
      <w:proofErr w:type="spellEnd"/>
      <w:r w:rsidRPr="00821380">
        <w:rPr>
          <w:rFonts w:ascii="Arial" w:hAnsi="Arial" w:cs="Arial"/>
          <w:color w:val="363636"/>
          <w:shd w:val="clear" w:color="auto" w:fill="FFFFFF"/>
        </w:rPr>
        <w:t>"). Am 29. März 2017 hat das Vereinigte Königreich dem Europäischen Rat seine Absicht zum Austritt aus der EU förmlich mitgeteilt und damit das Verfahren nach Artikel 50 des Vertrags von Lissabon angestoßen.</w:t>
      </w:r>
      <w:r>
        <w:rPr>
          <w:rFonts w:ascii="Arial" w:hAnsi="Arial" w:cs="Arial"/>
          <w:color w:val="363636"/>
          <w:shd w:val="clear" w:color="auto" w:fill="FFFFFF"/>
        </w:rPr>
        <w:t xml:space="preserve"> B</w:t>
      </w:r>
      <w:r w:rsidRPr="00E13B61">
        <w:rPr>
          <w:rFonts w:ascii="Arial" w:hAnsi="Arial" w:cs="Arial"/>
          <w:color w:val="363636"/>
          <w:shd w:val="clear" w:color="auto" w:fill="FFFFFF"/>
        </w:rPr>
        <w:t xml:space="preserve">is zum Abschluss der Austrittsverhandlungen bleibt </w:t>
      </w:r>
      <w:r>
        <w:rPr>
          <w:rFonts w:ascii="Arial" w:hAnsi="Arial" w:cs="Arial"/>
          <w:color w:val="363636"/>
          <w:shd w:val="clear" w:color="auto" w:fill="FFFFFF"/>
        </w:rPr>
        <w:t>d</w:t>
      </w:r>
      <w:r w:rsidR="00E13B61" w:rsidRPr="00E13B61">
        <w:rPr>
          <w:rFonts w:ascii="Arial" w:hAnsi="Arial" w:cs="Arial"/>
          <w:color w:val="363636"/>
          <w:shd w:val="clear" w:color="auto" w:fill="FFFFFF"/>
        </w:rPr>
        <w:t>as Vereinigte Königreich</w:t>
      </w:r>
      <w:r>
        <w:rPr>
          <w:rFonts w:ascii="Arial" w:hAnsi="Arial" w:cs="Arial"/>
          <w:color w:val="363636"/>
          <w:shd w:val="clear" w:color="auto" w:fill="FFFFFF"/>
        </w:rPr>
        <w:t xml:space="preserve"> M</w:t>
      </w:r>
      <w:r w:rsidR="00E13B61" w:rsidRPr="00E13B61">
        <w:rPr>
          <w:rFonts w:ascii="Arial" w:hAnsi="Arial" w:cs="Arial"/>
          <w:color w:val="363636"/>
          <w:shd w:val="clear" w:color="auto" w:fill="FFFFFF"/>
        </w:rPr>
        <w:t>itglied der EU</w:t>
      </w:r>
      <w:r w:rsidR="003E6039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E13B61" w:rsidRPr="00E13B61">
        <w:rPr>
          <w:rFonts w:ascii="Arial" w:hAnsi="Arial" w:cs="Arial"/>
          <w:color w:val="363636"/>
          <w:shd w:val="clear" w:color="auto" w:fill="FFFFFF"/>
        </w:rPr>
        <w:t>und zwar mit allen Rechten und Pflichten, die sich daraus ableiten.</w:t>
      </w:r>
    </w:p>
    <w:p w:rsidR="00506770" w:rsidRDefault="00506770" w:rsidP="007D10BB">
      <w:pPr>
        <w:rPr>
          <w:rFonts w:ascii="Arial" w:hAnsi="Arial" w:cs="Arial"/>
          <w:color w:val="363636"/>
          <w:shd w:val="clear" w:color="auto" w:fill="FFFFFF"/>
        </w:rPr>
      </w:pPr>
    </w:p>
    <w:p w:rsidR="00A83880" w:rsidRPr="00A83880" w:rsidRDefault="00A83880" w:rsidP="00A83880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Weitere Informationen zum </w:t>
      </w:r>
      <w:r w:rsidRPr="00A83880">
        <w:rPr>
          <w:rFonts w:ascii="Arial" w:hAnsi="Arial" w:cs="Arial"/>
          <w:b/>
          <w:color w:val="363636"/>
          <w:shd w:val="clear" w:color="auto" w:fill="FFFFFF"/>
        </w:rPr>
        <w:t>Kosovo</w:t>
      </w:r>
      <w:r>
        <w:rPr>
          <w:rFonts w:ascii="Arial" w:hAnsi="Arial" w:cs="Arial"/>
          <w:color w:val="363636"/>
          <w:shd w:val="clear" w:color="auto" w:fill="FFFFFF"/>
        </w:rPr>
        <w:t xml:space="preserve"> erhalten Sie hier:</w:t>
      </w:r>
    </w:p>
    <w:p w:rsidR="005F7EAA" w:rsidRDefault="00DE5CC9" w:rsidP="00A83880">
      <w:pPr>
        <w:rPr>
          <w:rFonts w:ascii="Arial" w:hAnsi="Arial" w:cs="Arial"/>
          <w:color w:val="363636"/>
          <w:shd w:val="clear" w:color="auto" w:fill="FFFFFF"/>
        </w:rPr>
      </w:pPr>
      <w:hyperlink r:id="rId7" w:history="1">
        <w:r w:rsidR="00A83880" w:rsidRPr="00961040">
          <w:rPr>
            <w:rStyle w:val="Hyperlink"/>
            <w:rFonts w:ascii="Arial" w:hAnsi="Arial" w:cs="Arial"/>
            <w:shd w:val="clear" w:color="auto" w:fill="FFFFFF"/>
          </w:rPr>
          <w:t>http://www.bpb.de/69044</w:t>
        </w:r>
      </w:hyperlink>
    </w:p>
    <w:p w:rsidR="00A83880" w:rsidRDefault="00A83880" w:rsidP="00A83880">
      <w:pPr>
        <w:rPr>
          <w:rFonts w:ascii="Arial" w:hAnsi="Arial" w:cs="Arial"/>
          <w:color w:val="363636"/>
          <w:shd w:val="clear" w:color="auto" w:fill="FFFFFF"/>
        </w:rPr>
      </w:pPr>
    </w:p>
    <w:p w:rsidR="00D45A7B" w:rsidRDefault="00255775" w:rsidP="00D45A7B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Zu den </w:t>
      </w:r>
      <w:r w:rsidRPr="00A83880">
        <w:rPr>
          <w:rFonts w:ascii="Arial" w:hAnsi="Arial" w:cs="Arial"/>
          <w:b/>
          <w:color w:val="363636"/>
          <w:shd w:val="clear" w:color="auto" w:fill="FFFFFF"/>
        </w:rPr>
        <w:t>französischen Übersee-Departements</w:t>
      </w:r>
      <w:r w:rsidRPr="00255775">
        <w:rPr>
          <w:rFonts w:ascii="Arial" w:hAnsi="Arial" w:cs="Arial"/>
          <w:color w:val="363636"/>
          <w:shd w:val="clear" w:color="auto" w:fill="FFFFFF"/>
        </w:rPr>
        <w:t xml:space="preserve"> </w:t>
      </w:r>
      <w:r>
        <w:rPr>
          <w:rFonts w:ascii="Arial" w:hAnsi="Arial" w:cs="Arial"/>
          <w:color w:val="363636"/>
          <w:shd w:val="clear" w:color="auto" w:fill="FFFFFF"/>
        </w:rPr>
        <w:t xml:space="preserve">gehören </w:t>
      </w:r>
      <w:r w:rsidRPr="00255775">
        <w:rPr>
          <w:rFonts w:ascii="Arial" w:hAnsi="Arial" w:cs="Arial"/>
          <w:color w:val="363636"/>
          <w:shd w:val="clear" w:color="auto" w:fill="FFFFFF"/>
        </w:rPr>
        <w:t>Französisch-Guayana, Guadeloupe, Martinique, Réunion und Mayotte</w:t>
      </w:r>
      <w:r>
        <w:rPr>
          <w:rFonts w:ascii="Arial" w:hAnsi="Arial" w:cs="Arial"/>
          <w:color w:val="363636"/>
          <w:shd w:val="clear" w:color="auto" w:fill="FFFFFF"/>
        </w:rPr>
        <w:t xml:space="preserve">. </w:t>
      </w:r>
      <w:r w:rsidR="00D45A7B">
        <w:rPr>
          <w:rFonts w:ascii="Arial" w:hAnsi="Arial" w:cs="Arial"/>
          <w:color w:val="363636"/>
          <w:shd w:val="clear" w:color="auto" w:fill="FFFFFF"/>
        </w:rPr>
        <w:t xml:space="preserve">Siehe hierzu das </w:t>
      </w:r>
      <w:r w:rsidR="00D45A7B" w:rsidRPr="00CC5C63">
        <w:rPr>
          <w:rFonts w:ascii="Arial" w:hAnsi="Arial" w:cs="Arial"/>
          <w:color w:val="363636"/>
          <w:shd w:val="clear" w:color="auto" w:fill="FFFFFF"/>
        </w:rPr>
        <w:t>Länderverzeichnis</w:t>
      </w:r>
      <w:r w:rsidR="00D45A7B">
        <w:rPr>
          <w:rFonts w:ascii="Arial" w:hAnsi="Arial" w:cs="Arial"/>
          <w:color w:val="363636"/>
          <w:shd w:val="clear" w:color="auto" w:fill="FFFFFF"/>
        </w:rPr>
        <w:t xml:space="preserve"> f</w:t>
      </w:r>
      <w:r w:rsidR="00D45A7B" w:rsidRPr="00CC5C63">
        <w:rPr>
          <w:rFonts w:ascii="Arial" w:hAnsi="Arial" w:cs="Arial"/>
          <w:color w:val="363636"/>
          <w:shd w:val="clear" w:color="auto" w:fill="FFFFFF"/>
        </w:rPr>
        <w:t>ür den amtlichen Gebrauch in der Bundesrepublik Deutschland</w:t>
      </w:r>
      <w:r w:rsidR="00D45A7B">
        <w:rPr>
          <w:rFonts w:ascii="Arial" w:hAnsi="Arial" w:cs="Arial"/>
          <w:color w:val="363636"/>
          <w:shd w:val="clear" w:color="auto" w:fill="FFFFFF"/>
        </w:rPr>
        <w:t>.</w:t>
      </w:r>
    </w:p>
    <w:p w:rsidR="00D45A7B" w:rsidRDefault="00D45A7B" w:rsidP="00D45A7B">
      <w:pPr>
        <w:rPr>
          <w:rFonts w:ascii="Arial" w:hAnsi="Arial" w:cs="Arial"/>
          <w:color w:val="363636"/>
          <w:shd w:val="clear" w:color="auto" w:fill="FFFFFF"/>
        </w:rPr>
      </w:pPr>
    </w:p>
    <w:p w:rsidR="00500A42" w:rsidRDefault="00500A42" w:rsidP="00506770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1417A0"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 w:rsidRPr="001417A0">
        <w:rPr>
          <w:rFonts w:ascii="Arial" w:hAnsi="Arial"/>
          <w:sz w:val="20"/>
          <w:szCs w:val="20"/>
        </w:rPr>
        <w:t>Commons</w:t>
      </w:r>
      <w:proofErr w:type="spellEnd"/>
      <w:r w:rsidRPr="001417A0">
        <w:rPr>
          <w:rFonts w:ascii="Arial" w:hAnsi="Arial"/>
          <w:sz w:val="20"/>
          <w:szCs w:val="20"/>
        </w:rPr>
        <w:t xml:space="preserve"> Lizenz </w:t>
      </w:r>
      <w:proofErr w:type="spellStart"/>
      <w:r w:rsidRPr="001417A0">
        <w:rPr>
          <w:rFonts w:ascii="Arial" w:hAnsi="Arial"/>
          <w:sz w:val="20"/>
          <w:szCs w:val="20"/>
        </w:rPr>
        <w:t>by-nc-nd</w:t>
      </w:r>
      <w:proofErr w:type="spellEnd"/>
      <w:r w:rsidRPr="001417A0">
        <w:rPr>
          <w:rFonts w:ascii="Arial" w:hAnsi="Arial"/>
          <w:sz w:val="20"/>
          <w:szCs w:val="20"/>
        </w:rPr>
        <w:t>/3.0/de/ veröffentlicht.</w:t>
      </w:r>
    </w:p>
    <w:p w:rsidR="00500A42" w:rsidRPr="00500A42" w:rsidRDefault="00500A42" w:rsidP="00506770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</w:rPr>
      </w:pPr>
      <w:r w:rsidRPr="001417A0">
        <w:rPr>
          <w:rFonts w:ascii="Arial" w:hAnsi="Arial"/>
          <w:sz w:val="20"/>
          <w:szCs w:val="20"/>
        </w:rPr>
        <w:t>Bundeszentrale für politische Bildung 201</w:t>
      </w:r>
      <w:r>
        <w:rPr>
          <w:rFonts w:ascii="Arial" w:hAnsi="Arial"/>
          <w:sz w:val="20"/>
          <w:szCs w:val="20"/>
        </w:rPr>
        <w:t>8</w:t>
      </w:r>
      <w:r w:rsidRPr="001417A0">
        <w:rPr>
          <w:rFonts w:ascii="Arial" w:hAnsi="Arial"/>
          <w:sz w:val="20"/>
          <w:szCs w:val="20"/>
        </w:rPr>
        <w:t xml:space="preserve"> | www.bpb.de</w:t>
      </w:r>
    </w:p>
    <w:sectPr w:rsidR="00500A42" w:rsidRPr="00500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193"/>
    <w:multiLevelType w:val="multilevel"/>
    <w:tmpl w:val="643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16C08"/>
    <w:multiLevelType w:val="multilevel"/>
    <w:tmpl w:val="5832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B036E"/>
    <w:multiLevelType w:val="hybridMultilevel"/>
    <w:tmpl w:val="DF5A0514"/>
    <w:lvl w:ilvl="0" w:tplc="5D3E9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A78A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00F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80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41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AF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62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E6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C6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0454D"/>
    <w:multiLevelType w:val="multilevel"/>
    <w:tmpl w:val="B3A6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B"/>
    <w:rsid w:val="0001444D"/>
    <w:rsid w:val="00015420"/>
    <w:rsid w:val="00020EFB"/>
    <w:rsid w:val="0006644C"/>
    <w:rsid w:val="000C3245"/>
    <w:rsid w:val="000E3691"/>
    <w:rsid w:val="000E5468"/>
    <w:rsid w:val="000E618F"/>
    <w:rsid w:val="000F4026"/>
    <w:rsid w:val="001153A3"/>
    <w:rsid w:val="00173FFA"/>
    <w:rsid w:val="0018528E"/>
    <w:rsid w:val="001E4B0A"/>
    <w:rsid w:val="0020147C"/>
    <w:rsid w:val="00213056"/>
    <w:rsid w:val="00255775"/>
    <w:rsid w:val="002D16B8"/>
    <w:rsid w:val="00313D2C"/>
    <w:rsid w:val="003245E8"/>
    <w:rsid w:val="00336CDF"/>
    <w:rsid w:val="003E6039"/>
    <w:rsid w:val="003F5D92"/>
    <w:rsid w:val="00447B20"/>
    <w:rsid w:val="004744FB"/>
    <w:rsid w:val="004B25CF"/>
    <w:rsid w:val="004C2A62"/>
    <w:rsid w:val="00500A42"/>
    <w:rsid w:val="00506770"/>
    <w:rsid w:val="00574546"/>
    <w:rsid w:val="00596C61"/>
    <w:rsid w:val="005F7EAA"/>
    <w:rsid w:val="00657A0E"/>
    <w:rsid w:val="00666761"/>
    <w:rsid w:val="0068454F"/>
    <w:rsid w:val="00695CD3"/>
    <w:rsid w:val="006D199F"/>
    <w:rsid w:val="006D4A4C"/>
    <w:rsid w:val="006E3C79"/>
    <w:rsid w:val="006E4988"/>
    <w:rsid w:val="00725C7F"/>
    <w:rsid w:val="00747EC8"/>
    <w:rsid w:val="007D10BB"/>
    <w:rsid w:val="007F7DA8"/>
    <w:rsid w:val="0081142A"/>
    <w:rsid w:val="00821380"/>
    <w:rsid w:val="00863E3E"/>
    <w:rsid w:val="0086606E"/>
    <w:rsid w:val="00893005"/>
    <w:rsid w:val="0089742A"/>
    <w:rsid w:val="009059F8"/>
    <w:rsid w:val="0099119A"/>
    <w:rsid w:val="009969AD"/>
    <w:rsid w:val="009D1969"/>
    <w:rsid w:val="009E3A4A"/>
    <w:rsid w:val="00A060EA"/>
    <w:rsid w:val="00A50EAD"/>
    <w:rsid w:val="00A63A65"/>
    <w:rsid w:val="00A83880"/>
    <w:rsid w:val="00AC4C80"/>
    <w:rsid w:val="00AF3AB0"/>
    <w:rsid w:val="00B14693"/>
    <w:rsid w:val="00B65FD6"/>
    <w:rsid w:val="00B823FA"/>
    <w:rsid w:val="00BE5635"/>
    <w:rsid w:val="00C213F8"/>
    <w:rsid w:val="00C67EFE"/>
    <w:rsid w:val="00D173AD"/>
    <w:rsid w:val="00D45A7B"/>
    <w:rsid w:val="00D651AD"/>
    <w:rsid w:val="00D756BF"/>
    <w:rsid w:val="00DE5CC9"/>
    <w:rsid w:val="00E03DB6"/>
    <w:rsid w:val="00E13B61"/>
    <w:rsid w:val="00E934A1"/>
    <w:rsid w:val="00F7421F"/>
    <w:rsid w:val="00FC67C0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8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character" w:customStyle="1" w:styleId="nolink">
    <w:name w:val="nolink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sid w:val="00020EF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7D10BB"/>
    <w:rPr>
      <w:b/>
      <w:bCs/>
      <w:sz w:val="36"/>
      <w:szCs w:val="36"/>
    </w:rPr>
  </w:style>
  <w:style w:type="paragraph" w:customStyle="1" w:styleId="Default">
    <w:name w:val="Default"/>
    <w:rsid w:val="0025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8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3A3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153A3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3A3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8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character" w:customStyle="1" w:styleId="nolink">
    <w:name w:val="nolink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sid w:val="00020EF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7D10BB"/>
    <w:rPr>
      <w:b/>
      <w:bCs/>
      <w:sz w:val="36"/>
      <w:szCs w:val="36"/>
    </w:rPr>
  </w:style>
  <w:style w:type="paragraph" w:customStyle="1" w:styleId="Default">
    <w:name w:val="Default"/>
    <w:rsid w:val="0025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8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3A3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153A3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3A3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2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9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7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pb.de/69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6948-CEE4-43DE-BC2C-A37A9602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Fakten</vt:lpstr>
    </vt:vector>
  </TitlesOfParts>
  <Company/>
  <LinksUpToDate>false</LinksUpToDate>
  <CharactersWithSpaces>5701</CharactersWithSpaces>
  <SharedDoc>false</SharedDoc>
  <HLinks>
    <vt:vector size="36" baseType="variant">
      <vt:variant>
        <vt:i4>7143533</vt:i4>
      </vt:variant>
      <vt:variant>
        <vt:i4>15</vt:i4>
      </vt:variant>
      <vt:variant>
        <vt:i4>0</vt:i4>
      </vt:variant>
      <vt:variant>
        <vt:i4>5</vt:i4>
      </vt:variant>
      <vt:variant>
        <vt:lpwstr>http://www.bpb.de/69044</vt:lpwstr>
      </vt:variant>
      <vt:variant>
        <vt:lpwstr/>
      </vt:variant>
      <vt:variant>
        <vt:i4>6225962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https://europa.eu/european-union/about-eu/countries_de</vt:lpwstr>
      </vt:variant>
      <vt:variant>
        <vt:lpwstr/>
      </vt:variant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>https://europa.eu/european-union/about-eu/countries/member-countries/unitedkingdom_de</vt:lpwstr>
      </vt:variant>
      <vt:variant>
        <vt:lpwstr>brexit</vt:lpwstr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http://www.bpb.de/apuz/238131/brexit</vt:lpwstr>
      </vt:variant>
      <vt:variant>
        <vt:lpwstr/>
      </vt:variant>
      <vt:variant>
        <vt:i4>4063244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https://europa.eu/european-union/about-eu/countries_de</vt:lpwstr>
      </vt:variant>
      <vt:variant>
        <vt:lpwstr>tab-0-1</vt:lpwstr>
      </vt:variant>
      <vt:variant>
        <vt:i4>4063244</vt:i4>
      </vt:variant>
      <vt:variant>
        <vt:i4>0</vt:i4>
      </vt:variant>
      <vt:variant>
        <vt:i4>0</vt:i4>
      </vt:variant>
      <vt:variant>
        <vt:i4>5</vt:i4>
      </vt:variant>
      <vt:variant>
        <vt:lpwstr>https://europa.eu/european-union/about-eu/countries_de</vt:lpwstr>
      </vt:variant>
      <vt:variant>
        <vt:lpwstr>tab-0-1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Fakten</dc:title>
  <dc:creator>Fossi</dc:creator>
  <cp:lastModifiedBy>Christian Hartmann</cp:lastModifiedBy>
  <cp:revision>10</cp:revision>
  <dcterms:created xsi:type="dcterms:W3CDTF">2018-09-27T13:34:00Z</dcterms:created>
  <dcterms:modified xsi:type="dcterms:W3CDTF">2019-08-02T20:34:00Z</dcterms:modified>
</cp:coreProperties>
</file>