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575D73" w14:textId="77777777" w:rsidR="009F666A" w:rsidRDefault="007F0AC0" w:rsidP="009F666A">
      <w:pPr>
        <w:rPr>
          <w:rFonts w:ascii="Arial" w:hAnsi="Arial"/>
          <w:b/>
          <w:color w:val="000000"/>
        </w:rPr>
      </w:pPr>
      <w:bookmarkStart w:id="0" w:name="_GoBack"/>
      <w:bookmarkEnd w:id="0"/>
      <w:r w:rsidRPr="00993E1F">
        <w:rPr>
          <w:rFonts w:ascii="Arial" w:hAnsi="Arial"/>
          <w:b/>
          <w:color w:val="000000"/>
        </w:rPr>
        <w:t>B</w:t>
      </w:r>
      <w:r w:rsidR="009F666A" w:rsidRPr="00993E1F">
        <w:rPr>
          <w:rFonts w:ascii="Arial" w:hAnsi="Arial"/>
          <w:b/>
          <w:color w:val="000000"/>
        </w:rPr>
        <w:t xml:space="preserve">ei den Leistungsbilanzen </w:t>
      </w:r>
      <w:r w:rsidRPr="00993E1F">
        <w:rPr>
          <w:rFonts w:ascii="Arial" w:hAnsi="Arial"/>
          <w:b/>
          <w:color w:val="000000"/>
        </w:rPr>
        <w:t xml:space="preserve">bestehen </w:t>
      </w:r>
      <w:r w:rsidR="009F666A" w:rsidRPr="00993E1F">
        <w:rPr>
          <w:rFonts w:ascii="Arial" w:hAnsi="Arial"/>
          <w:b/>
          <w:color w:val="000000"/>
        </w:rPr>
        <w:t xml:space="preserve">große außenwirtschaftliche Ungleichgewichte zwischen den </w:t>
      </w:r>
      <w:r w:rsidRPr="00993E1F">
        <w:rPr>
          <w:rFonts w:ascii="Arial" w:hAnsi="Arial"/>
          <w:b/>
          <w:color w:val="000000"/>
        </w:rPr>
        <w:t xml:space="preserve">europäischen </w:t>
      </w:r>
      <w:r w:rsidR="009F666A" w:rsidRPr="00993E1F">
        <w:rPr>
          <w:rFonts w:ascii="Arial" w:hAnsi="Arial"/>
          <w:b/>
          <w:color w:val="000000"/>
        </w:rPr>
        <w:t>Staaten. Besonders auffällig</w:t>
      </w:r>
      <w:r w:rsidRPr="00993E1F">
        <w:rPr>
          <w:rFonts w:ascii="Arial" w:hAnsi="Arial"/>
          <w:b/>
          <w:color w:val="000000"/>
        </w:rPr>
        <w:t xml:space="preserve"> sind dabei d</w:t>
      </w:r>
      <w:r w:rsidR="00993E1F" w:rsidRPr="00993E1F">
        <w:rPr>
          <w:rFonts w:ascii="Arial" w:hAnsi="Arial"/>
          <w:b/>
          <w:color w:val="000000"/>
        </w:rPr>
        <w:t>i</w:t>
      </w:r>
      <w:r w:rsidRPr="00993E1F">
        <w:rPr>
          <w:rFonts w:ascii="Arial" w:hAnsi="Arial"/>
          <w:b/>
          <w:color w:val="000000"/>
        </w:rPr>
        <w:t xml:space="preserve">e </w:t>
      </w:r>
      <w:r w:rsidR="009F666A" w:rsidRPr="00993E1F">
        <w:rPr>
          <w:rFonts w:ascii="Arial" w:hAnsi="Arial"/>
          <w:b/>
          <w:color w:val="000000"/>
        </w:rPr>
        <w:t>Leistungsbilanzübersch</w:t>
      </w:r>
      <w:r w:rsidRPr="00993E1F">
        <w:rPr>
          <w:rFonts w:ascii="Arial" w:hAnsi="Arial"/>
          <w:b/>
          <w:color w:val="000000"/>
        </w:rPr>
        <w:t>ü</w:t>
      </w:r>
      <w:r w:rsidR="009F666A" w:rsidRPr="00993E1F">
        <w:rPr>
          <w:rFonts w:ascii="Arial" w:hAnsi="Arial"/>
          <w:b/>
          <w:color w:val="000000"/>
        </w:rPr>
        <w:t>ss</w:t>
      </w:r>
      <w:r w:rsidRPr="00993E1F">
        <w:rPr>
          <w:rFonts w:ascii="Arial" w:hAnsi="Arial"/>
          <w:b/>
          <w:color w:val="000000"/>
        </w:rPr>
        <w:t>e</w:t>
      </w:r>
      <w:r w:rsidR="009F666A" w:rsidRPr="00993E1F">
        <w:rPr>
          <w:rFonts w:ascii="Arial" w:hAnsi="Arial"/>
          <w:b/>
          <w:color w:val="000000"/>
        </w:rPr>
        <w:t xml:space="preserve"> </w:t>
      </w:r>
      <w:r w:rsidRPr="00993E1F">
        <w:rPr>
          <w:rFonts w:ascii="Arial" w:hAnsi="Arial"/>
          <w:b/>
          <w:color w:val="000000"/>
        </w:rPr>
        <w:t>von Deutschland</w:t>
      </w:r>
      <w:r w:rsidR="00993E1F" w:rsidRPr="00993E1F">
        <w:rPr>
          <w:rFonts w:ascii="Arial" w:hAnsi="Arial"/>
          <w:b/>
          <w:color w:val="000000"/>
        </w:rPr>
        <w:t>. I</w:t>
      </w:r>
      <w:r w:rsidRPr="00993E1F">
        <w:rPr>
          <w:rFonts w:ascii="Arial" w:hAnsi="Arial"/>
          <w:b/>
          <w:color w:val="000000"/>
        </w:rPr>
        <w:t xml:space="preserve">n den Jahren 2015 bis 2017 </w:t>
      </w:r>
      <w:r w:rsidR="00993E1F" w:rsidRPr="00993E1F">
        <w:rPr>
          <w:rFonts w:ascii="Arial" w:hAnsi="Arial"/>
          <w:b/>
          <w:color w:val="000000"/>
        </w:rPr>
        <w:t xml:space="preserve">lag der </w:t>
      </w:r>
      <w:r w:rsidRPr="00993E1F">
        <w:rPr>
          <w:rFonts w:ascii="Arial" w:hAnsi="Arial"/>
          <w:b/>
          <w:color w:val="000000"/>
        </w:rPr>
        <w:t>durchschnittlich</w:t>
      </w:r>
      <w:r w:rsidR="00993E1F" w:rsidRPr="00993E1F">
        <w:rPr>
          <w:rFonts w:ascii="Arial" w:hAnsi="Arial"/>
          <w:b/>
          <w:color w:val="000000"/>
        </w:rPr>
        <w:t xml:space="preserve">e Leistungsbilanzüberschuss Deutschlands </w:t>
      </w:r>
      <w:r w:rsidRPr="00993E1F">
        <w:rPr>
          <w:rFonts w:ascii="Arial" w:hAnsi="Arial"/>
          <w:b/>
          <w:color w:val="000000"/>
        </w:rPr>
        <w:t xml:space="preserve">bei knapp 300 Milliarden US-Dollar. </w:t>
      </w:r>
      <w:r w:rsidR="0021311A">
        <w:rPr>
          <w:rFonts w:ascii="Arial" w:hAnsi="Arial"/>
          <w:b/>
          <w:color w:val="000000"/>
        </w:rPr>
        <w:t xml:space="preserve">Relativ zum </w:t>
      </w:r>
      <w:r w:rsidR="0021311A" w:rsidRPr="002924AD">
        <w:rPr>
          <w:rFonts w:ascii="Arial" w:hAnsi="Arial"/>
          <w:b/>
          <w:color w:val="000000"/>
        </w:rPr>
        <w:t>Bruttoinlandsprodukt (BIP) war der L</w:t>
      </w:r>
      <w:r w:rsidR="0021311A" w:rsidRPr="00993E1F">
        <w:rPr>
          <w:rFonts w:ascii="Arial" w:hAnsi="Arial"/>
          <w:b/>
          <w:color w:val="000000"/>
        </w:rPr>
        <w:t>eistungsbilanzüberschuss</w:t>
      </w:r>
      <w:r w:rsidR="0021311A">
        <w:rPr>
          <w:rFonts w:ascii="Arial" w:hAnsi="Arial"/>
          <w:b/>
          <w:color w:val="000000"/>
        </w:rPr>
        <w:t xml:space="preserve"> der Schweiz in diesem Zeitraum allerdings noch etwas größer als der von Deutschland (9,1 gegenüber 8,5 Prozent</w:t>
      </w:r>
      <w:r w:rsidR="002924AD">
        <w:rPr>
          <w:rFonts w:ascii="Arial" w:hAnsi="Arial"/>
          <w:b/>
          <w:color w:val="000000"/>
        </w:rPr>
        <w:t xml:space="preserve"> des BIP</w:t>
      </w:r>
      <w:r w:rsidR="0021311A">
        <w:rPr>
          <w:rFonts w:ascii="Arial" w:hAnsi="Arial"/>
          <w:b/>
          <w:color w:val="000000"/>
        </w:rPr>
        <w:t>).</w:t>
      </w:r>
      <w:r w:rsidR="002924AD">
        <w:rPr>
          <w:rFonts w:ascii="Arial" w:hAnsi="Arial"/>
          <w:b/>
          <w:color w:val="000000"/>
        </w:rPr>
        <w:t xml:space="preserve"> </w:t>
      </w:r>
      <w:r w:rsidRPr="00993E1F">
        <w:rPr>
          <w:rFonts w:ascii="Arial" w:hAnsi="Arial"/>
          <w:b/>
          <w:color w:val="000000"/>
        </w:rPr>
        <w:t>Die mit Abstand größten Leistungsbila</w:t>
      </w:r>
      <w:r w:rsidR="009F666A" w:rsidRPr="00993E1F">
        <w:rPr>
          <w:rFonts w:ascii="Arial" w:hAnsi="Arial"/>
          <w:b/>
          <w:color w:val="000000"/>
        </w:rPr>
        <w:t xml:space="preserve">nzdefizite </w:t>
      </w:r>
      <w:r w:rsidR="00993E1F" w:rsidRPr="00993E1F">
        <w:rPr>
          <w:rFonts w:ascii="Arial" w:hAnsi="Arial"/>
          <w:b/>
          <w:color w:val="000000"/>
        </w:rPr>
        <w:t xml:space="preserve">hat das Vereinigte Königreich. In den Jahren 2015 bis 2017 betrug das </w:t>
      </w:r>
      <w:r w:rsidR="009F666A" w:rsidRPr="00993E1F">
        <w:rPr>
          <w:rFonts w:ascii="Arial" w:hAnsi="Arial"/>
          <w:b/>
          <w:color w:val="000000"/>
        </w:rPr>
        <w:t>durchschnittlich</w:t>
      </w:r>
      <w:r w:rsidR="00993E1F" w:rsidRPr="00993E1F">
        <w:rPr>
          <w:rFonts w:ascii="Arial" w:hAnsi="Arial"/>
          <w:b/>
          <w:color w:val="000000"/>
        </w:rPr>
        <w:t xml:space="preserve">e </w:t>
      </w:r>
      <w:r w:rsidR="00E0180D">
        <w:rPr>
          <w:rFonts w:ascii="Arial" w:hAnsi="Arial"/>
          <w:b/>
          <w:color w:val="000000"/>
        </w:rPr>
        <w:t>D</w:t>
      </w:r>
      <w:r w:rsidR="00993E1F" w:rsidRPr="00993E1F">
        <w:rPr>
          <w:rFonts w:ascii="Arial" w:hAnsi="Arial"/>
          <w:b/>
          <w:color w:val="000000"/>
        </w:rPr>
        <w:t>efizit gut 120 Milliarden US-Dollar</w:t>
      </w:r>
      <w:r w:rsidR="009F666A" w:rsidRPr="00993E1F">
        <w:rPr>
          <w:rFonts w:ascii="Arial" w:hAnsi="Arial"/>
          <w:b/>
          <w:color w:val="000000"/>
        </w:rPr>
        <w:t>.</w:t>
      </w:r>
      <w:r w:rsidR="0021311A">
        <w:rPr>
          <w:rFonts w:ascii="Arial" w:hAnsi="Arial"/>
          <w:b/>
          <w:color w:val="000000"/>
        </w:rPr>
        <w:t xml:space="preserve"> </w:t>
      </w:r>
      <w:r w:rsidR="002924AD">
        <w:rPr>
          <w:rFonts w:ascii="Arial" w:hAnsi="Arial"/>
          <w:b/>
          <w:color w:val="000000"/>
        </w:rPr>
        <w:t xml:space="preserve">Relativ zum </w:t>
      </w:r>
      <w:r w:rsidR="002924AD" w:rsidRPr="002924AD">
        <w:rPr>
          <w:rFonts w:ascii="Arial" w:hAnsi="Arial"/>
          <w:b/>
          <w:color w:val="000000"/>
        </w:rPr>
        <w:t xml:space="preserve">BIP waren die </w:t>
      </w:r>
      <w:r w:rsidR="00E0180D">
        <w:rPr>
          <w:rFonts w:ascii="Arial" w:hAnsi="Arial"/>
          <w:b/>
          <w:color w:val="000000"/>
        </w:rPr>
        <w:t>Leistungsbilanzdefizit</w:t>
      </w:r>
      <w:r w:rsidR="002924AD" w:rsidRPr="002924AD">
        <w:rPr>
          <w:rFonts w:ascii="Arial" w:hAnsi="Arial"/>
          <w:b/>
          <w:color w:val="000000"/>
        </w:rPr>
        <w:t>e allerdings bei mehreren süd-osteuropäischen Staaten höher.</w:t>
      </w:r>
    </w:p>
    <w:p w14:paraId="12A8F22D" w14:textId="77777777" w:rsidR="002924AD" w:rsidRPr="00D82FE8" w:rsidRDefault="002924AD" w:rsidP="009F666A">
      <w:pPr>
        <w:rPr>
          <w:rFonts w:ascii="Arial" w:hAnsi="Arial" w:cs="Arial"/>
          <w:color w:val="000000"/>
        </w:rPr>
      </w:pPr>
    </w:p>
    <w:p w14:paraId="765F6350" w14:textId="77777777" w:rsidR="004F0DB5" w:rsidRPr="00CD4617" w:rsidRDefault="004F0DB5" w:rsidP="00CD4617">
      <w:pPr>
        <w:autoSpaceDE w:val="0"/>
        <w:autoSpaceDN w:val="0"/>
        <w:adjustRightInd w:val="0"/>
        <w:rPr>
          <w:rFonts w:ascii="Arial" w:hAnsi="Arial"/>
          <w:color w:val="FF0000"/>
        </w:rPr>
      </w:pPr>
      <w:r w:rsidRPr="00CD4617">
        <w:rPr>
          <w:rFonts w:ascii="Arial" w:hAnsi="Arial"/>
          <w:color w:val="FF0000"/>
        </w:rPr>
        <w:t>Fakten</w:t>
      </w:r>
    </w:p>
    <w:p w14:paraId="4471F264" w14:textId="77777777" w:rsidR="004F0DB5" w:rsidRPr="00D82FE8" w:rsidRDefault="004F0DB5">
      <w:pPr>
        <w:rPr>
          <w:rFonts w:ascii="Arial" w:hAnsi="Arial" w:cs="Arial"/>
          <w:color w:val="000000"/>
        </w:rPr>
      </w:pPr>
    </w:p>
    <w:p w14:paraId="626CC9C2" w14:textId="77777777" w:rsidR="0021311A" w:rsidRPr="00D82FE8" w:rsidRDefault="0021311A" w:rsidP="001C47F8">
      <w:pPr>
        <w:rPr>
          <w:rFonts w:ascii="Arial" w:hAnsi="Arial" w:cs="Arial"/>
          <w:color w:val="000000"/>
        </w:rPr>
      </w:pPr>
      <w:r w:rsidRPr="00D82FE8">
        <w:rPr>
          <w:rFonts w:ascii="Arial" w:hAnsi="Arial" w:cs="Arial"/>
          <w:color w:val="000000"/>
        </w:rPr>
        <w:t xml:space="preserve">Die Leistungsbilanz der Europäischen Union (EU-28) hat sich in den </w:t>
      </w:r>
      <w:r w:rsidR="00CE5C8E">
        <w:rPr>
          <w:rFonts w:ascii="Arial" w:hAnsi="Arial" w:cs="Arial"/>
          <w:color w:val="000000"/>
        </w:rPr>
        <w:t xml:space="preserve">letzten 40 </w:t>
      </w:r>
      <w:r w:rsidRPr="00D82FE8">
        <w:rPr>
          <w:rFonts w:ascii="Arial" w:hAnsi="Arial" w:cs="Arial"/>
          <w:color w:val="000000"/>
        </w:rPr>
        <w:t xml:space="preserve">Jahren </w:t>
      </w:r>
      <w:r w:rsidR="00123689" w:rsidRPr="00D82FE8">
        <w:rPr>
          <w:rFonts w:ascii="Arial" w:hAnsi="Arial" w:cs="Arial"/>
          <w:color w:val="000000"/>
        </w:rPr>
        <w:t>wechselhaft</w:t>
      </w:r>
      <w:r w:rsidRPr="00D82FE8">
        <w:rPr>
          <w:rFonts w:ascii="Arial" w:hAnsi="Arial" w:cs="Arial"/>
          <w:color w:val="000000"/>
        </w:rPr>
        <w:t xml:space="preserve"> entwickelt</w:t>
      </w:r>
      <w:r w:rsidR="00123689" w:rsidRPr="00D82FE8">
        <w:rPr>
          <w:rFonts w:ascii="Arial" w:hAnsi="Arial" w:cs="Arial"/>
          <w:color w:val="000000"/>
        </w:rPr>
        <w:t>. In den 1980er-Jahren h</w:t>
      </w:r>
      <w:r w:rsidR="00CE5C8E">
        <w:rPr>
          <w:rFonts w:ascii="Arial" w:hAnsi="Arial" w:cs="Arial"/>
          <w:color w:val="000000"/>
        </w:rPr>
        <w:t>ie</w:t>
      </w:r>
      <w:r w:rsidR="00123689" w:rsidRPr="00D82FE8">
        <w:rPr>
          <w:rFonts w:ascii="Arial" w:hAnsi="Arial" w:cs="Arial"/>
          <w:color w:val="000000"/>
        </w:rPr>
        <w:t>lten sich die Leistungsbilanzdefizit</w:t>
      </w:r>
      <w:r w:rsidR="00CE5C8E">
        <w:rPr>
          <w:rFonts w:ascii="Arial" w:hAnsi="Arial" w:cs="Arial"/>
          <w:color w:val="000000"/>
        </w:rPr>
        <w:t>e</w:t>
      </w:r>
      <w:r w:rsidR="00132F90" w:rsidRPr="00D82FE8">
        <w:rPr>
          <w:rFonts w:ascii="Arial" w:hAnsi="Arial" w:cs="Arial"/>
          <w:color w:val="000000"/>
        </w:rPr>
        <w:t xml:space="preserve"> bzw. </w:t>
      </w:r>
      <w:r w:rsidR="00CE5C8E">
        <w:rPr>
          <w:rFonts w:ascii="Arial" w:hAnsi="Arial" w:cs="Arial"/>
          <w:color w:val="000000"/>
        </w:rPr>
        <w:t>-</w:t>
      </w:r>
      <w:r w:rsidR="00132F90" w:rsidRPr="00D82FE8">
        <w:rPr>
          <w:rFonts w:ascii="Arial" w:hAnsi="Arial" w:cs="Arial"/>
          <w:color w:val="000000"/>
        </w:rPr>
        <w:t>übersch</w:t>
      </w:r>
      <w:r w:rsidR="00CE5C8E">
        <w:rPr>
          <w:rFonts w:ascii="Arial" w:hAnsi="Arial" w:cs="Arial"/>
          <w:color w:val="000000"/>
        </w:rPr>
        <w:t>ü</w:t>
      </w:r>
      <w:r w:rsidR="00132F90" w:rsidRPr="00D82FE8">
        <w:rPr>
          <w:rFonts w:ascii="Arial" w:hAnsi="Arial" w:cs="Arial"/>
          <w:color w:val="000000"/>
        </w:rPr>
        <w:t>ss</w:t>
      </w:r>
      <w:r w:rsidR="00CE5C8E">
        <w:rPr>
          <w:rFonts w:ascii="Arial" w:hAnsi="Arial" w:cs="Arial"/>
          <w:color w:val="000000"/>
        </w:rPr>
        <w:t xml:space="preserve">e </w:t>
      </w:r>
      <w:r w:rsidR="00132F90" w:rsidRPr="00D82FE8">
        <w:rPr>
          <w:rFonts w:ascii="Arial" w:hAnsi="Arial" w:cs="Arial"/>
          <w:color w:val="000000"/>
        </w:rPr>
        <w:t xml:space="preserve">in etwa die Waage. Die erste Hälfte der 1990er-Jahre ist </w:t>
      </w:r>
      <w:r w:rsidR="00CE5C8E" w:rsidRPr="00D82FE8">
        <w:rPr>
          <w:rFonts w:ascii="Arial" w:hAnsi="Arial" w:cs="Arial"/>
          <w:color w:val="000000"/>
        </w:rPr>
        <w:t xml:space="preserve">zum Teil </w:t>
      </w:r>
      <w:r w:rsidR="00132F90" w:rsidRPr="00D82FE8">
        <w:rPr>
          <w:rFonts w:ascii="Arial" w:hAnsi="Arial" w:cs="Arial"/>
          <w:color w:val="000000"/>
        </w:rPr>
        <w:t xml:space="preserve">von sehr hohen Defiziten geprägt (1991/92 </w:t>
      </w:r>
      <w:r w:rsidR="009230E2">
        <w:rPr>
          <w:rFonts w:ascii="Arial" w:hAnsi="Arial" w:cs="Arial"/>
          <w:color w:val="000000"/>
        </w:rPr>
        <w:t xml:space="preserve">jeweils </w:t>
      </w:r>
      <w:r w:rsidR="00132F90" w:rsidRPr="00D82FE8">
        <w:rPr>
          <w:rFonts w:ascii="Arial" w:hAnsi="Arial" w:cs="Arial"/>
          <w:color w:val="000000"/>
        </w:rPr>
        <w:t xml:space="preserve">rund 100 Mrd. US$). </w:t>
      </w:r>
      <w:r w:rsidR="009230E2">
        <w:rPr>
          <w:rFonts w:ascii="Arial" w:hAnsi="Arial" w:cs="Arial"/>
          <w:color w:val="000000"/>
        </w:rPr>
        <w:t xml:space="preserve">Insgesamt </w:t>
      </w:r>
      <w:r w:rsidR="009230E2" w:rsidRPr="00D82FE8">
        <w:rPr>
          <w:rFonts w:ascii="Arial" w:hAnsi="Arial" w:cs="Arial"/>
          <w:color w:val="000000"/>
        </w:rPr>
        <w:t xml:space="preserve">lag das durchschnittliche Leistungsbilanzdefizit der EU </w:t>
      </w:r>
      <w:r w:rsidR="009230E2">
        <w:rPr>
          <w:rFonts w:ascii="Arial" w:hAnsi="Arial" w:cs="Arial"/>
          <w:color w:val="000000"/>
        </w:rPr>
        <w:t>i</w:t>
      </w:r>
      <w:r w:rsidR="00132F90" w:rsidRPr="00D82FE8">
        <w:rPr>
          <w:rFonts w:ascii="Arial" w:hAnsi="Arial" w:cs="Arial"/>
          <w:color w:val="000000"/>
        </w:rPr>
        <w:t xml:space="preserve">n den Jahren 1990 bis 1994 bei 50,5 Milliarden US-Dollar. Von 1995 bis 1999 konnte im Durchschnitt ein Leistungsbilanzüberschuss in Höhe von </w:t>
      </w:r>
      <w:r w:rsidR="009230E2">
        <w:rPr>
          <w:rFonts w:ascii="Arial" w:hAnsi="Arial" w:cs="Arial"/>
          <w:color w:val="000000"/>
        </w:rPr>
        <w:t xml:space="preserve">jährlich </w:t>
      </w:r>
      <w:r w:rsidR="00132F90" w:rsidRPr="00D82FE8">
        <w:rPr>
          <w:rFonts w:ascii="Arial" w:hAnsi="Arial" w:cs="Arial"/>
          <w:color w:val="000000"/>
        </w:rPr>
        <w:t xml:space="preserve">47,1 Milliarden US-Dollar erwirtschaftet werden. Nach den sich ausgleichenden Jahren 2000 bis 2004 waren </w:t>
      </w:r>
      <w:r w:rsidR="0061537D" w:rsidRPr="00D82FE8">
        <w:rPr>
          <w:rFonts w:ascii="Arial" w:hAnsi="Arial" w:cs="Arial"/>
          <w:color w:val="000000"/>
        </w:rPr>
        <w:t xml:space="preserve">alle </w:t>
      </w:r>
      <w:r w:rsidR="00132F90" w:rsidRPr="00D82FE8">
        <w:rPr>
          <w:rFonts w:ascii="Arial" w:hAnsi="Arial" w:cs="Arial"/>
          <w:color w:val="000000"/>
        </w:rPr>
        <w:t xml:space="preserve">Jahre </w:t>
      </w:r>
      <w:r w:rsidR="0061537D" w:rsidRPr="00D82FE8">
        <w:rPr>
          <w:rFonts w:ascii="Arial" w:hAnsi="Arial" w:cs="Arial"/>
          <w:color w:val="000000"/>
        </w:rPr>
        <w:t xml:space="preserve">von </w:t>
      </w:r>
      <w:r w:rsidR="00132F90" w:rsidRPr="00D82FE8">
        <w:rPr>
          <w:rFonts w:ascii="Arial" w:hAnsi="Arial" w:cs="Arial"/>
          <w:color w:val="000000"/>
        </w:rPr>
        <w:t>2005 bis 2010 defizitär und das Leistungsbilanzdefizit der EU-28 betrug in den Jahren 2005 bis 2009 88,1 Milliarden US-Dollar pro Jahr.</w:t>
      </w:r>
    </w:p>
    <w:p w14:paraId="0284F2BE" w14:textId="77777777" w:rsidR="00132F90" w:rsidRPr="00D82FE8" w:rsidRDefault="00132F90" w:rsidP="001C47F8">
      <w:pPr>
        <w:rPr>
          <w:rFonts w:ascii="Arial" w:hAnsi="Arial" w:cs="Arial"/>
          <w:color w:val="000000"/>
        </w:rPr>
      </w:pPr>
    </w:p>
    <w:p w14:paraId="41611FA4" w14:textId="77777777" w:rsidR="00132F90" w:rsidRPr="00D82FE8" w:rsidRDefault="00132F90" w:rsidP="001C47F8">
      <w:pPr>
        <w:rPr>
          <w:rFonts w:ascii="Arial" w:hAnsi="Arial" w:cs="Arial"/>
          <w:color w:val="000000"/>
        </w:rPr>
      </w:pPr>
      <w:r w:rsidRPr="00D82FE8">
        <w:rPr>
          <w:rFonts w:ascii="Arial" w:hAnsi="Arial" w:cs="Arial"/>
          <w:color w:val="000000"/>
        </w:rPr>
        <w:t xml:space="preserve">Seit 2011 </w:t>
      </w:r>
      <w:r w:rsidR="00876F09" w:rsidRPr="00D82FE8">
        <w:rPr>
          <w:rFonts w:ascii="Arial" w:hAnsi="Arial" w:cs="Arial"/>
          <w:color w:val="000000"/>
        </w:rPr>
        <w:t xml:space="preserve">ist </w:t>
      </w:r>
      <w:r w:rsidRPr="00D82FE8">
        <w:rPr>
          <w:rFonts w:ascii="Arial" w:hAnsi="Arial" w:cs="Arial"/>
          <w:color w:val="000000"/>
        </w:rPr>
        <w:t>die Leistungsbilanz der EU-28 durchgehend positiv</w:t>
      </w:r>
      <w:r w:rsidR="00876F09" w:rsidRPr="00D82FE8">
        <w:rPr>
          <w:rFonts w:ascii="Arial" w:hAnsi="Arial" w:cs="Arial"/>
          <w:color w:val="000000"/>
        </w:rPr>
        <w:t xml:space="preserve">. Zudem hat sich der Überschuss </w:t>
      </w:r>
      <w:r w:rsidRPr="00D82FE8">
        <w:rPr>
          <w:rFonts w:ascii="Arial" w:hAnsi="Arial" w:cs="Arial"/>
          <w:color w:val="000000"/>
        </w:rPr>
        <w:t xml:space="preserve">insgesamt </w:t>
      </w:r>
      <w:r w:rsidR="00876F09" w:rsidRPr="00D82FE8">
        <w:rPr>
          <w:rFonts w:ascii="Arial" w:hAnsi="Arial" w:cs="Arial"/>
          <w:color w:val="000000"/>
        </w:rPr>
        <w:t xml:space="preserve">deutlich </w:t>
      </w:r>
      <w:r w:rsidRPr="00D82FE8">
        <w:rPr>
          <w:rFonts w:ascii="Arial" w:hAnsi="Arial" w:cs="Arial"/>
          <w:color w:val="000000"/>
        </w:rPr>
        <w:t>erhöht</w:t>
      </w:r>
      <w:r w:rsidR="00876F09" w:rsidRPr="00D82FE8">
        <w:rPr>
          <w:rFonts w:ascii="Arial" w:hAnsi="Arial" w:cs="Arial"/>
          <w:color w:val="000000"/>
        </w:rPr>
        <w:t>: In den Jahren 2010 bis 2014 la</w:t>
      </w:r>
      <w:r w:rsidRPr="00D82FE8">
        <w:rPr>
          <w:rFonts w:ascii="Arial" w:hAnsi="Arial" w:cs="Arial"/>
          <w:color w:val="000000"/>
        </w:rPr>
        <w:t xml:space="preserve">g der durchschnittliche Leistungsbilanzüberschuss </w:t>
      </w:r>
      <w:r w:rsidR="00876F09" w:rsidRPr="00D82FE8">
        <w:rPr>
          <w:rFonts w:ascii="Arial" w:hAnsi="Arial" w:cs="Arial"/>
          <w:color w:val="000000"/>
        </w:rPr>
        <w:t xml:space="preserve">der EU </w:t>
      </w:r>
      <w:r w:rsidRPr="00D82FE8">
        <w:rPr>
          <w:rFonts w:ascii="Arial" w:hAnsi="Arial" w:cs="Arial"/>
          <w:color w:val="000000"/>
        </w:rPr>
        <w:t>bei 173,5 Milliarden US-Dollar</w:t>
      </w:r>
      <w:r w:rsidR="00876F09" w:rsidRPr="00D82FE8">
        <w:rPr>
          <w:rFonts w:ascii="Arial" w:hAnsi="Arial" w:cs="Arial"/>
          <w:color w:val="000000"/>
        </w:rPr>
        <w:t xml:space="preserve">. In </w:t>
      </w:r>
      <w:r w:rsidRPr="00D82FE8">
        <w:rPr>
          <w:rFonts w:ascii="Arial" w:hAnsi="Arial" w:cs="Arial"/>
          <w:color w:val="000000"/>
        </w:rPr>
        <w:t xml:space="preserve">den Jahren 2015 bis 2017 </w:t>
      </w:r>
      <w:r w:rsidR="00876F09" w:rsidRPr="00D82FE8">
        <w:rPr>
          <w:rFonts w:ascii="Arial" w:hAnsi="Arial" w:cs="Arial"/>
          <w:color w:val="000000"/>
        </w:rPr>
        <w:t xml:space="preserve">waren es </w:t>
      </w:r>
      <w:r w:rsidRPr="00D82FE8">
        <w:rPr>
          <w:rFonts w:ascii="Arial" w:hAnsi="Arial" w:cs="Arial"/>
          <w:color w:val="000000"/>
        </w:rPr>
        <w:t xml:space="preserve">355,3 Milliarden US-Dollar </w:t>
      </w:r>
      <w:r w:rsidR="00876F09" w:rsidRPr="00D82FE8">
        <w:rPr>
          <w:rFonts w:ascii="Arial" w:hAnsi="Arial" w:cs="Arial"/>
          <w:color w:val="000000"/>
        </w:rPr>
        <w:t xml:space="preserve">pro Jahr </w:t>
      </w:r>
      <w:r w:rsidRPr="00D82FE8">
        <w:rPr>
          <w:rFonts w:ascii="Arial" w:hAnsi="Arial" w:cs="Arial"/>
          <w:color w:val="000000"/>
        </w:rPr>
        <w:t>(2017: 445,1 Mrd. US-Dollar).</w:t>
      </w:r>
    </w:p>
    <w:p w14:paraId="4607AE65" w14:textId="77777777" w:rsidR="00132F90" w:rsidRPr="00D82FE8" w:rsidRDefault="00132F90" w:rsidP="001C47F8">
      <w:pPr>
        <w:rPr>
          <w:rFonts w:ascii="Arial" w:hAnsi="Arial" w:cs="Arial"/>
          <w:color w:val="000000"/>
        </w:rPr>
      </w:pPr>
    </w:p>
    <w:p w14:paraId="2FBA450A" w14:textId="77777777" w:rsidR="00BE590B" w:rsidRPr="00D82FE8" w:rsidRDefault="00F701AA" w:rsidP="00BE590B">
      <w:pPr>
        <w:rPr>
          <w:rFonts w:ascii="Arial" w:hAnsi="Arial" w:cs="Arial"/>
          <w:color w:val="000000"/>
        </w:rPr>
      </w:pPr>
      <w:r w:rsidRPr="00D82FE8">
        <w:rPr>
          <w:rFonts w:ascii="Arial" w:hAnsi="Arial" w:cs="Arial"/>
          <w:color w:val="000000"/>
        </w:rPr>
        <w:t>Auf</w:t>
      </w:r>
      <w:r w:rsidR="00BE590B" w:rsidRPr="00D82FE8">
        <w:rPr>
          <w:rFonts w:ascii="Arial" w:hAnsi="Arial" w:cs="Arial"/>
          <w:color w:val="000000"/>
        </w:rPr>
        <w:t xml:space="preserve"> der Ebene der einzelnen europäischen Staaten bestehen bei den Leistungsbilanzen große außenwirtschaftliche Ungleichgewichte. Besonders auffällig sind dabei die Leistungsbilanzüberschüsse von Deutschland. Die Leistungsbilanz von Deutschland ist seit 2002 durchgehend positiv. Der Überschuss hat sich dabei – abseits der Schwankungen im Zeitverlauf – immer weiter erhöht. In den Jahren 2015 bis 2017 lag der durchschnittliche Leistungsbilanzüberschuss Deutschlands bei</w:t>
      </w:r>
      <w:r w:rsidR="00D348D2" w:rsidRPr="00D82FE8">
        <w:rPr>
          <w:rFonts w:ascii="Arial" w:hAnsi="Arial" w:cs="Arial"/>
          <w:color w:val="000000"/>
        </w:rPr>
        <w:t xml:space="preserve"> rund 298 </w:t>
      </w:r>
      <w:r w:rsidR="00BE590B" w:rsidRPr="00D82FE8">
        <w:rPr>
          <w:rFonts w:ascii="Arial" w:hAnsi="Arial" w:cs="Arial"/>
          <w:color w:val="000000"/>
        </w:rPr>
        <w:t>Milliarden US-Dollar (2017: 295,0 Mrd. US$).</w:t>
      </w:r>
    </w:p>
    <w:p w14:paraId="17F75D23" w14:textId="77777777" w:rsidR="00BE590B" w:rsidRPr="00D82FE8" w:rsidRDefault="00BE590B" w:rsidP="00BE590B">
      <w:pPr>
        <w:rPr>
          <w:rFonts w:ascii="Arial" w:hAnsi="Arial" w:cs="Arial"/>
          <w:color w:val="000000"/>
        </w:rPr>
      </w:pPr>
    </w:p>
    <w:p w14:paraId="07BCCCA7" w14:textId="77777777" w:rsidR="00C1241F" w:rsidRPr="00D82FE8" w:rsidRDefault="00C95192" w:rsidP="00BE590B">
      <w:pPr>
        <w:rPr>
          <w:rFonts w:ascii="Arial" w:hAnsi="Arial" w:cs="Arial"/>
          <w:color w:val="000000"/>
        </w:rPr>
      </w:pPr>
      <w:r w:rsidRPr="00D82FE8">
        <w:rPr>
          <w:rFonts w:ascii="Arial" w:hAnsi="Arial" w:cs="Arial"/>
          <w:color w:val="000000"/>
        </w:rPr>
        <w:t xml:space="preserve">Bezogen auf die 44 Staaten, für die der Internationale Währungsfonds (International </w:t>
      </w:r>
      <w:proofErr w:type="spellStart"/>
      <w:r w:rsidRPr="00D82FE8">
        <w:rPr>
          <w:rFonts w:ascii="Arial" w:hAnsi="Arial" w:cs="Arial"/>
          <w:color w:val="000000"/>
        </w:rPr>
        <w:t>Monetary</w:t>
      </w:r>
      <w:proofErr w:type="spellEnd"/>
      <w:r w:rsidRPr="00D82FE8">
        <w:rPr>
          <w:rFonts w:ascii="Arial" w:hAnsi="Arial" w:cs="Arial"/>
          <w:color w:val="000000"/>
        </w:rPr>
        <w:t xml:space="preserve"> Fund – IMF) Daten bereitstellt, folgten auf Deutschland im Zeitraum 2015 bis 2017 die Niederlande (</w:t>
      </w:r>
      <w:r w:rsidR="00335609" w:rsidRPr="00D82FE8">
        <w:rPr>
          <w:rFonts w:ascii="Arial" w:hAnsi="Arial" w:cs="Arial"/>
          <w:color w:val="000000"/>
        </w:rPr>
        <w:t xml:space="preserve">Ø </w:t>
      </w:r>
      <w:r w:rsidRPr="00D82FE8">
        <w:rPr>
          <w:rFonts w:ascii="Arial" w:hAnsi="Arial" w:cs="Arial"/>
          <w:color w:val="000000"/>
        </w:rPr>
        <w:t>66,2 Mrd. US$) und die Schweiz (61,7 Mrd. US$), Italien (42,9 Mrd. US$) und Russland (41,8 Mrd. US$) sowie Dänemark (25,3 Mrd. US$) und Norwegen (22,6 Mrd. US$).</w:t>
      </w:r>
    </w:p>
    <w:p w14:paraId="7103DA56" w14:textId="77777777" w:rsidR="00C95192" w:rsidRPr="00D82FE8" w:rsidRDefault="00C95192" w:rsidP="00BE590B">
      <w:pPr>
        <w:rPr>
          <w:rFonts w:ascii="Arial" w:hAnsi="Arial" w:cs="Arial"/>
          <w:color w:val="000000"/>
        </w:rPr>
      </w:pPr>
    </w:p>
    <w:p w14:paraId="3BDC13DF" w14:textId="77777777" w:rsidR="00BE590B" w:rsidRPr="00D82FE8" w:rsidRDefault="00BE590B" w:rsidP="00BE590B">
      <w:pPr>
        <w:rPr>
          <w:rFonts w:ascii="Arial" w:hAnsi="Arial" w:cs="Arial"/>
          <w:color w:val="000000"/>
        </w:rPr>
      </w:pPr>
      <w:r w:rsidRPr="00D82FE8">
        <w:rPr>
          <w:rFonts w:ascii="Arial" w:hAnsi="Arial" w:cs="Arial"/>
          <w:color w:val="000000"/>
        </w:rPr>
        <w:t xml:space="preserve">Relativ zum Bruttoinlandsprodukt (BIP) war der Leistungsbilanzüberschuss der Schweiz im </w:t>
      </w:r>
      <w:r w:rsidR="00DC1F07" w:rsidRPr="00D82FE8">
        <w:rPr>
          <w:rFonts w:ascii="Arial" w:hAnsi="Arial" w:cs="Arial"/>
          <w:color w:val="000000"/>
        </w:rPr>
        <w:t xml:space="preserve">Durchschnitt der Jahre 2015 bis 2017 </w:t>
      </w:r>
      <w:r w:rsidRPr="00D82FE8">
        <w:rPr>
          <w:rFonts w:ascii="Arial" w:hAnsi="Arial" w:cs="Arial"/>
          <w:color w:val="000000"/>
        </w:rPr>
        <w:t>allerdings noch etwas größer als der von Deutschland</w:t>
      </w:r>
      <w:r w:rsidR="00DC1F07" w:rsidRPr="00D82FE8">
        <w:rPr>
          <w:rFonts w:ascii="Arial" w:hAnsi="Arial" w:cs="Arial"/>
          <w:color w:val="000000"/>
        </w:rPr>
        <w:t xml:space="preserve">. In der Schweiz entsprach der Überschuss </w:t>
      </w:r>
      <w:r w:rsidRPr="00D82FE8">
        <w:rPr>
          <w:rFonts w:ascii="Arial" w:hAnsi="Arial" w:cs="Arial"/>
          <w:color w:val="000000"/>
        </w:rPr>
        <w:t xml:space="preserve">9,1 </w:t>
      </w:r>
      <w:r w:rsidR="00DC1F07" w:rsidRPr="00D82FE8">
        <w:rPr>
          <w:rFonts w:ascii="Arial" w:hAnsi="Arial" w:cs="Arial"/>
          <w:color w:val="000000"/>
        </w:rPr>
        <w:t xml:space="preserve">des BIP, in Deutschland waren es </w:t>
      </w:r>
      <w:r w:rsidRPr="00D82FE8">
        <w:rPr>
          <w:rFonts w:ascii="Arial" w:hAnsi="Arial" w:cs="Arial"/>
          <w:color w:val="000000"/>
        </w:rPr>
        <w:t xml:space="preserve">8,5 Prozent. </w:t>
      </w:r>
      <w:r w:rsidR="0019385C" w:rsidRPr="00D82FE8">
        <w:rPr>
          <w:rFonts w:ascii="Arial" w:hAnsi="Arial" w:cs="Arial"/>
          <w:color w:val="000000"/>
        </w:rPr>
        <w:t xml:space="preserve">Auf die Schweiz und Deutschland folgten die </w:t>
      </w:r>
      <w:r w:rsidR="0019385C" w:rsidRPr="00D82FE8">
        <w:rPr>
          <w:rFonts w:ascii="Arial" w:hAnsi="Arial" w:cs="Arial"/>
          <w:color w:val="000000"/>
        </w:rPr>
        <w:lastRenderedPageBreak/>
        <w:t>Niederlande (Ø 8,3 Prozent des BIP) und Dänemark (8,0 Prozent) sowie Norwegen (5,8 Prozent), Slowenien (5,7 Prozent), Island und Malta (5,4 Prozent).</w:t>
      </w:r>
    </w:p>
    <w:p w14:paraId="04F32AF5" w14:textId="77777777" w:rsidR="00BE590B" w:rsidRPr="00D82FE8" w:rsidRDefault="00BE590B" w:rsidP="00BE590B">
      <w:pPr>
        <w:rPr>
          <w:rFonts w:ascii="Arial" w:hAnsi="Arial" w:cs="Arial"/>
          <w:color w:val="000000"/>
        </w:rPr>
      </w:pPr>
    </w:p>
    <w:p w14:paraId="7FC39D6A" w14:textId="77777777" w:rsidR="00BE590B" w:rsidRPr="00D82FE8" w:rsidRDefault="00E0180D" w:rsidP="00BE590B">
      <w:pPr>
        <w:rPr>
          <w:rFonts w:ascii="Arial" w:hAnsi="Arial" w:cs="Arial"/>
          <w:color w:val="000000"/>
        </w:rPr>
      </w:pPr>
      <w:r w:rsidRPr="00D82FE8">
        <w:rPr>
          <w:rFonts w:ascii="Arial" w:hAnsi="Arial" w:cs="Arial"/>
          <w:color w:val="000000"/>
        </w:rPr>
        <w:t>Auf der anderen Seite hat das Vereinigte Königreich d</w:t>
      </w:r>
      <w:r w:rsidR="00BE590B" w:rsidRPr="00D82FE8">
        <w:rPr>
          <w:rFonts w:ascii="Arial" w:hAnsi="Arial" w:cs="Arial"/>
          <w:color w:val="000000"/>
        </w:rPr>
        <w:t xml:space="preserve">ie mit Abstand größten </w:t>
      </w:r>
      <w:r w:rsidR="00D348D2" w:rsidRPr="00D82FE8">
        <w:rPr>
          <w:rFonts w:ascii="Arial" w:hAnsi="Arial" w:cs="Arial"/>
          <w:color w:val="000000"/>
        </w:rPr>
        <w:t xml:space="preserve">absoluten </w:t>
      </w:r>
      <w:r w:rsidR="00BE590B" w:rsidRPr="00D82FE8">
        <w:rPr>
          <w:rFonts w:ascii="Arial" w:hAnsi="Arial" w:cs="Arial"/>
          <w:color w:val="000000"/>
        </w:rPr>
        <w:t>Leistungsbila</w:t>
      </w:r>
      <w:r w:rsidRPr="00D82FE8">
        <w:rPr>
          <w:rFonts w:ascii="Arial" w:hAnsi="Arial" w:cs="Arial"/>
          <w:color w:val="000000"/>
        </w:rPr>
        <w:t>nzdefizite</w:t>
      </w:r>
      <w:r w:rsidR="00BE590B" w:rsidRPr="00D82FE8">
        <w:rPr>
          <w:rFonts w:ascii="Arial" w:hAnsi="Arial" w:cs="Arial"/>
          <w:color w:val="000000"/>
        </w:rPr>
        <w:t xml:space="preserve">. </w:t>
      </w:r>
      <w:r w:rsidR="00AF6514" w:rsidRPr="00D82FE8">
        <w:rPr>
          <w:rFonts w:ascii="Arial" w:hAnsi="Arial" w:cs="Arial"/>
          <w:color w:val="000000"/>
        </w:rPr>
        <w:t>Die Leistungsbilanz des Vereinigten Königreichs ist seit 1984 durchgehend negativ.</w:t>
      </w:r>
      <w:r w:rsidR="006B2781" w:rsidRPr="00D82FE8">
        <w:rPr>
          <w:rFonts w:ascii="Arial" w:hAnsi="Arial" w:cs="Arial"/>
          <w:color w:val="000000"/>
        </w:rPr>
        <w:t xml:space="preserve"> </w:t>
      </w:r>
      <w:r w:rsidR="00BE590B" w:rsidRPr="00D82FE8">
        <w:rPr>
          <w:rFonts w:ascii="Arial" w:hAnsi="Arial" w:cs="Arial"/>
          <w:color w:val="000000"/>
        </w:rPr>
        <w:t xml:space="preserve">In den Jahren 2015 bis 2017 betrug das durchschnittliche </w:t>
      </w:r>
      <w:r w:rsidRPr="00D82FE8">
        <w:rPr>
          <w:rFonts w:ascii="Arial" w:hAnsi="Arial" w:cs="Arial"/>
          <w:color w:val="000000"/>
        </w:rPr>
        <w:t>D</w:t>
      </w:r>
      <w:r w:rsidR="00BE590B" w:rsidRPr="00D82FE8">
        <w:rPr>
          <w:rFonts w:ascii="Arial" w:hAnsi="Arial" w:cs="Arial"/>
          <w:color w:val="000000"/>
        </w:rPr>
        <w:t xml:space="preserve">efizit </w:t>
      </w:r>
      <w:r w:rsidR="00D348D2" w:rsidRPr="00D82FE8">
        <w:rPr>
          <w:rFonts w:ascii="Arial" w:hAnsi="Arial" w:cs="Arial"/>
          <w:color w:val="000000"/>
        </w:rPr>
        <w:t>rund</w:t>
      </w:r>
      <w:r w:rsidR="00BE590B" w:rsidRPr="00D82FE8">
        <w:rPr>
          <w:rFonts w:ascii="Arial" w:hAnsi="Arial" w:cs="Arial"/>
          <w:color w:val="000000"/>
        </w:rPr>
        <w:t xml:space="preserve"> 12</w:t>
      </w:r>
      <w:r w:rsidR="00D348D2" w:rsidRPr="00D82FE8">
        <w:rPr>
          <w:rFonts w:ascii="Arial" w:hAnsi="Arial" w:cs="Arial"/>
          <w:color w:val="000000"/>
        </w:rPr>
        <w:t>3</w:t>
      </w:r>
      <w:r w:rsidR="00BE590B" w:rsidRPr="00D82FE8">
        <w:rPr>
          <w:rFonts w:ascii="Arial" w:hAnsi="Arial" w:cs="Arial"/>
          <w:color w:val="000000"/>
        </w:rPr>
        <w:t xml:space="preserve"> Milliarden US-Dollar.</w:t>
      </w:r>
      <w:r w:rsidR="00AF6514" w:rsidRPr="00D82FE8">
        <w:rPr>
          <w:rFonts w:ascii="Arial" w:hAnsi="Arial" w:cs="Arial"/>
          <w:color w:val="000000"/>
        </w:rPr>
        <w:t xml:space="preserve"> Mit deutlichem Abstand folgten darauf die Türkei (Ø 2015 bis 2017: -37,5 Mrd. US$) und Frankreich (-14,1 Mrd. US$)</w:t>
      </w:r>
      <w:r w:rsidR="009230E2">
        <w:rPr>
          <w:rFonts w:ascii="Arial" w:hAnsi="Arial" w:cs="Arial"/>
          <w:color w:val="000000"/>
        </w:rPr>
        <w:t>.</w:t>
      </w:r>
    </w:p>
    <w:p w14:paraId="0E7AF65A" w14:textId="77777777" w:rsidR="00BE590B" w:rsidRPr="00D82FE8" w:rsidRDefault="00BE590B" w:rsidP="00BE590B">
      <w:pPr>
        <w:rPr>
          <w:rFonts w:ascii="Arial" w:hAnsi="Arial" w:cs="Arial"/>
          <w:color w:val="000000"/>
        </w:rPr>
      </w:pPr>
    </w:p>
    <w:p w14:paraId="1E49A481" w14:textId="12211BD8" w:rsidR="00F701AA" w:rsidRPr="00D82FE8" w:rsidRDefault="00BE590B" w:rsidP="001C47F8">
      <w:pPr>
        <w:rPr>
          <w:rFonts w:ascii="Arial" w:hAnsi="Arial" w:cs="Arial"/>
          <w:color w:val="000000"/>
        </w:rPr>
      </w:pPr>
      <w:r w:rsidRPr="00D82FE8">
        <w:rPr>
          <w:rFonts w:ascii="Arial" w:hAnsi="Arial" w:cs="Arial"/>
          <w:color w:val="000000"/>
        </w:rPr>
        <w:t>Relativ zum BIP waren die Defizite allerdings bei mehreren südosteuropäischen Staaten höher</w:t>
      </w:r>
      <w:r w:rsidR="00AF6514" w:rsidRPr="00D82FE8">
        <w:rPr>
          <w:rFonts w:ascii="Arial" w:hAnsi="Arial" w:cs="Arial"/>
          <w:color w:val="000000"/>
        </w:rPr>
        <w:t xml:space="preserve"> als beim Vereinigten Königreich</w:t>
      </w:r>
      <w:r w:rsidRPr="00D82FE8">
        <w:rPr>
          <w:rFonts w:ascii="Arial" w:hAnsi="Arial" w:cs="Arial"/>
          <w:color w:val="000000"/>
        </w:rPr>
        <w:t>.</w:t>
      </w:r>
      <w:r w:rsidR="00AF6514" w:rsidRPr="00D82FE8">
        <w:rPr>
          <w:rFonts w:ascii="Arial" w:hAnsi="Arial" w:cs="Arial"/>
          <w:color w:val="000000"/>
        </w:rPr>
        <w:t xml:space="preserve"> Während die Leistungsbilanzdefizite des Vereinigten Königreichs in den Jahren 2015 bis 2017 durchschnittlich 4,5 Prozent des BIP entsprachen,</w:t>
      </w:r>
      <w:r w:rsidR="00B743BD" w:rsidRPr="00D82FE8">
        <w:rPr>
          <w:rFonts w:ascii="Arial" w:hAnsi="Arial" w:cs="Arial"/>
          <w:color w:val="000000"/>
        </w:rPr>
        <w:t xml:space="preserve"> </w:t>
      </w:r>
      <w:r w:rsidR="00AF6514" w:rsidRPr="00D82FE8">
        <w:rPr>
          <w:rFonts w:ascii="Arial" w:hAnsi="Arial" w:cs="Arial"/>
          <w:color w:val="000000"/>
        </w:rPr>
        <w:t>waren es in Montenegro 14,4 Prozent und in Georgien 11,5 Prozent.</w:t>
      </w:r>
      <w:r w:rsidR="00B743BD" w:rsidRPr="00D82FE8">
        <w:rPr>
          <w:rFonts w:ascii="Arial" w:hAnsi="Arial" w:cs="Arial"/>
          <w:color w:val="000000"/>
        </w:rPr>
        <w:t xml:space="preserve"> </w:t>
      </w:r>
      <w:r w:rsidR="00AF6514" w:rsidRPr="00D82FE8">
        <w:rPr>
          <w:rFonts w:ascii="Arial" w:hAnsi="Arial" w:cs="Arial"/>
          <w:color w:val="000000"/>
        </w:rPr>
        <w:t xml:space="preserve">Auch in Albanien (Ø </w:t>
      </w:r>
      <w:r w:rsidR="00CE5C8E" w:rsidRPr="00D82FE8">
        <w:rPr>
          <w:rFonts w:ascii="Arial" w:hAnsi="Arial" w:cs="Arial"/>
          <w:color w:val="000000"/>
        </w:rPr>
        <w:t xml:space="preserve">2015 bis 2017: </w:t>
      </w:r>
      <w:r w:rsidR="00AF6514" w:rsidRPr="00D82FE8">
        <w:rPr>
          <w:rFonts w:ascii="Arial" w:hAnsi="Arial" w:cs="Arial"/>
          <w:color w:val="000000"/>
        </w:rPr>
        <w:t>-7,9 Prozent des BIP), Kosovo (-7,6 Prozent), Zypern (-5,0 Prozent), Bosnien und Herzegowina (-4,9 Prozent) sowie der Republik Moldau (-4,8 Prozent)</w:t>
      </w:r>
      <w:r w:rsidR="00B743BD" w:rsidRPr="00D82FE8">
        <w:rPr>
          <w:rFonts w:ascii="Arial" w:hAnsi="Arial" w:cs="Arial"/>
          <w:color w:val="000000"/>
        </w:rPr>
        <w:t xml:space="preserve"> waren die Leistungsbilanzdefizite relativ zum BIP höher als im Vereinigten Königreich.</w:t>
      </w:r>
    </w:p>
    <w:p w14:paraId="0A38991F" w14:textId="77777777" w:rsidR="00F701AA" w:rsidRPr="00D82FE8" w:rsidRDefault="00F701AA" w:rsidP="001C47F8">
      <w:pPr>
        <w:rPr>
          <w:rFonts w:ascii="Arial" w:hAnsi="Arial" w:cs="Arial"/>
          <w:color w:val="000000"/>
        </w:rPr>
      </w:pPr>
    </w:p>
    <w:p w14:paraId="3856ECD7" w14:textId="77777777" w:rsidR="004F0DB5" w:rsidRPr="007F0AC0" w:rsidRDefault="004F0DB5" w:rsidP="00CD4617">
      <w:pPr>
        <w:autoSpaceDE w:val="0"/>
        <w:autoSpaceDN w:val="0"/>
        <w:adjustRightInd w:val="0"/>
        <w:rPr>
          <w:rFonts w:ascii="Arial" w:hAnsi="Arial"/>
          <w:color w:val="FF0000"/>
          <w:lang w:val="en-US"/>
        </w:rPr>
      </w:pPr>
      <w:proofErr w:type="spellStart"/>
      <w:r w:rsidRPr="00651F61">
        <w:rPr>
          <w:rFonts w:ascii="Arial" w:hAnsi="Arial"/>
          <w:color w:val="FF0000"/>
          <w:lang w:val="en-US"/>
        </w:rPr>
        <w:t>Daten</w:t>
      </w:r>
      <w:r w:rsidRPr="007F0AC0">
        <w:rPr>
          <w:rFonts w:ascii="Arial" w:hAnsi="Arial"/>
          <w:color w:val="FF0000"/>
          <w:lang w:val="en-US"/>
        </w:rPr>
        <w:t>quelle</w:t>
      </w:r>
      <w:proofErr w:type="spellEnd"/>
    </w:p>
    <w:p w14:paraId="79C8BEE1" w14:textId="77777777" w:rsidR="004F0DB5" w:rsidRPr="00651F61" w:rsidRDefault="004F0DB5">
      <w:pPr>
        <w:rPr>
          <w:rFonts w:ascii="Arial" w:hAnsi="Arial" w:cs="Arial"/>
          <w:color w:val="000000"/>
          <w:lang w:val="en-US"/>
        </w:rPr>
      </w:pPr>
    </w:p>
    <w:p w14:paraId="254FC895" w14:textId="77777777" w:rsidR="00F371C5" w:rsidRPr="00651F61" w:rsidRDefault="0055353A">
      <w:pPr>
        <w:rPr>
          <w:rFonts w:ascii="Arial" w:hAnsi="Arial" w:cs="Arial"/>
          <w:color w:val="000000"/>
          <w:lang w:val="en-US"/>
        </w:rPr>
      </w:pPr>
      <w:r w:rsidRPr="00651F61">
        <w:rPr>
          <w:rFonts w:ascii="Arial" w:hAnsi="Arial" w:cs="Arial"/>
          <w:color w:val="000000"/>
          <w:lang w:val="en-US"/>
        </w:rPr>
        <w:t>International Monetary Fund (IMF): World Economic Outlook Database 0</w:t>
      </w:r>
      <w:r w:rsidR="00092CEA" w:rsidRPr="00651F61">
        <w:rPr>
          <w:rFonts w:ascii="Arial" w:hAnsi="Arial" w:cs="Arial"/>
          <w:color w:val="000000"/>
          <w:lang w:val="en-US"/>
        </w:rPr>
        <w:t>4</w:t>
      </w:r>
      <w:r w:rsidRPr="00651F61">
        <w:rPr>
          <w:rFonts w:ascii="Arial" w:hAnsi="Arial" w:cs="Arial"/>
          <w:color w:val="000000"/>
          <w:lang w:val="en-US"/>
        </w:rPr>
        <w:t>/201</w:t>
      </w:r>
      <w:r w:rsidR="00F05FFA" w:rsidRPr="00651F61">
        <w:rPr>
          <w:rFonts w:ascii="Arial" w:hAnsi="Arial" w:cs="Arial"/>
          <w:color w:val="000000"/>
          <w:lang w:val="en-US"/>
        </w:rPr>
        <w:t>9</w:t>
      </w:r>
    </w:p>
    <w:p w14:paraId="00CEC5F0" w14:textId="77777777" w:rsidR="0055353A" w:rsidRPr="00651F61" w:rsidRDefault="0055353A">
      <w:pPr>
        <w:rPr>
          <w:rFonts w:ascii="Arial" w:hAnsi="Arial" w:cs="Arial"/>
          <w:color w:val="000000"/>
          <w:lang w:val="en-US"/>
        </w:rPr>
      </w:pPr>
    </w:p>
    <w:p w14:paraId="178C3872" w14:textId="77777777" w:rsidR="004F0DB5" w:rsidRPr="00CD4617" w:rsidRDefault="004F0DB5">
      <w:pPr>
        <w:autoSpaceDE w:val="0"/>
        <w:autoSpaceDN w:val="0"/>
        <w:adjustRightInd w:val="0"/>
        <w:rPr>
          <w:rFonts w:ascii="Arial" w:hAnsi="Arial"/>
          <w:color w:val="FF0000"/>
        </w:rPr>
      </w:pPr>
      <w:r w:rsidRPr="00CD4617">
        <w:rPr>
          <w:rFonts w:ascii="Arial" w:hAnsi="Arial"/>
          <w:color w:val="FF0000"/>
        </w:rPr>
        <w:t>Begriffe, methodische Anmerkungen oder Lesehilfen</w:t>
      </w:r>
    </w:p>
    <w:p w14:paraId="795E1FFD" w14:textId="77777777" w:rsidR="004F0DB5" w:rsidRPr="006B2781" w:rsidRDefault="004F0DB5" w:rsidP="001F451E">
      <w:pPr>
        <w:rPr>
          <w:rFonts w:ascii="Arial" w:hAnsi="Arial" w:cs="Arial"/>
          <w:color w:val="363636"/>
          <w:shd w:val="clear" w:color="auto" w:fill="FFFFFF"/>
        </w:rPr>
      </w:pPr>
    </w:p>
    <w:p w14:paraId="2AFE298E" w14:textId="77777777" w:rsidR="00CB597B" w:rsidRDefault="001F451E" w:rsidP="00D82FE8">
      <w:pPr>
        <w:rPr>
          <w:rFonts w:ascii="Arial" w:hAnsi="Arial" w:cs="Arial"/>
          <w:color w:val="000000"/>
        </w:rPr>
      </w:pPr>
      <w:r w:rsidRPr="00F05FFA">
        <w:rPr>
          <w:rFonts w:ascii="Arial" w:hAnsi="Arial" w:cs="Arial"/>
          <w:color w:val="000000"/>
        </w:rPr>
        <w:t xml:space="preserve">Die </w:t>
      </w:r>
      <w:r w:rsidRPr="00F05FFA">
        <w:rPr>
          <w:rFonts w:ascii="Arial" w:hAnsi="Arial" w:cs="Arial"/>
          <w:b/>
          <w:bCs/>
          <w:color w:val="000000"/>
        </w:rPr>
        <w:t>Leistungsbilanz</w:t>
      </w:r>
      <w:r w:rsidRPr="00F05FFA">
        <w:rPr>
          <w:rFonts w:ascii="Arial" w:hAnsi="Arial" w:cs="Arial"/>
          <w:color w:val="000000"/>
        </w:rPr>
        <w:t xml:space="preserve"> fasst die Handelsbilanz</w:t>
      </w:r>
      <w:r w:rsidRPr="00F05FFA">
        <w:rPr>
          <w:rFonts w:ascii="Arial" w:hAnsi="Arial"/>
          <w:color w:val="000000"/>
        </w:rPr>
        <w:t xml:space="preserve"> (Saldo der Warenexporte und -importe)</w:t>
      </w:r>
      <w:r w:rsidRPr="00F05FFA">
        <w:rPr>
          <w:rFonts w:ascii="Arial" w:hAnsi="Arial" w:cs="Arial"/>
          <w:color w:val="000000"/>
        </w:rPr>
        <w:t xml:space="preserve">, die Dienstleistungsbilanz (Saldo der Dienstleistungsexporte und -importe) sowie die Bilanz der Primär- und Sekundäreinkommen zusammen. Die Teilbilanz der </w:t>
      </w:r>
      <w:r w:rsidRPr="00F05FFA">
        <w:rPr>
          <w:rFonts w:ascii="Arial" w:hAnsi="Arial" w:cs="Arial"/>
          <w:b/>
          <w:bCs/>
          <w:color w:val="000000"/>
        </w:rPr>
        <w:t>Primäreinkommen</w:t>
      </w:r>
      <w:r w:rsidRPr="00F05FFA">
        <w:rPr>
          <w:rFonts w:ascii="Arial" w:hAnsi="Arial" w:cs="Arial"/>
          <w:color w:val="000000"/>
        </w:rPr>
        <w:t xml:space="preserve"> umfasst grenzüberschreitende Zahlungen aus Erwerbstätigkeit und Vermögensanlagen, darunter Zins- und Dividendenzahlungen. Unter den </w:t>
      </w:r>
      <w:r w:rsidRPr="00F05FFA">
        <w:rPr>
          <w:rFonts w:ascii="Arial" w:hAnsi="Arial" w:cs="Arial"/>
          <w:b/>
          <w:bCs/>
          <w:color w:val="000000"/>
        </w:rPr>
        <w:t>Sekundäreinkommen</w:t>
      </w:r>
      <w:r w:rsidRPr="00F05FFA">
        <w:rPr>
          <w:rFonts w:ascii="Arial" w:hAnsi="Arial" w:cs="Arial"/>
          <w:color w:val="000000"/>
        </w:rPr>
        <w:t xml:space="preserve"> werden regelmäßige Zahlungen verstanden, denen keine unmittelbare Leistung der anderen Seite gegenübersteht – so zum Beispiel </w:t>
      </w:r>
      <w:r w:rsidRPr="00F05FFA">
        <w:rPr>
          <w:rFonts w:ascii="Arial" w:hAnsi="Arial"/>
          <w:color w:val="000000"/>
        </w:rPr>
        <w:t xml:space="preserve">Überweisungen von ausländischen </w:t>
      </w:r>
      <w:r w:rsidRPr="00D82FE8">
        <w:rPr>
          <w:rFonts w:ascii="Arial" w:hAnsi="Arial" w:cs="Arial"/>
          <w:color w:val="000000"/>
        </w:rPr>
        <w:t>Arbeitnehmern</w:t>
      </w:r>
      <w:r w:rsidRPr="00F05FFA">
        <w:rPr>
          <w:rFonts w:ascii="Arial" w:hAnsi="Arial"/>
          <w:color w:val="000000"/>
        </w:rPr>
        <w:t xml:space="preserve"> in ihre Heimatländer</w:t>
      </w:r>
      <w:r w:rsidRPr="00F05FFA">
        <w:rPr>
          <w:rFonts w:ascii="Arial" w:hAnsi="Arial" w:cs="Arial"/>
          <w:color w:val="000000"/>
        </w:rPr>
        <w:t>, die Zahlungen des Staates an internationale Organisationen wie die Vereinten Nationen oder Leistungen im Rahmen der Entwicklungshilfe.</w:t>
      </w:r>
    </w:p>
    <w:p w14:paraId="738CF962" w14:textId="77777777" w:rsidR="00D82FE8" w:rsidRDefault="00D82FE8" w:rsidP="00D82FE8">
      <w:pPr>
        <w:rPr>
          <w:rFonts w:ascii="Arial" w:hAnsi="Arial" w:cs="Arial"/>
          <w:color w:val="000000"/>
        </w:rPr>
      </w:pPr>
    </w:p>
    <w:p w14:paraId="02482BC7" w14:textId="77777777" w:rsidR="004F0DB5" w:rsidRPr="00F05FFA" w:rsidRDefault="00D82FE8" w:rsidP="00D82FE8">
      <w:pPr>
        <w:rPr>
          <w:rFonts w:ascii="Arial" w:hAnsi="Arial" w:cs="Arial"/>
          <w:color w:val="000000"/>
        </w:rPr>
      </w:pPr>
      <w:r>
        <w:rPr>
          <w:rFonts w:ascii="Arial" w:hAnsi="Arial" w:cs="Arial"/>
          <w:color w:val="000000"/>
        </w:rPr>
        <w:t>D</w:t>
      </w:r>
      <w:r w:rsidR="000D22EB" w:rsidRPr="00F05FFA">
        <w:rPr>
          <w:rFonts w:ascii="Arial" w:hAnsi="Arial" w:cs="Arial"/>
          <w:color w:val="000000"/>
        </w:rPr>
        <w:t xml:space="preserve">as </w:t>
      </w:r>
      <w:r w:rsidR="000D22EB" w:rsidRPr="00D82FE8">
        <w:rPr>
          <w:rFonts w:ascii="Arial" w:hAnsi="Arial" w:cs="Arial"/>
          <w:b/>
          <w:color w:val="000000"/>
        </w:rPr>
        <w:t>Bruttoinlandsprodukt (BIP)</w:t>
      </w:r>
      <w:r w:rsidR="000D22EB" w:rsidRPr="00F05FFA">
        <w:rPr>
          <w:rFonts w:ascii="Arial" w:hAnsi="Arial" w:cs="Arial"/>
          <w:color w:val="000000"/>
        </w:rPr>
        <w:t xml:space="preserve"> misst den Wert der im Inland hergestellten Waren und Dienstleistungen (Wertschöpfung), soweit diese nicht als Vorleistungen für die Produktion anderer Waren und Dienstleistungen verwendet werden. Das BIP ist gegenwärtig das wichtigste gesamtwirtschaftliche Produktionsmaß.</w:t>
      </w:r>
    </w:p>
    <w:p w14:paraId="25C4187B" w14:textId="77777777" w:rsidR="004162AB" w:rsidRPr="00D82FE8" w:rsidRDefault="004162AB" w:rsidP="004162AB">
      <w:pPr>
        <w:rPr>
          <w:rFonts w:ascii="Arial" w:hAnsi="Arial" w:cs="Arial"/>
          <w:color w:val="000000"/>
        </w:rPr>
      </w:pPr>
    </w:p>
    <w:p w14:paraId="6EEC0073" w14:textId="77777777" w:rsidR="004162AB" w:rsidRPr="00CD4617" w:rsidRDefault="004162AB" w:rsidP="004162AB">
      <w:pPr>
        <w:rPr>
          <w:rFonts w:ascii="Arial" w:hAnsi="Arial"/>
          <w:sz w:val="20"/>
          <w:szCs w:val="20"/>
        </w:rPr>
      </w:pPr>
      <w:r w:rsidRPr="00CD4617">
        <w:rPr>
          <w:rFonts w:ascii="Arial" w:hAnsi="Arial"/>
          <w:sz w:val="20"/>
          <w:szCs w:val="20"/>
        </w:rPr>
        <w:t xml:space="preserve">Dieser Text ist unter der Creative </w:t>
      </w:r>
      <w:proofErr w:type="spellStart"/>
      <w:r w:rsidRPr="00CD4617">
        <w:rPr>
          <w:rFonts w:ascii="Arial" w:hAnsi="Arial"/>
          <w:sz w:val="20"/>
          <w:szCs w:val="20"/>
        </w:rPr>
        <w:t>Commons</w:t>
      </w:r>
      <w:proofErr w:type="spellEnd"/>
      <w:r w:rsidRPr="00CD4617">
        <w:rPr>
          <w:rFonts w:ascii="Arial" w:hAnsi="Arial"/>
          <w:sz w:val="20"/>
          <w:szCs w:val="20"/>
        </w:rPr>
        <w:t xml:space="preserve"> Lizenz </w:t>
      </w:r>
      <w:hyperlink r:id="rId5" w:tgtFrame="extern" w:history="1">
        <w:proofErr w:type="spellStart"/>
        <w:r w:rsidRPr="00CD4617">
          <w:rPr>
            <w:rFonts w:ascii="Arial" w:hAnsi="Arial"/>
            <w:sz w:val="20"/>
            <w:szCs w:val="20"/>
          </w:rPr>
          <w:t>by-nc-nd</w:t>
        </w:r>
        <w:proofErr w:type="spellEnd"/>
        <w:r w:rsidRPr="00CD4617">
          <w:rPr>
            <w:rFonts w:ascii="Arial" w:hAnsi="Arial"/>
            <w:sz w:val="20"/>
            <w:szCs w:val="20"/>
          </w:rPr>
          <w:t>/3.0/de/</w:t>
        </w:r>
      </w:hyperlink>
      <w:r w:rsidRPr="00CD4617">
        <w:rPr>
          <w:rFonts w:ascii="Arial" w:hAnsi="Arial"/>
          <w:sz w:val="20"/>
          <w:szCs w:val="20"/>
        </w:rPr>
        <w:t xml:space="preserve"> veröffentlicht. </w:t>
      </w:r>
    </w:p>
    <w:p w14:paraId="6EDA1D7B" w14:textId="77777777" w:rsidR="004162AB" w:rsidRPr="00CD4617" w:rsidRDefault="004162AB" w:rsidP="009E5B6D">
      <w:pPr>
        <w:rPr>
          <w:rFonts w:ascii="Arial" w:hAnsi="Arial" w:cs="Arial"/>
          <w:i/>
          <w:color w:val="000000"/>
        </w:rPr>
      </w:pPr>
      <w:r w:rsidRPr="00CD4617">
        <w:rPr>
          <w:rFonts w:ascii="Arial" w:hAnsi="Arial"/>
          <w:sz w:val="20"/>
          <w:szCs w:val="20"/>
        </w:rPr>
        <w:t>Bundeszentrale für politische Bildung 201</w:t>
      </w:r>
      <w:r w:rsidR="00CD4617" w:rsidRPr="00CD4617">
        <w:rPr>
          <w:rFonts w:ascii="Arial" w:hAnsi="Arial"/>
          <w:sz w:val="20"/>
          <w:szCs w:val="20"/>
        </w:rPr>
        <w:t>9</w:t>
      </w:r>
      <w:r w:rsidRPr="00CD4617">
        <w:rPr>
          <w:rFonts w:ascii="Arial" w:hAnsi="Arial"/>
          <w:sz w:val="20"/>
          <w:szCs w:val="20"/>
        </w:rPr>
        <w:t xml:space="preserve"> | </w:t>
      </w:r>
      <w:hyperlink r:id="rId6" w:history="1">
        <w:r w:rsidRPr="00CD4617">
          <w:rPr>
            <w:rFonts w:ascii="Arial" w:hAnsi="Arial"/>
            <w:sz w:val="20"/>
            <w:szCs w:val="20"/>
          </w:rPr>
          <w:t>www.bpb.de</w:t>
        </w:r>
      </w:hyperlink>
    </w:p>
    <w:sectPr w:rsidR="004162AB" w:rsidRPr="00CD4617">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C89A8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pb-mj">
    <w15:presenceInfo w15:providerId="None" w15:userId="bpb-m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0E8"/>
    <w:rsid w:val="00024585"/>
    <w:rsid w:val="00092CEA"/>
    <w:rsid w:val="000D22EB"/>
    <w:rsid w:val="000E0331"/>
    <w:rsid w:val="0011728D"/>
    <w:rsid w:val="00123689"/>
    <w:rsid w:val="00132F90"/>
    <w:rsid w:val="0019385C"/>
    <w:rsid w:val="001B315E"/>
    <w:rsid w:val="001C47F8"/>
    <w:rsid w:val="001F451E"/>
    <w:rsid w:val="0021311A"/>
    <w:rsid w:val="00277542"/>
    <w:rsid w:val="002924AD"/>
    <w:rsid w:val="002F3083"/>
    <w:rsid w:val="00335609"/>
    <w:rsid w:val="00355CD6"/>
    <w:rsid w:val="00356A17"/>
    <w:rsid w:val="00361CDE"/>
    <w:rsid w:val="003667E9"/>
    <w:rsid w:val="003A07D4"/>
    <w:rsid w:val="003C4C9D"/>
    <w:rsid w:val="003E5F6C"/>
    <w:rsid w:val="004064B9"/>
    <w:rsid w:val="004162AB"/>
    <w:rsid w:val="00423040"/>
    <w:rsid w:val="004657F5"/>
    <w:rsid w:val="004F0DB5"/>
    <w:rsid w:val="00504281"/>
    <w:rsid w:val="0055353A"/>
    <w:rsid w:val="0061537D"/>
    <w:rsid w:val="00651F61"/>
    <w:rsid w:val="00664746"/>
    <w:rsid w:val="006B2781"/>
    <w:rsid w:val="006D5C61"/>
    <w:rsid w:val="007B1EA3"/>
    <w:rsid w:val="007F0AC0"/>
    <w:rsid w:val="0086272C"/>
    <w:rsid w:val="00876F09"/>
    <w:rsid w:val="008C31B3"/>
    <w:rsid w:val="008D3646"/>
    <w:rsid w:val="009117C1"/>
    <w:rsid w:val="009230E2"/>
    <w:rsid w:val="00993E1F"/>
    <w:rsid w:val="009C3C4E"/>
    <w:rsid w:val="009E0232"/>
    <w:rsid w:val="009E5B6D"/>
    <w:rsid w:val="009F18F6"/>
    <w:rsid w:val="009F60E8"/>
    <w:rsid w:val="009F666A"/>
    <w:rsid w:val="00A866D6"/>
    <w:rsid w:val="00AF6514"/>
    <w:rsid w:val="00B6124C"/>
    <w:rsid w:val="00B743BD"/>
    <w:rsid w:val="00B7611F"/>
    <w:rsid w:val="00B91700"/>
    <w:rsid w:val="00BE590B"/>
    <w:rsid w:val="00C0651D"/>
    <w:rsid w:val="00C1241F"/>
    <w:rsid w:val="00C57CF9"/>
    <w:rsid w:val="00C82D68"/>
    <w:rsid w:val="00C95192"/>
    <w:rsid w:val="00CB597B"/>
    <w:rsid w:val="00CC5643"/>
    <w:rsid w:val="00CD4617"/>
    <w:rsid w:val="00CE5C8E"/>
    <w:rsid w:val="00CF74F2"/>
    <w:rsid w:val="00D348D2"/>
    <w:rsid w:val="00D82491"/>
    <w:rsid w:val="00D82FE8"/>
    <w:rsid w:val="00DA69E0"/>
    <w:rsid w:val="00DB0346"/>
    <w:rsid w:val="00DC1F07"/>
    <w:rsid w:val="00E0180D"/>
    <w:rsid w:val="00E75771"/>
    <w:rsid w:val="00EF42D4"/>
    <w:rsid w:val="00F05FFA"/>
    <w:rsid w:val="00F06E14"/>
    <w:rsid w:val="00F26F5F"/>
    <w:rsid w:val="00F371C5"/>
    <w:rsid w:val="00F63A65"/>
    <w:rsid w:val="00F701AA"/>
    <w:rsid w:val="00F829C8"/>
    <w:rsid w:val="00F949C3"/>
    <w:rsid w:val="00FC0382"/>
    <w:rsid w:val="00FD47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C3C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overflowPunct w:val="0"/>
      <w:autoSpaceDE w:val="0"/>
      <w:autoSpaceDN w:val="0"/>
      <w:adjustRightInd w:val="0"/>
      <w:jc w:val="center"/>
      <w:textAlignment w:val="baseline"/>
      <w:outlineLvl w:val="3"/>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rPr>
      <w:vertAlign w:val="superscript"/>
    </w:rPr>
  </w:style>
  <w:style w:type="paragraph" w:styleId="Funotentext">
    <w:name w:val="footnote text"/>
    <w:basedOn w:val="Standard"/>
    <w:semiHidden/>
    <w:pPr>
      <w:overflowPunct w:val="0"/>
      <w:autoSpaceDE w:val="0"/>
      <w:autoSpaceDN w:val="0"/>
      <w:adjustRightInd w:val="0"/>
      <w:textAlignment w:val="baseline"/>
    </w:pPr>
    <w:rPr>
      <w:sz w:val="20"/>
      <w:szCs w:val="20"/>
    </w:rPr>
  </w:style>
  <w:style w:type="paragraph" w:styleId="Fuzeile">
    <w:name w:val="footer"/>
    <w:basedOn w:val="Standard"/>
    <w:pPr>
      <w:tabs>
        <w:tab w:val="center" w:pos="4536"/>
        <w:tab w:val="right" w:pos="9072"/>
      </w:tabs>
      <w:overflowPunct w:val="0"/>
      <w:autoSpaceDE w:val="0"/>
      <w:autoSpaceDN w:val="0"/>
      <w:adjustRightInd w:val="0"/>
      <w:textAlignment w:val="baseline"/>
    </w:pPr>
    <w:rPr>
      <w:szCs w:val="20"/>
    </w:rPr>
  </w:style>
  <w:style w:type="paragraph" w:customStyle="1" w:styleId="Textkrper21">
    <w:name w:val="Textkörper 21"/>
    <w:basedOn w:val="Standard"/>
    <w:pPr>
      <w:overflowPunct w:val="0"/>
      <w:autoSpaceDE w:val="0"/>
      <w:autoSpaceDN w:val="0"/>
      <w:adjustRightInd w:val="0"/>
      <w:spacing w:line="480" w:lineRule="auto"/>
      <w:textAlignment w:val="baseline"/>
    </w:pPr>
    <w:rPr>
      <w:b/>
      <w:szCs w:val="20"/>
    </w:rPr>
  </w:style>
  <w:style w:type="paragraph" w:styleId="StandardWeb">
    <w:name w:val="Normal (Web)"/>
    <w:basedOn w:val="Standard"/>
    <w:uiPriority w:val="99"/>
    <w:pPr>
      <w:spacing w:before="100" w:beforeAutospacing="1" w:after="100" w:afterAutospacing="1"/>
    </w:pPr>
  </w:style>
  <w:style w:type="character" w:styleId="Hyperlink">
    <w:name w:val="Hyperlink"/>
    <w:rPr>
      <w:color w:val="0000FF"/>
      <w:u w:val="single"/>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uiPriority w:val="99"/>
    <w:semiHidden/>
    <w:unhideWhenUsed/>
    <w:rsid w:val="00664746"/>
    <w:rPr>
      <w:sz w:val="16"/>
      <w:szCs w:val="16"/>
    </w:rPr>
  </w:style>
  <w:style w:type="paragraph" w:styleId="Kommentartext">
    <w:name w:val="annotation text"/>
    <w:basedOn w:val="Standard"/>
    <w:link w:val="KommentartextZchn"/>
    <w:uiPriority w:val="99"/>
    <w:semiHidden/>
    <w:unhideWhenUsed/>
    <w:rsid w:val="00664746"/>
    <w:rPr>
      <w:sz w:val="20"/>
      <w:szCs w:val="20"/>
    </w:rPr>
  </w:style>
  <w:style w:type="character" w:customStyle="1" w:styleId="KommentartextZchn">
    <w:name w:val="Kommentartext Zchn"/>
    <w:basedOn w:val="Absatz-Standardschriftart"/>
    <w:link w:val="Kommentartext"/>
    <w:uiPriority w:val="99"/>
    <w:semiHidden/>
    <w:rsid w:val="00664746"/>
  </w:style>
  <w:style w:type="paragraph" w:styleId="Kommentarthema">
    <w:name w:val="annotation subject"/>
    <w:basedOn w:val="Kommentartext"/>
    <w:next w:val="Kommentartext"/>
    <w:link w:val="KommentarthemaZchn"/>
    <w:uiPriority w:val="99"/>
    <w:semiHidden/>
    <w:unhideWhenUsed/>
    <w:rsid w:val="00664746"/>
    <w:rPr>
      <w:b/>
      <w:bCs/>
    </w:rPr>
  </w:style>
  <w:style w:type="character" w:customStyle="1" w:styleId="KommentarthemaZchn">
    <w:name w:val="Kommentarthema Zchn"/>
    <w:link w:val="Kommentarthema"/>
    <w:uiPriority w:val="99"/>
    <w:semiHidden/>
    <w:rsid w:val="0066474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overflowPunct w:val="0"/>
      <w:autoSpaceDE w:val="0"/>
      <w:autoSpaceDN w:val="0"/>
      <w:adjustRightInd w:val="0"/>
      <w:jc w:val="center"/>
      <w:textAlignment w:val="baseline"/>
      <w:outlineLvl w:val="3"/>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rPr>
      <w:vertAlign w:val="superscript"/>
    </w:rPr>
  </w:style>
  <w:style w:type="paragraph" w:styleId="Funotentext">
    <w:name w:val="footnote text"/>
    <w:basedOn w:val="Standard"/>
    <w:semiHidden/>
    <w:pPr>
      <w:overflowPunct w:val="0"/>
      <w:autoSpaceDE w:val="0"/>
      <w:autoSpaceDN w:val="0"/>
      <w:adjustRightInd w:val="0"/>
      <w:textAlignment w:val="baseline"/>
    </w:pPr>
    <w:rPr>
      <w:sz w:val="20"/>
      <w:szCs w:val="20"/>
    </w:rPr>
  </w:style>
  <w:style w:type="paragraph" w:styleId="Fuzeile">
    <w:name w:val="footer"/>
    <w:basedOn w:val="Standard"/>
    <w:pPr>
      <w:tabs>
        <w:tab w:val="center" w:pos="4536"/>
        <w:tab w:val="right" w:pos="9072"/>
      </w:tabs>
      <w:overflowPunct w:val="0"/>
      <w:autoSpaceDE w:val="0"/>
      <w:autoSpaceDN w:val="0"/>
      <w:adjustRightInd w:val="0"/>
      <w:textAlignment w:val="baseline"/>
    </w:pPr>
    <w:rPr>
      <w:szCs w:val="20"/>
    </w:rPr>
  </w:style>
  <w:style w:type="paragraph" w:customStyle="1" w:styleId="Textkrper21">
    <w:name w:val="Textkörper 21"/>
    <w:basedOn w:val="Standard"/>
    <w:pPr>
      <w:overflowPunct w:val="0"/>
      <w:autoSpaceDE w:val="0"/>
      <w:autoSpaceDN w:val="0"/>
      <w:adjustRightInd w:val="0"/>
      <w:spacing w:line="480" w:lineRule="auto"/>
      <w:textAlignment w:val="baseline"/>
    </w:pPr>
    <w:rPr>
      <w:b/>
      <w:szCs w:val="20"/>
    </w:rPr>
  </w:style>
  <w:style w:type="paragraph" w:styleId="StandardWeb">
    <w:name w:val="Normal (Web)"/>
    <w:basedOn w:val="Standard"/>
    <w:uiPriority w:val="99"/>
    <w:pPr>
      <w:spacing w:before="100" w:beforeAutospacing="1" w:after="100" w:afterAutospacing="1"/>
    </w:pPr>
  </w:style>
  <w:style w:type="character" w:styleId="Hyperlink">
    <w:name w:val="Hyperlink"/>
    <w:rPr>
      <w:color w:val="0000FF"/>
      <w:u w:val="single"/>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uiPriority w:val="99"/>
    <w:semiHidden/>
    <w:unhideWhenUsed/>
    <w:rsid w:val="00664746"/>
    <w:rPr>
      <w:sz w:val="16"/>
      <w:szCs w:val="16"/>
    </w:rPr>
  </w:style>
  <w:style w:type="paragraph" w:styleId="Kommentartext">
    <w:name w:val="annotation text"/>
    <w:basedOn w:val="Standard"/>
    <w:link w:val="KommentartextZchn"/>
    <w:uiPriority w:val="99"/>
    <w:semiHidden/>
    <w:unhideWhenUsed/>
    <w:rsid w:val="00664746"/>
    <w:rPr>
      <w:sz w:val="20"/>
      <w:szCs w:val="20"/>
    </w:rPr>
  </w:style>
  <w:style w:type="character" w:customStyle="1" w:styleId="KommentartextZchn">
    <w:name w:val="Kommentartext Zchn"/>
    <w:basedOn w:val="Absatz-Standardschriftart"/>
    <w:link w:val="Kommentartext"/>
    <w:uiPriority w:val="99"/>
    <w:semiHidden/>
    <w:rsid w:val="00664746"/>
  </w:style>
  <w:style w:type="paragraph" w:styleId="Kommentarthema">
    <w:name w:val="annotation subject"/>
    <w:basedOn w:val="Kommentartext"/>
    <w:next w:val="Kommentartext"/>
    <w:link w:val="KommentarthemaZchn"/>
    <w:uiPriority w:val="99"/>
    <w:semiHidden/>
    <w:unhideWhenUsed/>
    <w:rsid w:val="00664746"/>
    <w:rPr>
      <w:b/>
      <w:bCs/>
    </w:rPr>
  </w:style>
  <w:style w:type="character" w:customStyle="1" w:styleId="KommentarthemaZchn">
    <w:name w:val="Kommentarthema Zchn"/>
    <w:link w:val="Kommentarthema"/>
    <w:uiPriority w:val="99"/>
    <w:semiHidden/>
    <w:rsid w:val="006647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380043">
      <w:bodyDiv w:val="1"/>
      <w:marLeft w:val="0"/>
      <w:marRight w:val="0"/>
      <w:marTop w:val="0"/>
      <w:marBottom w:val="0"/>
      <w:divBdr>
        <w:top w:val="none" w:sz="0" w:space="0" w:color="auto"/>
        <w:left w:val="none" w:sz="0" w:space="0" w:color="auto"/>
        <w:bottom w:val="none" w:sz="0" w:space="0" w:color="auto"/>
        <w:right w:val="none" w:sz="0" w:space="0" w:color="auto"/>
      </w:divBdr>
    </w:div>
    <w:div w:id="214731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pb.de" TargetMode="External"/><Relationship Id="rId5" Type="http://schemas.openxmlformats.org/officeDocument/2006/relationships/hyperlink" Target="http://creativecommons.org/licenses/by-nc-nd/3.0/de/" TargetMode="External"/><Relationship Id="rId10"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4958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##subtitel|Fakten|options##</vt:lpstr>
    </vt:vector>
  </TitlesOfParts>
  <Company/>
  <LinksUpToDate>false</LinksUpToDate>
  <CharactersWithSpaces>5733</CharactersWithSpaces>
  <SharedDoc>false</SharedDoc>
  <HLinks>
    <vt:vector size="12" baseType="variant">
      <vt:variant>
        <vt:i4>6291563</vt:i4>
      </vt:variant>
      <vt:variant>
        <vt:i4>3</vt:i4>
      </vt:variant>
      <vt:variant>
        <vt:i4>0</vt:i4>
      </vt:variant>
      <vt:variant>
        <vt:i4>5</vt:i4>
      </vt:variant>
      <vt:variant>
        <vt:lpwstr>http://www.bpb.de/</vt:lpwstr>
      </vt:variant>
      <vt:variant>
        <vt:lpwstr/>
      </vt:variant>
      <vt:variant>
        <vt:i4>524300</vt:i4>
      </vt:variant>
      <vt:variant>
        <vt:i4>0</vt:i4>
      </vt:variant>
      <vt:variant>
        <vt:i4>0</vt:i4>
      </vt:variant>
      <vt:variant>
        <vt:i4>5</vt:i4>
      </vt:variant>
      <vt:variant>
        <vt:lpwstr>http://creativecommons.org/licenses/by-nc-nd/3.0/de/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##subtitel|Fakten|options##</dc:title>
  <dc:creator>Christian Boetel</dc:creator>
  <cp:lastModifiedBy>Christian Hartmann</cp:lastModifiedBy>
  <cp:revision>4</cp:revision>
  <cp:lastPrinted>2006-05-26T22:48:00Z</cp:lastPrinted>
  <dcterms:created xsi:type="dcterms:W3CDTF">2019-07-16T10:34:00Z</dcterms:created>
  <dcterms:modified xsi:type="dcterms:W3CDTF">2019-07-16T10:46:00Z</dcterms:modified>
</cp:coreProperties>
</file>