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AB416" w14:textId="6FE02607" w:rsidR="008201BB" w:rsidRPr="008201BB" w:rsidRDefault="00C301D1" w:rsidP="008201BB">
      <w:pPr>
        <w:pStyle w:val="Listenabsatz"/>
        <w:numPr>
          <w:ilvl w:val="0"/>
          <w:numId w:val="2"/>
        </w:numPr>
        <w:rPr>
          <w:rFonts w:ascii="Arial" w:hAnsi="Arial" w:cs="Arial"/>
          <w:b/>
        </w:rPr>
      </w:pPr>
      <w:bookmarkStart w:id="0" w:name="_GoBack"/>
      <w:bookmarkEnd w:id="0"/>
      <w:r w:rsidRPr="008201BB">
        <w:rPr>
          <w:rFonts w:ascii="Arial" w:hAnsi="Arial" w:cs="Arial"/>
          <w:b/>
        </w:rPr>
        <w:t>Vor allem Krisen wie die globale Finanz- und Wirtschaftskrise 2008/2009 oder die Corona-Pandemie führ</w:t>
      </w:r>
      <w:r w:rsidR="00491B99" w:rsidRPr="008201BB">
        <w:rPr>
          <w:rFonts w:ascii="Arial" w:hAnsi="Arial" w:cs="Arial"/>
          <w:b/>
        </w:rPr>
        <w:t>t</w:t>
      </w:r>
      <w:r w:rsidRPr="008201BB">
        <w:rPr>
          <w:rFonts w:ascii="Arial" w:hAnsi="Arial" w:cs="Arial"/>
          <w:b/>
        </w:rPr>
        <w:t>en zu einer Erhöhung der öffentlichen Schulden der Mitgliedstaaten der EU.</w:t>
      </w:r>
    </w:p>
    <w:p w14:paraId="073258CB" w14:textId="77777777" w:rsidR="008201BB" w:rsidRPr="008201BB" w:rsidRDefault="008201BB" w:rsidP="00B95D4E">
      <w:pPr>
        <w:rPr>
          <w:rFonts w:ascii="Arial" w:hAnsi="Arial" w:cs="Arial"/>
          <w:b/>
        </w:rPr>
      </w:pPr>
    </w:p>
    <w:p w14:paraId="5CC6F5A0" w14:textId="55F9FC08" w:rsidR="008201BB" w:rsidRPr="008201BB" w:rsidRDefault="001B363A" w:rsidP="008201BB">
      <w:pPr>
        <w:pStyle w:val="Listenabsatz"/>
        <w:numPr>
          <w:ilvl w:val="0"/>
          <w:numId w:val="2"/>
        </w:numPr>
        <w:rPr>
          <w:rFonts w:ascii="Arial" w:hAnsi="Arial" w:cs="Arial"/>
          <w:b/>
        </w:rPr>
      </w:pPr>
      <w:r w:rsidRPr="008201BB">
        <w:rPr>
          <w:rFonts w:ascii="Arial" w:hAnsi="Arial" w:cs="Arial"/>
          <w:b/>
        </w:rPr>
        <w:t>Allerdings</w:t>
      </w:r>
      <w:r w:rsidR="00491B99" w:rsidRPr="008201BB">
        <w:rPr>
          <w:rFonts w:ascii="Arial" w:hAnsi="Arial" w:cs="Arial"/>
          <w:b/>
        </w:rPr>
        <w:t xml:space="preserve"> </w:t>
      </w:r>
      <w:r w:rsidR="00703AE8" w:rsidRPr="008201BB">
        <w:rPr>
          <w:rFonts w:ascii="Arial" w:hAnsi="Arial" w:cs="Arial"/>
          <w:b/>
        </w:rPr>
        <w:t xml:space="preserve">gingen </w:t>
      </w:r>
      <w:r w:rsidR="00E82940" w:rsidRPr="008201BB">
        <w:rPr>
          <w:rFonts w:ascii="Arial" w:hAnsi="Arial" w:cs="Arial"/>
          <w:b/>
        </w:rPr>
        <w:t>die Schulden b</w:t>
      </w:r>
      <w:r w:rsidR="00871DA4" w:rsidRPr="008201BB">
        <w:rPr>
          <w:rFonts w:ascii="Arial" w:hAnsi="Arial" w:cs="Arial"/>
          <w:b/>
        </w:rPr>
        <w:t xml:space="preserve">ezogen auf das BIP </w:t>
      </w:r>
      <w:r w:rsidR="00703AE8" w:rsidRPr="008201BB">
        <w:rPr>
          <w:rFonts w:ascii="Arial" w:hAnsi="Arial" w:cs="Arial"/>
          <w:b/>
        </w:rPr>
        <w:t>z</w:t>
      </w:r>
      <w:r w:rsidR="00E82940" w:rsidRPr="008201BB">
        <w:rPr>
          <w:rFonts w:ascii="Arial" w:hAnsi="Arial" w:cs="Arial"/>
          <w:b/>
        </w:rPr>
        <w:t>wischen 2014 und 2019</w:t>
      </w:r>
      <w:r w:rsidR="00A83EC6" w:rsidRPr="008201BB">
        <w:rPr>
          <w:rFonts w:ascii="Arial" w:hAnsi="Arial" w:cs="Arial"/>
          <w:b/>
        </w:rPr>
        <w:t xml:space="preserve"> </w:t>
      </w:r>
      <w:r w:rsidR="008175C2" w:rsidRPr="008201BB">
        <w:rPr>
          <w:rFonts w:ascii="Arial" w:hAnsi="Arial" w:cs="Arial"/>
          <w:b/>
        </w:rPr>
        <w:t>fünf</w:t>
      </w:r>
      <w:r w:rsidR="008F7724">
        <w:rPr>
          <w:rFonts w:ascii="Arial" w:hAnsi="Arial" w:cs="Arial"/>
          <w:b/>
        </w:rPr>
        <w:t>mal</w:t>
      </w:r>
      <w:r w:rsidR="00A83EC6" w:rsidRPr="008201BB">
        <w:rPr>
          <w:rFonts w:ascii="Arial" w:hAnsi="Arial" w:cs="Arial"/>
          <w:b/>
        </w:rPr>
        <w:t xml:space="preserve"> in Folge zurück</w:t>
      </w:r>
      <w:r w:rsidR="007272B3" w:rsidRPr="008201BB">
        <w:rPr>
          <w:rFonts w:ascii="Arial" w:hAnsi="Arial" w:cs="Arial"/>
          <w:b/>
        </w:rPr>
        <w:t xml:space="preserve"> –</w:t>
      </w:r>
      <w:r w:rsidR="00703AE8" w:rsidRPr="008201BB">
        <w:rPr>
          <w:rFonts w:ascii="Arial" w:hAnsi="Arial" w:cs="Arial"/>
          <w:b/>
        </w:rPr>
        <w:t xml:space="preserve"> i</w:t>
      </w:r>
      <w:r w:rsidR="00D21BFF" w:rsidRPr="008201BB">
        <w:rPr>
          <w:rFonts w:ascii="Arial" w:hAnsi="Arial" w:cs="Arial"/>
          <w:b/>
        </w:rPr>
        <w:t xml:space="preserve">nsgesamt </w:t>
      </w:r>
      <w:r w:rsidR="007272B3" w:rsidRPr="008201BB">
        <w:rPr>
          <w:rFonts w:ascii="Arial" w:hAnsi="Arial" w:cs="Arial"/>
          <w:b/>
        </w:rPr>
        <w:t>in 2</w:t>
      </w:r>
      <w:r w:rsidR="00703AE8" w:rsidRPr="008201BB">
        <w:rPr>
          <w:rFonts w:ascii="Arial" w:hAnsi="Arial" w:cs="Arial"/>
          <w:b/>
        </w:rPr>
        <w:t>3</w:t>
      </w:r>
      <w:r w:rsidR="007272B3" w:rsidRPr="008201BB">
        <w:rPr>
          <w:rFonts w:ascii="Arial" w:hAnsi="Arial" w:cs="Arial"/>
          <w:b/>
        </w:rPr>
        <w:t xml:space="preserve"> </w:t>
      </w:r>
      <w:r w:rsidR="00C746B9" w:rsidRPr="008201BB">
        <w:rPr>
          <w:rFonts w:ascii="Arial" w:hAnsi="Arial" w:cs="Arial"/>
          <w:b/>
        </w:rPr>
        <w:t xml:space="preserve">von 27 </w:t>
      </w:r>
      <w:r w:rsidR="008175C2" w:rsidRPr="008201BB">
        <w:rPr>
          <w:rFonts w:ascii="Arial" w:hAnsi="Arial" w:cs="Arial"/>
          <w:b/>
        </w:rPr>
        <w:t>EU-</w:t>
      </w:r>
      <w:r w:rsidR="00B95D4E" w:rsidRPr="008201BB">
        <w:rPr>
          <w:rFonts w:ascii="Arial" w:hAnsi="Arial" w:cs="Arial"/>
          <w:b/>
        </w:rPr>
        <w:t>S</w:t>
      </w:r>
      <w:r w:rsidR="007272B3" w:rsidRPr="008201BB">
        <w:rPr>
          <w:rFonts w:ascii="Arial" w:hAnsi="Arial" w:cs="Arial"/>
          <w:b/>
        </w:rPr>
        <w:t>taaten</w:t>
      </w:r>
      <w:r w:rsidR="0038034E" w:rsidRPr="008201BB">
        <w:rPr>
          <w:rFonts w:ascii="Arial" w:hAnsi="Arial" w:cs="Arial"/>
          <w:b/>
        </w:rPr>
        <w:t>.</w:t>
      </w:r>
    </w:p>
    <w:p w14:paraId="74B3FCA2" w14:textId="77777777" w:rsidR="008201BB" w:rsidRPr="008201BB" w:rsidRDefault="008201BB" w:rsidP="00B95D4E">
      <w:pPr>
        <w:rPr>
          <w:rFonts w:ascii="Arial" w:hAnsi="Arial" w:cs="Arial"/>
          <w:b/>
        </w:rPr>
      </w:pPr>
    </w:p>
    <w:p w14:paraId="333841E4" w14:textId="32609BAA" w:rsidR="00703AE8" w:rsidRPr="008201BB" w:rsidRDefault="00491B99" w:rsidP="008201BB">
      <w:pPr>
        <w:pStyle w:val="Listenabsatz"/>
        <w:numPr>
          <w:ilvl w:val="0"/>
          <w:numId w:val="2"/>
        </w:numPr>
        <w:rPr>
          <w:rFonts w:ascii="Arial" w:hAnsi="Arial" w:cs="Arial"/>
          <w:b/>
        </w:rPr>
      </w:pPr>
      <w:r w:rsidRPr="008201BB">
        <w:rPr>
          <w:rFonts w:ascii="Arial" w:hAnsi="Arial" w:cs="Arial"/>
          <w:b/>
        </w:rPr>
        <w:t xml:space="preserve">Und auch </w:t>
      </w:r>
      <w:r w:rsidR="008201BB" w:rsidRPr="008201BB">
        <w:rPr>
          <w:rFonts w:ascii="Arial" w:hAnsi="Arial" w:cs="Arial"/>
          <w:b/>
        </w:rPr>
        <w:t xml:space="preserve">seit </w:t>
      </w:r>
      <w:r w:rsidRPr="008201BB">
        <w:rPr>
          <w:rFonts w:ascii="Arial" w:hAnsi="Arial" w:cs="Arial"/>
          <w:b/>
        </w:rPr>
        <w:t xml:space="preserve">dem Höhepunkt der </w:t>
      </w:r>
      <w:r w:rsidR="00E82940" w:rsidRPr="008201BB">
        <w:rPr>
          <w:rFonts w:ascii="Arial" w:hAnsi="Arial" w:cs="Arial"/>
          <w:b/>
        </w:rPr>
        <w:t xml:space="preserve">Corona-Pandemie </w:t>
      </w:r>
      <w:r w:rsidR="00F34D2E" w:rsidRPr="008201BB">
        <w:rPr>
          <w:rFonts w:ascii="Arial" w:hAnsi="Arial" w:cs="Arial"/>
          <w:b/>
        </w:rPr>
        <w:t>sank</w:t>
      </w:r>
      <w:r w:rsidR="00703AE8" w:rsidRPr="008201BB">
        <w:rPr>
          <w:rFonts w:ascii="Arial" w:hAnsi="Arial" w:cs="Arial"/>
          <w:b/>
        </w:rPr>
        <w:t xml:space="preserve"> der Schuldenstand der EU-27</w:t>
      </w:r>
      <w:r w:rsidR="008201BB" w:rsidRPr="008201BB">
        <w:rPr>
          <w:rFonts w:ascii="Arial" w:hAnsi="Arial" w:cs="Arial"/>
          <w:b/>
        </w:rPr>
        <w:t xml:space="preserve"> von 2020 bis 2023 von 90,0 auf 81,7 Prozent des BIP</w:t>
      </w:r>
      <w:r w:rsidR="00703AE8" w:rsidRPr="008201BB">
        <w:rPr>
          <w:rFonts w:ascii="Arial" w:hAnsi="Arial" w:cs="Arial"/>
          <w:b/>
        </w:rPr>
        <w:t>.</w:t>
      </w:r>
    </w:p>
    <w:p w14:paraId="018C1B9A" w14:textId="77777777" w:rsidR="00703AE8" w:rsidRPr="006D68F6" w:rsidRDefault="00703AE8" w:rsidP="00B95D4E">
      <w:pPr>
        <w:rPr>
          <w:rFonts w:ascii="Arial" w:hAnsi="Arial" w:cs="Arial"/>
        </w:rPr>
      </w:pPr>
    </w:p>
    <w:p w14:paraId="36A65673" w14:textId="77777777" w:rsidR="002728B7" w:rsidRPr="00F03B8E" w:rsidRDefault="002728B7" w:rsidP="009851A3">
      <w:pPr>
        <w:rPr>
          <w:rFonts w:ascii="Arial" w:hAnsi="Arial"/>
          <w:color w:val="FF0000"/>
        </w:rPr>
      </w:pPr>
      <w:r w:rsidRPr="00F03B8E">
        <w:rPr>
          <w:rFonts w:ascii="Arial" w:hAnsi="Arial"/>
          <w:color w:val="FF0000"/>
        </w:rPr>
        <w:t>Fakten</w:t>
      </w:r>
    </w:p>
    <w:p w14:paraId="264F4A41" w14:textId="77777777" w:rsidR="00CF093B" w:rsidRPr="00336E40" w:rsidRDefault="00CF093B" w:rsidP="009272C8">
      <w:pPr>
        <w:rPr>
          <w:rFonts w:ascii="Arial" w:hAnsi="Arial" w:cs="Arial"/>
        </w:rPr>
      </w:pPr>
    </w:p>
    <w:p w14:paraId="4AE0563C" w14:textId="77777777" w:rsidR="00D17ECF" w:rsidRDefault="000C4E53" w:rsidP="009272C8">
      <w:pPr>
        <w:rPr>
          <w:rFonts w:ascii="Arial" w:hAnsi="Arial" w:cs="Arial"/>
        </w:rPr>
      </w:pPr>
      <w:r w:rsidRPr="009272C8">
        <w:rPr>
          <w:rFonts w:ascii="Arial" w:hAnsi="Arial" w:cs="Arial"/>
        </w:rPr>
        <w:t>I</w:t>
      </w:r>
      <w:r w:rsidR="00537213" w:rsidRPr="009272C8">
        <w:rPr>
          <w:rFonts w:ascii="Arial" w:hAnsi="Arial" w:cs="Arial"/>
        </w:rPr>
        <w:t>n Artikel 126 des Vertrags über die Arbeitsweise der Europäischen Union (AEUV) ist festgelegt, dass die Mitgliedstaaten der EU übermäßige öffentliche Defizite vermeiden sollen. Dabei überprüft die Europäische Kommission die Entwicklung der Haushaltslage und die Höhe des öffentlichen Schuldenstands. Insbesondere zwei Kriterien stehen im Mittelpunkt der Überprüfung. Erstens darf d</w:t>
      </w:r>
      <w:r w:rsidR="00DD1DDE" w:rsidRPr="009272C8">
        <w:rPr>
          <w:rFonts w:ascii="Arial" w:hAnsi="Arial" w:cs="Arial"/>
        </w:rPr>
        <w:t xml:space="preserve">as </w:t>
      </w:r>
      <w:r w:rsidR="00537213" w:rsidRPr="009272C8">
        <w:rPr>
          <w:rFonts w:ascii="Arial" w:hAnsi="Arial" w:cs="Arial"/>
        </w:rPr>
        <w:t xml:space="preserve">jährliche </w:t>
      </w:r>
      <w:r w:rsidR="00DD1DDE" w:rsidRPr="009272C8">
        <w:rPr>
          <w:rFonts w:ascii="Arial" w:hAnsi="Arial" w:cs="Arial"/>
        </w:rPr>
        <w:t xml:space="preserve">öffentliche Defizit </w:t>
      </w:r>
      <w:r w:rsidR="00537213" w:rsidRPr="009272C8">
        <w:rPr>
          <w:rFonts w:ascii="Arial" w:hAnsi="Arial" w:cs="Arial"/>
        </w:rPr>
        <w:t xml:space="preserve">nicht mehr als 3 Prozent des Bruttoinlandsprodukts (BIP) entsprechen. Zweitens </w:t>
      </w:r>
      <w:r w:rsidR="009851A3" w:rsidRPr="009272C8">
        <w:rPr>
          <w:rFonts w:ascii="Arial" w:hAnsi="Arial" w:cs="Arial"/>
        </w:rPr>
        <w:t xml:space="preserve">darf </w:t>
      </w:r>
      <w:r w:rsidR="00DD1DDE" w:rsidRPr="009272C8">
        <w:rPr>
          <w:rFonts w:ascii="Arial" w:hAnsi="Arial" w:cs="Arial"/>
        </w:rPr>
        <w:t xml:space="preserve">der </w:t>
      </w:r>
      <w:r w:rsidR="00537213" w:rsidRPr="009272C8">
        <w:rPr>
          <w:rFonts w:ascii="Arial" w:hAnsi="Arial" w:cs="Arial"/>
        </w:rPr>
        <w:t xml:space="preserve">gesamte öffentliche Schuldenstand </w:t>
      </w:r>
      <w:r w:rsidR="008F0C45" w:rsidRPr="009272C8">
        <w:rPr>
          <w:rFonts w:ascii="Arial" w:hAnsi="Arial" w:cs="Arial"/>
        </w:rPr>
        <w:t xml:space="preserve">nicht mehr als </w:t>
      </w:r>
      <w:r w:rsidR="00537213" w:rsidRPr="009272C8">
        <w:rPr>
          <w:rFonts w:ascii="Arial" w:hAnsi="Arial" w:cs="Arial"/>
        </w:rPr>
        <w:t xml:space="preserve">60 Prozent des BIP </w:t>
      </w:r>
      <w:r w:rsidR="008F0C45" w:rsidRPr="009272C8">
        <w:rPr>
          <w:rFonts w:ascii="Arial" w:hAnsi="Arial" w:cs="Arial"/>
        </w:rPr>
        <w:t>betragen</w:t>
      </w:r>
      <w:r w:rsidR="00537213" w:rsidRPr="009272C8">
        <w:rPr>
          <w:rFonts w:ascii="Arial" w:hAnsi="Arial" w:cs="Arial"/>
        </w:rPr>
        <w:t>. Allerdings bestehen für beide Kriterien Ausnahmen. So darf der öffentliche Schuldenstand mehr als 60 Prozent des BIP entsprechen, wenn er hinreichend rückläufig ist und sich rasch genug dem Referenzwert nähert</w:t>
      </w:r>
      <w:r w:rsidR="00D17ECF" w:rsidRPr="009272C8">
        <w:rPr>
          <w:rFonts w:ascii="Arial" w:hAnsi="Arial" w:cs="Arial"/>
        </w:rPr>
        <w:t>.</w:t>
      </w:r>
    </w:p>
    <w:p w14:paraId="34A310D4" w14:textId="77777777" w:rsidR="008935AF" w:rsidRDefault="008935AF" w:rsidP="009272C8">
      <w:pPr>
        <w:rPr>
          <w:rFonts w:ascii="Arial" w:hAnsi="Arial" w:cs="Arial"/>
        </w:rPr>
      </w:pPr>
    </w:p>
    <w:p w14:paraId="052E4C26" w14:textId="6C4F391F" w:rsidR="00F520AD" w:rsidRDefault="00537213" w:rsidP="00B04488">
      <w:pPr>
        <w:rPr>
          <w:rFonts w:ascii="Arial" w:hAnsi="Arial" w:cs="Arial"/>
        </w:rPr>
      </w:pPr>
      <w:r w:rsidRPr="00402440">
        <w:rPr>
          <w:rFonts w:ascii="Arial" w:hAnsi="Arial" w:cs="Arial"/>
        </w:rPr>
        <w:t xml:space="preserve">Bezogen auf das BIP sanken die </w:t>
      </w:r>
      <w:r w:rsidR="00A03ECD" w:rsidRPr="00402440">
        <w:rPr>
          <w:rFonts w:ascii="Arial" w:hAnsi="Arial" w:cs="Arial"/>
        </w:rPr>
        <w:t xml:space="preserve">öffentlichen </w:t>
      </w:r>
      <w:r w:rsidRPr="00402440">
        <w:rPr>
          <w:rFonts w:ascii="Arial" w:hAnsi="Arial" w:cs="Arial"/>
        </w:rPr>
        <w:t xml:space="preserve">Schulden der </w:t>
      </w:r>
      <w:r w:rsidR="00713F10" w:rsidRPr="00402440">
        <w:rPr>
          <w:rFonts w:ascii="Arial" w:hAnsi="Arial" w:cs="Arial"/>
        </w:rPr>
        <w:t>Mitgliedstaaten der Europäischen Union von Mitte der 1990er</w:t>
      </w:r>
      <w:r w:rsidR="00DD42F1" w:rsidRPr="00402440">
        <w:rPr>
          <w:rFonts w:ascii="Arial" w:hAnsi="Arial" w:cs="Arial"/>
        </w:rPr>
        <w:t>-</w:t>
      </w:r>
      <w:r w:rsidR="00713F10" w:rsidRPr="00402440">
        <w:rPr>
          <w:rFonts w:ascii="Arial" w:hAnsi="Arial" w:cs="Arial"/>
        </w:rPr>
        <w:t xml:space="preserve"> bis Anfang der 2000er-Jahre.</w:t>
      </w:r>
      <w:r w:rsidR="009A6AC9" w:rsidRPr="00402440">
        <w:rPr>
          <w:rFonts w:ascii="Arial" w:hAnsi="Arial" w:cs="Arial"/>
        </w:rPr>
        <w:t xml:space="preserve"> </w:t>
      </w:r>
      <w:r w:rsidR="002B6AE5" w:rsidRPr="00402440">
        <w:rPr>
          <w:rFonts w:ascii="Arial" w:hAnsi="Arial" w:cs="Arial"/>
        </w:rPr>
        <w:t>Im Euroraum reduzierten sich die Schulden zwischen 199</w:t>
      </w:r>
      <w:r w:rsidR="00402440" w:rsidRPr="00402440">
        <w:rPr>
          <w:rFonts w:ascii="Arial" w:hAnsi="Arial" w:cs="Arial"/>
        </w:rPr>
        <w:t>6</w:t>
      </w:r>
      <w:r w:rsidR="002B6AE5" w:rsidRPr="00402440">
        <w:rPr>
          <w:rFonts w:ascii="Arial" w:hAnsi="Arial" w:cs="Arial"/>
        </w:rPr>
        <w:t xml:space="preserve"> und 2002 stetig </w:t>
      </w:r>
      <w:r w:rsidR="00DD42F1" w:rsidRPr="00402440">
        <w:rPr>
          <w:rFonts w:ascii="Arial" w:hAnsi="Arial" w:cs="Arial"/>
        </w:rPr>
        <w:t>v</w:t>
      </w:r>
      <w:r w:rsidRPr="00402440">
        <w:rPr>
          <w:rFonts w:ascii="Arial" w:hAnsi="Arial" w:cs="Arial"/>
        </w:rPr>
        <w:t xml:space="preserve">on </w:t>
      </w:r>
      <w:r w:rsidR="002B6AE5" w:rsidRPr="00402440">
        <w:rPr>
          <w:rFonts w:ascii="Arial" w:hAnsi="Arial" w:cs="Arial"/>
        </w:rPr>
        <w:t>7</w:t>
      </w:r>
      <w:r w:rsidR="00402440" w:rsidRPr="00402440">
        <w:rPr>
          <w:rFonts w:ascii="Arial" w:hAnsi="Arial" w:cs="Arial"/>
        </w:rPr>
        <w:t>3</w:t>
      </w:r>
      <w:r w:rsidRPr="00402440">
        <w:rPr>
          <w:rFonts w:ascii="Arial" w:hAnsi="Arial" w:cs="Arial"/>
        </w:rPr>
        <w:t>,</w:t>
      </w:r>
      <w:r w:rsidR="00402440" w:rsidRPr="00402440">
        <w:rPr>
          <w:rFonts w:ascii="Arial" w:hAnsi="Arial" w:cs="Arial"/>
        </w:rPr>
        <w:t>4</w:t>
      </w:r>
      <w:r w:rsidRPr="00402440">
        <w:rPr>
          <w:rFonts w:ascii="Arial" w:hAnsi="Arial" w:cs="Arial"/>
        </w:rPr>
        <w:t xml:space="preserve"> auf </w:t>
      </w:r>
      <w:r w:rsidR="002B6AE5" w:rsidRPr="00402440">
        <w:rPr>
          <w:rFonts w:ascii="Arial" w:hAnsi="Arial" w:cs="Arial"/>
        </w:rPr>
        <w:t>6</w:t>
      </w:r>
      <w:r w:rsidR="00505744" w:rsidRPr="00402440">
        <w:rPr>
          <w:rFonts w:ascii="Arial" w:hAnsi="Arial" w:cs="Arial"/>
        </w:rPr>
        <w:t>8</w:t>
      </w:r>
      <w:r w:rsidRPr="00402440">
        <w:rPr>
          <w:rFonts w:ascii="Arial" w:hAnsi="Arial" w:cs="Arial"/>
        </w:rPr>
        <w:t>,</w:t>
      </w:r>
      <w:r w:rsidR="00402440" w:rsidRPr="00402440">
        <w:rPr>
          <w:rFonts w:ascii="Arial" w:hAnsi="Arial" w:cs="Arial"/>
        </w:rPr>
        <w:t>1</w:t>
      </w:r>
      <w:r w:rsidRPr="00402440">
        <w:rPr>
          <w:rFonts w:ascii="Arial" w:hAnsi="Arial" w:cs="Arial"/>
        </w:rPr>
        <w:t xml:space="preserve"> Prozent.</w:t>
      </w:r>
      <w:r w:rsidR="002B6AE5" w:rsidRPr="00402440">
        <w:rPr>
          <w:rFonts w:ascii="Arial" w:hAnsi="Arial" w:cs="Arial"/>
        </w:rPr>
        <w:t xml:space="preserve"> In der EU-27 lag der Schuldenstand im Jahr 2002 bei 65,</w:t>
      </w:r>
      <w:r w:rsidR="00402440" w:rsidRPr="00402440">
        <w:rPr>
          <w:rFonts w:ascii="Arial" w:hAnsi="Arial" w:cs="Arial"/>
        </w:rPr>
        <w:t>6</w:t>
      </w:r>
      <w:r w:rsidR="002B6AE5" w:rsidRPr="00402440">
        <w:rPr>
          <w:rFonts w:ascii="Arial" w:hAnsi="Arial" w:cs="Arial"/>
        </w:rPr>
        <w:t xml:space="preserve"> Prozent. </w:t>
      </w:r>
      <w:r w:rsidR="004428C6" w:rsidRPr="00402440">
        <w:rPr>
          <w:rFonts w:ascii="Arial" w:hAnsi="Arial" w:cs="Arial"/>
        </w:rPr>
        <w:t xml:space="preserve">Nachdem </w:t>
      </w:r>
      <w:r w:rsidR="001A75FF" w:rsidRPr="00402440">
        <w:rPr>
          <w:rFonts w:ascii="Arial" w:hAnsi="Arial" w:cs="Arial"/>
        </w:rPr>
        <w:t xml:space="preserve">sich </w:t>
      </w:r>
      <w:r w:rsidRPr="00402440">
        <w:rPr>
          <w:rFonts w:ascii="Arial" w:hAnsi="Arial" w:cs="Arial"/>
        </w:rPr>
        <w:t xml:space="preserve">der Schuldenstand </w:t>
      </w:r>
      <w:r w:rsidR="002B6AE5" w:rsidRPr="00402440">
        <w:rPr>
          <w:rFonts w:ascii="Arial" w:hAnsi="Arial" w:cs="Arial"/>
        </w:rPr>
        <w:t>der E</w:t>
      </w:r>
      <w:r w:rsidR="00A52275" w:rsidRPr="00402440">
        <w:rPr>
          <w:rFonts w:ascii="Arial" w:hAnsi="Arial" w:cs="Arial"/>
        </w:rPr>
        <w:t>U</w:t>
      </w:r>
      <w:r w:rsidR="002B6AE5" w:rsidRPr="00402440">
        <w:rPr>
          <w:rFonts w:ascii="Arial" w:hAnsi="Arial" w:cs="Arial"/>
        </w:rPr>
        <w:t xml:space="preserve">-27 </w:t>
      </w:r>
      <w:r w:rsidR="001A75FF" w:rsidRPr="00402440">
        <w:rPr>
          <w:rFonts w:ascii="Arial" w:hAnsi="Arial" w:cs="Arial"/>
        </w:rPr>
        <w:t xml:space="preserve">von 2007 </w:t>
      </w:r>
      <w:r w:rsidR="00776E17" w:rsidRPr="00402440">
        <w:rPr>
          <w:rFonts w:ascii="Arial" w:hAnsi="Arial" w:cs="Arial"/>
        </w:rPr>
        <w:t xml:space="preserve">auf </w:t>
      </w:r>
      <w:r w:rsidRPr="00402440">
        <w:rPr>
          <w:rFonts w:ascii="Arial" w:hAnsi="Arial" w:cs="Arial"/>
        </w:rPr>
        <w:t xml:space="preserve">2008 </w:t>
      </w:r>
      <w:r w:rsidR="002B6AE5" w:rsidRPr="00402440">
        <w:rPr>
          <w:rFonts w:ascii="Arial" w:hAnsi="Arial" w:cs="Arial"/>
        </w:rPr>
        <w:t>von 62,</w:t>
      </w:r>
      <w:r w:rsidR="00402440" w:rsidRPr="00402440">
        <w:rPr>
          <w:rFonts w:ascii="Arial" w:hAnsi="Arial" w:cs="Arial"/>
        </w:rPr>
        <w:t>4</w:t>
      </w:r>
      <w:r w:rsidR="002B6AE5" w:rsidRPr="00402440">
        <w:rPr>
          <w:rFonts w:ascii="Arial" w:hAnsi="Arial" w:cs="Arial"/>
        </w:rPr>
        <w:t xml:space="preserve"> auf 65</w:t>
      </w:r>
      <w:r w:rsidRPr="00402440">
        <w:rPr>
          <w:rFonts w:ascii="Arial" w:hAnsi="Arial" w:cs="Arial"/>
        </w:rPr>
        <w:t>,</w:t>
      </w:r>
      <w:r w:rsidR="00402440" w:rsidRPr="00402440">
        <w:rPr>
          <w:rFonts w:ascii="Arial" w:hAnsi="Arial" w:cs="Arial"/>
        </w:rPr>
        <w:t>2</w:t>
      </w:r>
      <w:r w:rsidRPr="00402440">
        <w:rPr>
          <w:rFonts w:ascii="Arial" w:hAnsi="Arial" w:cs="Arial"/>
        </w:rPr>
        <w:t xml:space="preserve"> Prozent des BIP </w:t>
      </w:r>
      <w:r w:rsidR="00776E17" w:rsidRPr="00402440">
        <w:rPr>
          <w:rFonts w:ascii="Arial" w:hAnsi="Arial" w:cs="Arial"/>
        </w:rPr>
        <w:t>erhöhte</w:t>
      </w:r>
      <w:r w:rsidRPr="00402440">
        <w:rPr>
          <w:rFonts w:ascii="Arial" w:hAnsi="Arial" w:cs="Arial"/>
        </w:rPr>
        <w:t xml:space="preserve">, </w:t>
      </w:r>
      <w:r w:rsidR="00776E17" w:rsidRPr="00402440">
        <w:rPr>
          <w:rFonts w:ascii="Arial" w:hAnsi="Arial" w:cs="Arial"/>
        </w:rPr>
        <w:t xml:space="preserve">stieg </w:t>
      </w:r>
      <w:r w:rsidRPr="00402440">
        <w:rPr>
          <w:rFonts w:ascii="Arial" w:hAnsi="Arial" w:cs="Arial"/>
        </w:rPr>
        <w:t xml:space="preserve">der Wert vor allem bedingt durch die globale Finanz- und Wirtschaftskrise </w:t>
      </w:r>
      <w:r w:rsidR="00F24E3E">
        <w:rPr>
          <w:rFonts w:ascii="Arial" w:hAnsi="Arial" w:cs="Arial"/>
        </w:rPr>
        <w:t xml:space="preserve">rasant an </w:t>
      </w:r>
      <w:r w:rsidRPr="00402440">
        <w:rPr>
          <w:rFonts w:ascii="Arial" w:hAnsi="Arial" w:cs="Arial"/>
        </w:rPr>
        <w:t>–</w:t>
      </w:r>
      <w:r w:rsidR="00776E17" w:rsidRPr="00402440">
        <w:rPr>
          <w:rFonts w:ascii="Arial" w:hAnsi="Arial" w:cs="Arial"/>
        </w:rPr>
        <w:t xml:space="preserve"> </w:t>
      </w:r>
      <w:r w:rsidRPr="00402440">
        <w:rPr>
          <w:rFonts w:ascii="Arial" w:hAnsi="Arial" w:cs="Arial"/>
        </w:rPr>
        <w:t>auf 7</w:t>
      </w:r>
      <w:r w:rsidR="002B6AE5" w:rsidRPr="00402440">
        <w:rPr>
          <w:rFonts w:ascii="Arial" w:hAnsi="Arial" w:cs="Arial"/>
        </w:rPr>
        <w:t>5</w:t>
      </w:r>
      <w:r w:rsidRPr="00402440">
        <w:rPr>
          <w:rFonts w:ascii="Arial" w:hAnsi="Arial" w:cs="Arial"/>
        </w:rPr>
        <w:t>,</w:t>
      </w:r>
      <w:r w:rsidR="00402440" w:rsidRPr="00402440">
        <w:rPr>
          <w:rFonts w:ascii="Arial" w:hAnsi="Arial" w:cs="Arial"/>
        </w:rPr>
        <w:t>9</w:t>
      </w:r>
      <w:r w:rsidRPr="00402440">
        <w:rPr>
          <w:rFonts w:ascii="Arial" w:hAnsi="Arial" w:cs="Arial"/>
        </w:rPr>
        <w:t xml:space="preserve"> Prozent im Jahr 2009 bzw. </w:t>
      </w:r>
      <w:r w:rsidR="008E5610" w:rsidRPr="00402440">
        <w:rPr>
          <w:rFonts w:ascii="Arial" w:hAnsi="Arial" w:cs="Arial"/>
        </w:rPr>
        <w:t xml:space="preserve">auf </w:t>
      </w:r>
      <w:r w:rsidR="002B6AE5" w:rsidRPr="00402440">
        <w:rPr>
          <w:rFonts w:ascii="Arial" w:hAnsi="Arial" w:cs="Arial"/>
        </w:rPr>
        <w:t>80</w:t>
      </w:r>
      <w:r w:rsidRPr="00402440">
        <w:rPr>
          <w:rFonts w:ascii="Arial" w:hAnsi="Arial" w:cs="Arial"/>
        </w:rPr>
        <w:t>,</w:t>
      </w:r>
      <w:r w:rsidR="00402440" w:rsidRPr="00402440">
        <w:rPr>
          <w:rFonts w:ascii="Arial" w:hAnsi="Arial" w:cs="Arial"/>
        </w:rPr>
        <w:t>6</w:t>
      </w:r>
      <w:r w:rsidRPr="00402440">
        <w:rPr>
          <w:rFonts w:ascii="Arial" w:hAnsi="Arial" w:cs="Arial"/>
        </w:rPr>
        <w:t xml:space="preserve"> Prozent </w:t>
      </w:r>
      <w:r w:rsidR="009A51D2" w:rsidRPr="00402440">
        <w:rPr>
          <w:rFonts w:ascii="Arial" w:hAnsi="Arial" w:cs="Arial"/>
        </w:rPr>
        <w:t xml:space="preserve">im Jahr </w:t>
      </w:r>
      <w:r w:rsidRPr="00402440">
        <w:rPr>
          <w:rFonts w:ascii="Arial" w:hAnsi="Arial" w:cs="Arial"/>
        </w:rPr>
        <w:t>2010.</w:t>
      </w:r>
    </w:p>
    <w:p w14:paraId="1F740691" w14:textId="77777777" w:rsidR="00126FD5" w:rsidRDefault="00126FD5" w:rsidP="00B04488">
      <w:pPr>
        <w:rPr>
          <w:rFonts w:ascii="Arial" w:hAnsi="Arial" w:cs="Arial"/>
        </w:rPr>
      </w:pPr>
    </w:p>
    <w:p w14:paraId="044CBC12" w14:textId="423349C3" w:rsidR="009A6AC9" w:rsidRDefault="00F03431" w:rsidP="00E77CBC">
      <w:pPr>
        <w:rPr>
          <w:rFonts w:ascii="Arial" w:hAnsi="Arial" w:cs="Arial"/>
        </w:rPr>
      </w:pPr>
      <w:r w:rsidRPr="00DA66B4">
        <w:rPr>
          <w:rFonts w:ascii="Arial" w:hAnsi="Arial" w:cs="Arial"/>
        </w:rPr>
        <w:t xml:space="preserve">Auch wenn die Entwicklungen in den einzelnen EU-Mitgliedstaaten unterschiedlich waren, hat sich der Schuldenstand </w:t>
      </w:r>
      <w:r w:rsidR="008E5610" w:rsidRPr="00DA66B4">
        <w:rPr>
          <w:rFonts w:ascii="Arial" w:hAnsi="Arial" w:cs="Arial"/>
        </w:rPr>
        <w:t>i</w:t>
      </w:r>
      <w:r w:rsidRPr="00DA66B4">
        <w:rPr>
          <w:rFonts w:ascii="Arial" w:hAnsi="Arial" w:cs="Arial"/>
        </w:rPr>
        <w:t xml:space="preserve">n den Jahren 2008 bis 2010 </w:t>
      </w:r>
      <w:r w:rsidR="00935F95" w:rsidRPr="00DA66B4">
        <w:rPr>
          <w:rFonts w:ascii="Arial" w:hAnsi="Arial" w:cs="Arial"/>
        </w:rPr>
        <w:t>in allen EU-Staaten</w:t>
      </w:r>
      <w:r w:rsidRPr="00DA66B4">
        <w:rPr>
          <w:rFonts w:ascii="Arial" w:hAnsi="Arial" w:cs="Arial"/>
        </w:rPr>
        <w:t xml:space="preserve"> erhöht</w:t>
      </w:r>
      <w:r w:rsidR="00935F95" w:rsidRPr="00DA66B4">
        <w:rPr>
          <w:rFonts w:ascii="Arial" w:hAnsi="Arial" w:cs="Arial"/>
        </w:rPr>
        <w:t>. Am stärksten in Irland (+43,</w:t>
      </w:r>
      <w:r w:rsidR="00EF7BCC" w:rsidRPr="00DA66B4">
        <w:rPr>
          <w:rFonts w:ascii="Arial" w:hAnsi="Arial" w:cs="Arial"/>
        </w:rPr>
        <w:t>7</w:t>
      </w:r>
      <w:r w:rsidR="00935F95" w:rsidRPr="00DA66B4">
        <w:rPr>
          <w:rFonts w:ascii="Arial" w:hAnsi="Arial" w:cs="Arial"/>
        </w:rPr>
        <w:t xml:space="preserve"> %-Punkte), Griechenland (+3</w:t>
      </w:r>
      <w:r w:rsidR="008869EC" w:rsidRPr="00DA66B4">
        <w:rPr>
          <w:rFonts w:ascii="Arial" w:hAnsi="Arial" w:cs="Arial"/>
        </w:rPr>
        <w:t>8</w:t>
      </w:r>
      <w:r w:rsidR="00935F95" w:rsidRPr="00DA66B4">
        <w:rPr>
          <w:rFonts w:ascii="Arial" w:hAnsi="Arial" w:cs="Arial"/>
        </w:rPr>
        <w:t>,</w:t>
      </w:r>
      <w:r w:rsidR="008869EC" w:rsidRPr="00DA66B4">
        <w:rPr>
          <w:rFonts w:ascii="Arial" w:hAnsi="Arial" w:cs="Arial"/>
        </w:rPr>
        <w:t>1</w:t>
      </w:r>
      <w:r w:rsidR="00935F95" w:rsidRPr="00DA66B4">
        <w:rPr>
          <w:rFonts w:ascii="Arial" w:hAnsi="Arial" w:cs="Arial"/>
        </w:rPr>
        <w:t xml:space="preserve"> %-Punkte), Lettland (+29,</w:t>
      </w:r>
      <w:r w:rsidR="00B56803" w:rsidRPr="00DA66B4">
        <w:rPr>
          <w:rFonts w:ascii="Arial" w:hAnsi="Arial" w:cs="Arial"/>
        </w:rPr>
        <w:t>1</w:t>
      </w:r>
      <w:r w:rsidR="00935F95" w:rsidRPr="00DA66B4">
        <w:rPr>
          <w:rFonts w:ascii="Arial" w:hAnsi="Arial" w:cs="Arial"/>
        </w:rPr>
        <w:t xml:space="preserve"> %-Punkte)</w:t>
      </w:r>
      <w:r w:rsidR="00EF7BCC" w:rsidRPr="00DA66B4">
        <w:rPr>
          <w:rFonts w:ascii="Arial" w:hAnsi="Arial" w:cs="Arial"/>
        </w:rPr>
        <w:t xml:space="preserve"> </w:t>
      </w:r>
      <w:r w:rsidR="00935F95" w:rsidRPr="00DA66B4">
        <w:rPr>
          <w:rFonts w:ascii="Arial" w:hAnsi="Arial" w:cs="Arial"/>
        </w:rPr>
        <w:t>und Portugal (+24,6 %-Punkte).</w:t>
      </w:r>
      <w:r w:rsidR="009A6AC9" w:rsidRPr="00DA66B4">
        <w:rPr>
          <w:rFonts w:ascii="Arial" w:hAnsi="Arial" w:cs="Arial"/>
        </w:rPr>
        <w:t xml:space="preserve"> </w:t>
      </w:r>
      <w:r w:rsidR="00DF7B10" w:rsidRPr="00DA66B4">
        <w:rPr>
          <w:rFonts w:ascii="Arial" w:hAnsi="Arial" w:cs="Arial"/>
        </w:rPr>
        <w:t xml:space="preserve">In den Folgejahren weitete sich die Schuldenkrise </w:t>
      </w:r>
      <w:r w:rsidR="00AC6B27" w:rsidRPr="00DA66B4">
        <w:rPr>
          <w:rFonts w:ascii="Arial" w:hAnsi="Arial" w:cs="Arial"/>
        </w:rPr>
        <w:t xml:space="preserve">Europas </w:t>
      </w:r>
      <w:r w:rsidR="009F6BE6" w:rsidRPr="00DA66B4">
        <w:rPr>
          <w:rFonts w:ascii="Arial" w:hAnsi="Arial" w:cs="Arial"/>
        </w:rPr>
        <w:t xml:space="preserve">weiter </w:t>
      </w:r>
      <w:r w:rsidR="00DF7B10" w:rsidRPr="00DA66B4">
        <w:rPr>
          <w:rFonts w:ascii="Arial" w:hAnsi="Arial" w:cs="Arial"/>
        </w:rPr>
        <w:t>aus:</w:t>
      </w:r>
      <w:r w:rsidR="007E0E8F" w:rsidRPr="00DA66B4">
        <w:rPr>
          <w:rFonts w:ascii="Arial" w:hAnsi="Arial" w:cs="Arial"/>
        </w:rPr>
        <w:t xml:space="preserve"> </w:t>
      </w:r>
      <w:r w:rsidR="00A91B85" w:rsidRPr="00DA66B4">
        <w:rPr>
          <w:rFonts w:ascii="Arial" w:hAnsi="Arial" w:cs="Arial"/>
        </w:rPr>
        <w:t xml:space="preserve">Zwischen 2010 und </w:t>
      </w:r>
      <w:r w:rsidR="00537213" w:rsidRPr="00DA66B4">
        <w:rPr>
          <w:rFonts w:ascii="Arial" w:hAnsi="Arial" w:cs="Arial"/>
        </w:rPr>
        <w:t>201</w:t>
      </w:r>
      <w:r w:rsidR="007E0E8F" w:rsidRPr="00DA66B4">
        <w:rPr>
          <w:rFonts w:ascii="Arial" w:hAnsi="Arial" w:cs="Arial"/>
        </w:rPr>
        <w:t>4</w:t>
      </w:r>
      <w:r w:rsidR="00537213" w:rsidRPr="00DA66B4">
        <w:rPr>
          <w:rFonts w:ascii="Arial" w:hAnsi="Arial" w:cs="Arial"/>
        </w:rPr>
        <w:t xml:space="preserve"> </w:t>
      </w:r>
      <w:r w:rsidR="00A91B85" w:rsidRPr="00DA66B4">
        <w:rPr>
          <w:rFonts w:ascii="Arial" w:hAnsi="Arial" w:cs="Arial"/>
        </w:rPr>
        <w:t xml:space="preserve">erhöhte sich </w:t>
      </w:r>
      <w:r w:rsidR="00537213" w:rsidRPr="00DA66B4">
        <w:rPr>
          <w:rFonts w:ascii="Arial" w:hAnsi="Arial" w:cs="Arial"/>
        </w:rPr>
        <w:t>der Schuldenstand der EU-2</w:t>
      </w:r>
      <w:r w:rsidR="00F77451" w:rsidRPr="00DA66B4">
        <w:rPr>
          <w:rFonts w:ascii="Arial" w:hAnsi="Arial" w:cs="Arial"/>
        </w:rPr>
        <w:t>7</w:t>
      </w:r>
      <w:r w:rsidR="00537213" w:rsidRPr="00DA66B4">
        <w:rPr>
          <w:rFonts w:ascii="Arial" w:hAnsi="Arial" w:cs="Arial"/>
        </w:rPr>
        <w:t xml:space="preserve"> </w:t>
      </w:r>
      <w:r w:rsidR="00A91B85" w:rsidRPr="00DA66B4">
        <w:rPr>
          <w:rFonts w:ascii="Arial" w:hAnsi="Arial" w:cs="Arial"/>
        </w:rPr>
        <w:t xml:space="preserve">von </w:t>
      </w:r>
      <w:r w:rsidR="00F77451" w:rsidRPr="00DA66B4">
        <w:rPr>
          <w:rFonts w:ascii="Arial" w:hAnsi="Arial" w:cs="Arial"/>
        </w:rPr>
        <w:t>80</w:t>
      </w:r>
      <w:r w:rsidR="00A91B85" w:rsidRPr="00DA66B4">
        <w:rPr>
          <w:rFonts w:ascii="Arial" w:hAnsi="Arial" w:cs="Arial"/>
        </w:rPr>
        <w:t>,</w:t>
      </w:r>
      <w:r w:rsidR="00DA66B4" w:rsidRPr="00DA66B4">
        <w:rPr>
          <w:rFonts w:ascii="Arial" w:hAnsi="Arial" w:cs="Arial"/>
        </w:rPr>
        <w:t>6</w:t>
      </w:r>
      <w:r w:rsidR="00A91B85" w:rsidRPr="00DA66B4">
        <w:rPr>
          <w:rFonts w:ascii="Arial" w:hAnsi="Arial" w:cs="Arial"/>
        </w:rPr>
        <w:t xml:space="preserve"> auf </w:t>
      </w:r>
      <w:r w:rsidR="00381D9B" w:rsidRPr="00DA66B4">
        <w:rPr>
          <w:rFonts w:ascii="Arial" w:hAnsi="Arial" w:cs="Arial"/>
        </w:rPr>
        <w:t>8</w:t>
      </w:r>
      <w:r w:rsidR="00DA66B4" w:rsidRPr="00DA66B4">
        <w:rPr>
          <w:rFonts w:ascii="Arial" w:hAnsi="Arial" w:cs="Arial"/>
        </w:rPr>
        <w:t>7</w:t>
      </w:r>
      <w:r w:rsidR="00381D9B" w:rsidRPr="00DA66B4">
        <w:rPr>
          <w:rFonts w:ascii="Arial" w:hAnsi="Arial" w:cs="Arial"/>
        </w:rPr>
        <w:t>,</w:t>
      </w:r>
      <w:r w:rsidR="00DA66B4" w:rsidRPr="00DA66B4">
        <w:rPr>
          <w:rFonts w:ascii="Arial" w:hAnsi="Arial" w:cs="Arial"/>
        </w:rPr>
        <w:t>2</w:t>
      </w:r>
      <w:r w:rsidR="00381D9B" w:rsidRPr="00DA66B4">
        <w:rPr>
          <w:rFonts w:ascii="Arial" w:hAnsi="Arial" w:cs="Arial"/>
        </w:rPr>
        <w:t xml:space="preserve"> Prozent des BIP</w:t>
      </w:r>
      <w:r w:rsidR="00935F95" w:rsidRPr="00DA66B4">
        <w:rPr>
          <w:rFonts w:ascii="Arial" w:hAnsi="Arial" w:cs="Arial"/>
        </w:rPr>
        <w:t xml:space="preserve"> – ein Plus von </w:t>
      </w:r>
      <w:r w:rsidR="00F77451" w:rsidRPr="00DA66B4">
        <w:rPr>
          <w:rFonts w:ascii="Arial" w:hAnsi="Arial" w:cs="Arial"/>
        </w:rPr>
        <w:t>6</w:t>
      </w:r>
      <w:r w:rsidR="002358CD" w:rsidRPr="00DA66B4">
        <w:rPr>
          <w:rFonts w:ascii="Arial" w:hAnsi="Arial" w:cs="Arial"/>
        </w:rPr>
        <w:t>,</w:t>
      </w:r>
      <w:r w:rsidR="00DA66B4">
        <w:rPr>
          <w:rFonts w:ascii="Arial" w:hAnsi="Arial" w:cs="Arial"/>
        </w:rPr>
        <w:t>6</w:t>
      </w:r>
      <w:r w:rsidR="00935F95" w:rsidRPr="00DA66B4">
        <w:rPr>
          <w:rFonts w:ascii="Arial" w:hAnsi="Arial" w:cs="Arial"/>
        </w:rPr>
        <w:t xml:space="preserve"> Prozentpunkten</w:t>
      </w:r>
      <w:r w:rsidR="00381D9B" w:rsidRPr="00DA66B4">
        <w:rPr>
          <w:rFonts w:ascii="Arial" w:hAnsi="Arial" w:cs="Arial"/>
        </w:rPr>
        <w:t>.</w:t>
      </w:r>
      <w:r w:rsidR="00757B12" w:rsidRPr="00DA66B4">
        <w:rPr>
          <w:rFonts w:ascii="Arial" w:hAnsi="Arial" w:cs="Arial"/>
        </w:rPr>
        <w:t xml:space="preserve"> </w:t>
      </w:r>
      <w:r w:rsidR="00E12528" w:rsidRPr="00DA66B4">
        <w:rPr>
          <w:rFonts w:ascii="Arial" w:hAnsi="Arial" w:cs="Arial"/>
        </w:rPr>
        <w:t xml:space="preserve">In diesem Zeitraum stiegen die öffentlichen Schulden </w:t>
      </w:r>
      <w:r w:rsidR="00C85091" w:rsidRPr="00DA66B4">
        <w:rPr>
          <w:rFonts w:ascii="Arial" w:hAnsi="Arial" w:cs="Arial"/>
        </w:rPr>
        <w:t xml:space="preserve">im </w:t>
      </w:r>
      <w:r w:rsidR="00C85091" w:rsidRPr="004C7F5C">
        <w:rPr>
          <w:rFonts w:ascii="Arial" w:hAnsi="Arial" w:cs="Arial"/>
        </w:rPr>
        <w:t xml:space="preserve">Verhältnis zum BIP </w:t>
      </w:r>
      <w:r w:rsidR="00E12528" w:rsidRPr="004C7F5C">
        <w:rPr>
          <w:rFonts w:ascii="Arial" w:hAnsi="Arial" w:cs="Arial"/>
        </w:rPr>
        <w:t>in 2</w:t>
      </w:r>
      <w:r w:rsidR="00F77451" w:rsidRPr="004C7F5C">
        <w:rPr>
          <w:rFonts w:ascii="Arial" w:hAnsi="Arial" w:cs="Arial"/>
        </w:rPr>
        <w:t>2</w:t>
      </w:r>
      <w:r w:rsidR="00E12528" w:rsidRPr="004C7F5C">
        <w:rPr>
          <w:rFonts w:ascii="Arial" w:hAnsi="Arial" w:cs="Arial"/>
        </w:rPr>
        <w:t xml:space="preserve"> der</w:t>
      </w:r>
      <w:r w:rsidR="006E3F55" w:rsidRPr="004C7F5C">
        <w:rPr>
          <w:rFonts w:ascii="Arial" w:hAnsi="Arial" w:cs="Arial"/>
        </w:rPr>
        <w:t xml:space="preserve"> heutigen</w:t>
      </w:r>
      <w:r w:rsidR="00E12528" w:rsidRPr="004C7F5C">
        <w:rPr>
          <w:rFonts w:ascii="Arial" w:hAnsi="Arial" w:cs="Arial"/>
        </w:rPr>
        <w:t xml:space="preserve"> 2</w:t>
      </w:r>
      <w:r w:rsidR="00F77451" w:rsidRPr="004C7F5C">
        <w:rPr>
          <w:rFonts w:ascii="Arial" w:hAnsi="Arial" w:cs="Arial"/>
        </w:rPr>
        <w:t>7</w:t>
      </w:r>
      <w:r w:rsidR="00E12528" w:rsidRPr="004C7F5C">
        <w:rPr>
          <w:rFonts w:ascii="Arial" w:hAnsi="Arial" w:cs="Arial"/>
        </w:rPr>
        <w:t xml:space="preserve"> EU-</w:t>
      </w:r>
      <w:r w:rsidR="002D2331" w:rsidRPr="004C7F5C">
        <w:rPr>
          <w:rFonts w:ascii="Arial" w:hAnsi="Arial" w:cs="Arial"/>
        </w:rPr>
        <w:t>S</w:t>
      </w:r>
      <w:r w:rsidR="00E12528" w:rsidRPr="004C7F5C">
        <w:rPr>
          <w:rFonts w:ascii="Arial" w:hAnsi="Arial" w:cs="Arial"/>
        </w:rPr>
        <w:t>taaten.</w:t>
      </w:r>
    </w:p>
    <w:p w14:paraId="699CFCC0" w14:textId="77777777" w:rsidR="00126FD5" w:rsidRDefault="00126FD5" w:rsidP="00E77CBC">
      <w:pPr>
        <w:rPr>
          <w:rFonts w:ascii="Arial" w:hAnsi="Arial" w:cs="Arial"/>
        </w:rPr>
      </w:pPr>
    </w:p>
    <w:p w14:paraId="403C7758" w14:textId="35FD6965" w:rsidR="009A6AC9" w:rsidRDefault="00F77451" w:rsidP="00C7763D">
      <w:pPr>
        <w:rPr>
          <w:rFonts w:ascii="Arial" w:hAnsi="Arial" w:cs="Arial"/>
        </w:rPr>
      </w:pPr>
      <w:r w:rsidRPr="00A4699A">
        <w:rPr>
          <w:rFonts w:ascii="Arial" w:hAnsi="Arial" w:cs="Arial"/>
        </w:rPr>
        <w:t xml:space="preserve">Zwischen </w:t>
      </w:r>
      <w:r w:rsidR="00E12528" w:rsidRPr="00A4699A">
        <w:rPr>
          <w:rFonts w:ascii="Arial" w:hAnsi="Arial" w:cs="Arial"/>
        </w:rPr>
        <w:t xml:space="preserve">2014 </w:t>
      </w:r>
      <w:r w:rsidRPr="00A4699A">
        <w:rPr>
          <w:rFonts w:ascii="Arial" w:hAnsi="Arial" w:cs="Arial"/>
        </w:rPr>
        <w:t xml:space="preserve">und 2019 </w:t>
      </w:r>
      <w:r w:rsidR="004A2179" w:rsidRPr="00A4699A">
        <w:rPr>
          <w:rFonts w:ascii="Arial" w:hAnsi="Arial" w:cs="Arial"/>
        </w:rPr>
        <w:t xml:space="preserve">ist </w:t>
      </w:r>
      <w:r w:rsidR="00E12528" w:rsidRPr="00A4699A">
        <w:rPr>
          <w:rFonts w:ascii="Arial" w:hAnsi="Arial" w:cs="Arial"/>
        </w:rPr>
        <w:t>d</w:t>
      </w:r>
      <w:r w:rsidR="004A2179" w:rsidRPr="00A4699A">
        <w:rPr>
          <w:rFonts w:ascii="Arial" w:hAnsi="Arial" w:cs="Arial"/>
        </w:rPr>
        <w:t xml:space="preserve">er </w:t>
      </w:r>
      <w:r w:rsidR="002D2331" w:rsidRPr="00A4699A">
        <w:rPr>
          <w:rFonts w:ascii="Arial" w:hAnsi="Arial" w:cs="Arial"/>
        </w:rPr>
        <w:t xml:space="preserve">relative </w:t>
      </w:r>
      <w:r w:rsidR="00E12528" w:rsidRPr="00A4699A">
        <w:rPr>
          <w:rFonts w:ascii="Arial" w:hAnsi="Arial" w:cs="Arial"/>
        </w:rPr>
        <w:t>Schuldenstand der EU-2</w:t>
      </w:r>
      <w:r w:rsidRPr="00A4699A">
        <w:rPr>
          <w:rFonts w:ascii="Arial" w:hAnsi="Arial" w:cs="Arial"/>
        </w:rPr>
        <w:t xml:space="preserve">7 </w:t>
      </w:r>
      <w:r w:rsidR="008F7724">
        <w:rPr>
          <w:rFonts w:ascii="Arial" w:hAnsi="Arial" w:cs="Arial"/>
        </w:rPr>
        <w:t>fünfm</w:t>
      </w:r>
      <w:r w:rsidR="004A2179" w:rsidRPr="00A4699A">
        <w:rPr>
          <w:rFonts w:ascii="Arial" w:hAnsi="Arial" w:cs="Arial"/>
        </w:rPr>
        <w:t xml:space="preserve">al </w:t>
      </w:r>
      <w:r w:rsidR="00505744" w:rsidRPr="00A4699A">
        <w:rPr>
          <w:rFonts w:ascii="Arial" w:hAnsi="Arial" w:cs="Arial"/>
        </w:rPr>
        <w:t xml:space="preserve">in Folge </w:t>
      </w:r>
      <w:r w:rsidR="004A2179" w:rsidRPr="00A4699A">
        <w:rPr>
          <w:rFonts w:ascii="Arial" w:hAnsi="Arial" w:cs="Arial"/>
        </w:rPr>
        <w:t>gesunken</w:t>
      </w:r>
      <w:r w:rsidR="002D2331" w:rsidRPr="00A4699A">
        <w:rPr>
          <w:rFonts w:ascii="Arial" w:hAnsi="Arial" w:cs="Arial"/>
        </w:rPr>
        <w:t xml:space="preserve">. </w:t>
      </w:r>
      <w:r w:rsidR="00381D9B" w:rsidRPr="00A4699A">
        <w:rPr>
          <w:rFonts w:ascii="Arial" w:hAnsi="Arial" w:cs="Arial"/>
        </w:rPr>
        <w:t>201</w:t>
      </w:r>
      <w:r w:rsidR="00115EDB" w:rsidRPr="00A4699A">
        <w:rPr>
          <w:rFonts w:ascii="Arial" w:hAnsi="Arial" w:cs="Arial"/>
        </w:rPr>
        <w:t>9</w:t>
      </w:r>
      <w:r w:rsidR="002D2331" w:rsidRPr="00A4699A">
        <w:rPr>
          <w:rFonts w:ascii="Arial" w:hAnsi="Arial" w:cs="Arial"/>
        </w:rPr>
        <w:t xml:space="preserve"> lag er</w:t>
      </w:r>
      <w:r w:rsidR="00381D9B" w:rsidRPr="00A4699A">
        <w:rPr>
          <w:rFonts w:ascii="Arial" w:hAnsi="Arial" w:cs="Arial"/>
        </w:rPr>
        <w:t xml:space="preserve"> bei </w:t>
      </w:r>
      <w:r w:rsidR="00115EDB" w:rsidRPr="00A4699A">
        <w:rPr>
          <w:rFonts w:ascii="Arial" w:hAnsi="Arial" w:cs="Arial"/>
        </w:rPr>
        <w:t>7</w:t>
      </w:r>
      <w:r w:rsidRPr="00A4699A">
        <w:rPr>
          <w:rFonts w:ascii="Arial" w:hAnsi="Arial" w:cs="Arial"/>
        </w:rPr>
        <w:t>7</w:t>
      </w:r>
      <w:r w:rsidR="00381D9B" w:rsidRPr="00A4699A">
        <w:rPr>
          <w:rFonts w:ascii="Arial" w:hAnsi="Arial" w:cs="Arial"/>
        </w:rPr>
        <w:t>,</w:t>
      </w:r>
      <w:r w:rsidR="00A4699A" w:rsidRPr="00A4699A">
        <w:rPr>
          <w:rFonts w:ascii="Arial" w:hAnsi="Arial" w:cs="Arial"/>
        </w:rPr>
        <w:t>8</w:t>
      </w:r>
      <w:r w:rsidR="00381D9B" w:rsidRPr="00A4699A">
        <w:rPr>
          <w:rFonts w:ascii="Arial" w:hAnsi="Arial" w:cs="Arial"/>
        </w:rPr>
        <w:t xml:space="preserve"> Prozent des BIP</w:t>
      </w:r>
      <w:r w:rsidR="00505744" w:rsidRPr="00A4699A">
        <w:rPr>
          <w:rFonts w:ascii="Arial" w:hAnsi="Arial" w:cs="Arial"/>
        </w:rPr>
        <w:t>.</w:t>
      </w:r>
      <w:r w:rsidR="0023029B" w:rsidRPr="003B74FB">
        <w:rPr>
          <w:rFonts w:ascii="Arial" w:hAnsi="Arial" w:cs="Arial"/>
        </w:rPr>
        <w:t xml:space="preserve"> </w:t>
      </w:r>
      <w:r w:rsidR="001968EC" w:rsidRPr="003B74FB">
        <w:rPr>
          <w:rFonts w:ascii="Arial" w:hAnsi="Arial" w:cs="Arial"/>
        </w:rPr>
        <w:t xml:space="preserve">In diesem Zeitraum </w:t>
      </w:r>
      <w:r w:rsidR="00E12528" w:rsidRPr="003B74FB">
        <w:rPr>
          <w:rFonts w:ascii="Arial" w:hAnsi="Arial" w:cs="Arial"/>
        </w:rPr>
        <w:t>war der Schuldenstand im Verhältnis zum BIP in 2</w:t>
      </w:r>
      <w:r w:rsidR="00F0057D" w:rsidRPr="003B74FB">
        <w:rPr>
          <w:rFonts w:ascii="Arial" w:hAnsi="Arial" w:cs="Arial"/>
        </w:rPr>
        <w:t>3</w:t>
      </w:r>
      <w:r w:rsidR="00E12528" w:rsidRPr="003B74FB">
        <w:rPr>
          <w:rFonts w:ascii="Arial" w:hAnsi="Arial" w:cs="Arial"/>
        </w:rPr>
        <w:t xml:space="preserve"> EU-Mitgliedstaaten rückläufig </w:t>
      </w:r>
      <w:r w:rsidR="00E77CBC" w:rsidRPr="003B74FB">
        <w:rPr>
          <w:rFonts w:ascii="Arial" w:hAnsi="Arial" w:cs="Arial"/>
        </w:rPr>
        <w:t xml:space="preserve">– </w:t>
      </w:r>
      <w:r w:rsidR="00E12528" w:rsidRPr="003B74FB">
        <w:rPr>
          <w:rFonts w:ascii="Arial" w:hAnsi="Arial" w:cs="Arial"/>
        </w:rPr>
        <w:t>lediglich in Frankreich</w:t>
      </w:r>
      <w:r w:rsidR="00E77CBC" w:rsidRPr="003B74FB">
        <w:rPr>
          <w:rFonts w:ascii="Arial" w:hAnsi="Arial" w:cs="Arial"/>
        </w:rPr>
        <w:t xml:space="preserve"> </w:t>
      </w:r>
      <w:r w:rsidR="00F0057D" w:rsidRPr="003B74FB">
        <w:rPr>
          <w:rFonts w:ascii="Arial" w:hAnsi="Arial" w:cs="Arial"/>
        </w:rPr>
        <w:t>nahm er nennenswert zu</w:t>
      </w:r>
      <w:r w:rsidR="00F34D2E" w:rsidRPr="003B74FB">
        <w:rPr>
          <w:rFonts w:ascii="Arial" w:hAnsi="Arial" w:cs="Arial"/>
        </w:rPr>
        <w:t xml:space="preserve"> (+</w:t>
      </w:r>
      <w:r w:rsidR="00A4699A" w:rsidRPr="003B74FB">
        <w:rPr>
          <w:rFonts w:ascii="Arial" w:hAnsi="Arial" w:cs="Arial"/>
        </w:rPr>
        <w:t>1,6</w:t>
      </w:r>
      <w:r w:rsidR="00F34D2E" w:rsidRPr="003B74FB">
        <w:rPr>
          <w:rFonts w:ascii="Arial" w:hAnsi="Arial" w:cs="Arial"/>
        </w:rPr>
        <w:t xml:space="preserve"> %-Punkte)</w:t>
      </w:r>
      <w:r w:rsidR="00E12528" w:rsidRPr="003B74FB">
        <w:rPr>
          <w:rFonts w:ascii="Arial" w:hAnsi="Arial" w:cs="Arial"/>
        </w:rPr>
        <w:t>.</w:t>
      </w:r>
      <w:r w:rsidR="007A307C" w:rsidRPr="003B74FB">
        <w:rPr>
          <w:rFonts w:ascii="Arial" w:hAnsi="Arial" w:cs="Arial"/>
        </w:rPr>
        <w:t xml:space="preserve"> Bezogen auf das BIP verringerten sich die Schuldenstände zwischen 2014 und 2019 am stärksten in Irland (-4</w:t>
      </w:r>
      <w:r w:rsidR="00A4699A" w:rsidRPr="003B74FB">
        <w:rPr>
          <w:rFonts w:ascii="Arial" w:hAnsi="Arial" w:cs="Arial"/>
        </w:rPr>
        <w:t>6</w:t>
      </w:r>
      <w:r w:rsidR="007A307C" w:rsidRPr="003B74FB">
        <w:rPr>
          <w:rFonts w:ascii="Arial" w:hAnsi="Arial" w:cs="Arial"/>
        </w:rPr>
        <w:t>,</w:t>
      </w:r>
      <w:r w:rsidR="00A4699A" w:rsidRPr="003B74FB">
        <w:rPr>
          <w:rFonts w:ascii="Arial" w:hAnsi="Arial" w:cs="Arial"/>
        </w:rPr>
        <w:t>9</w:t>
      </w:r>
      <w:r w:rsidR="007A307C" w:rsidRPr="003B74FB">
        <w:rPr>
          <w:rFonts w:ascii="Arial" w:hAnsi="Arial" w:cs="Arial"/>
        </w:rPr>
        <w:t xml:space="preserve"> %-Punkte), Malta (-</w:t>
      </w:r>
      <w:r w:rsidR="00E77CBC" w:rsidRPr="003B74FB">
        <w:rPr>
          <w:rFonts w:ascii="Arial" w:hAnsi="Arial" w:cs="Arial"/>
        </w:rPr>
        <w:t>2</w:t>
      </w:r>
      <w:r w:rsidR="00A4699A" w:rsidRPr="003B74FB">
        <w:rPr>
          <w:rFonts w:ascii="Arial" w:hAnsi="Arial" w:cs="Arial"/>
        </w:rPr>
        <w:t>2</w:t>
      </w:r>
      <w:r w:rsidR="007A307C" w:rsidRPr="003B74FB">
        <w:rPr>
          <w:rFonts w:ascii="Arial" w:hAnsi="Arial" w:cs="Arial"/>
        </w:rPr>
        <w:t>,</w:t>
      </w:r>
      <w:r w:rsidR="00A4699A" w:rsidRPr="003B74FB">
        <w:rPr>
          <w:rFonts w:ascii="Arial" w:hAnsi="Arial" w:cs="Arial"/>
        </w:rPr>
        <w:t>1</w:t>
      </w:r>
      <w:r w:rsidR="007A307C" w:rsidRPr="003B74FB">
        <w:rPr>
          <w:rFonts w:ascii="Arial" w:hAnsi="Arial" w:cs="Arial"/>
        </w:rPr>
        <w:t xml:space="preserve"> %-Punkte), den Niederlanden (-19,</w:t>
      </w:r>
      <w:r w:rsidR="00A4699A" w:rsidRPr="003B74FB">
        <w:rPr>
          <w:rFonts w:ascii="Arial" w:hAnsi="Arial" w:cs="Arial"/>
        </w:rPr>
        <w:t>3</w:t>
      </w:r>
      <w:r w:rsidR="007A307C" w:rsidRPr="003B74FB">
        <w:rPr>
          <w:rFonts w:ascii="Arial" w:hAnsi="Arial" w:cs="Arial"/>
        </w:rPr>
        <w:t xml:space="preserve"> %-Punkte),</w:t>
      </w:r>
      <w:r w:rsidR="00A4699A" w:rsidRPr="003B74FB">
        <w:rPr>
          <w:rFonts w:ascii="Arial" w:hAnsi="Arial" w:cs="Arial"/>
        </w:rPr>
        <w:t xml:space="preserve"> Portugal (-16,3 %-Punkte),</w:t>
      </w:r>
      <w:r w:rsidR="007A307C" w:rsidRPr="003B74FB">
        <w:rPr>
          <w:rFonts w:ascii="Arial" w:hAnsi="Arial" w:cs="Arial"/>
        </w:rPr>
        <w:t xml:space="preserve"> </w:t>
      </w:r>
      <w:r w:rsidR="00E77CBC" w:rsidRPr="003B74FB">
        <w:rPr>
          <w:rFonts w:ascii="Arial" w:hAnsi="Arial" w:cs="Arial"/>
        </w:rPr>
        <w:t>Zypern</w:t>
      </w:r>
      <w:r w:rsidR="00DA54B6" w:rsidRPr="003B74FB">
        <w:rPr>
          <w:rFonts w:ascii="Arial" w:hAnsi="Arial" w:cs="Arial"/>
        </w:rPr>
        <w:t xml:space="preserve"> </w:t>
      </w:r>
      <w:r w:rsidR="007A307C" w:rsidRPr="003B74FB">
        <w:rPr>
          <w:rFonts w:ascii="Arial" w:hAnsi="Arial" w:cs="Arial"/>
        </w:rPr>
        <w:t>(-</w:t>
      </w:r>
      <w:r w:rsidR="00DA54B6" w:rsidRPr="003B74FB">
        <w:rPr>
          <w:rFonts w:ascii="Arial" w:hAnsi="Arial" w:cs="Arial"/>
        </w:rPr>
        <w:t>1</w:t>
      </w:r>
      <w:r w:rsidR="00A4699A" w:rsidRPr="003B74FB">
        <w:rPr>
          <w:rFonts w:ascii="Arial" w:hAnsi="Arial" w:cs="Arial"/>
        </w:rPr>
        <w:t>5</w:t>
      </w:r>
      <w:r w:rsidR="007A307C" w:rsidRPr="003B74FB">
        <w:rPr>
          <w:rFonts w:ascii="Arial" w:hAnsi="Arial" w:cs="Arial"/>
        </w:rPr>
        <w:t>,</w:t>
      </w:r>
      <w:r w:rsidR="00A4699A" w:rsidRPr="003B74FB">
        <w:rPr>
          <w:rFonts w:ascii="Arial" w:hAnsi="Arial" w:cs="Arial"/>
        </w:rPr>
        <w:t>8</w:t>
      </w:r>
      <w:r w:rsidR="007A307C" w:rsidRPr="003B74FB">
        <w:rPr>
          <w:rFonts w:ascii="Arial" w:hAnsi="Arial" w:cs="Arial"/>
        </w:rPr>
        <w:t xml:space="preserve"> %-Punkte)</w:t>
      </w:r>
      <w:r w:rsidR="00A4699A" w:rsidRPr="003B74FB">
        <w:rPr>
          <w:rFonts w:ascii="Arial" w:hAnsi="Arial" w:cs="Arial"/>
        </w:rPr>
        <w:t xml:space="preserve"> </w:t>
      </w:r>
      <w:r w:rsidR="007A307C" w:rsidRPr="003B74FB">
        <w:rPr>
          <w:rFonts w:ascii="Arial" w:hAnsi="Arial" w:cs="Arial"/>
        </w:rPr>
        <w:t xml:space="preserve">und </w:t>
      </w:r>
      <w:r w:rsidR="00DA54B6" w:rsidRPr="003B74FB">
        <w:rPr>
          <w:rFonts w:ascii="Arial" w:hAnsi="Arial" w:cs="Arial"/>
        </w:rPr>
        <w:t xml:space="preserve">Deutschland </w:t>
      </w:r>
      <w:r w:rsidR="007A307C" w:rsidRPr="003B74FB">
        <w:rPr>
          <w:rFonts w:ascii="Arial" w:hAnsi="Arial" w:cs="Arial"/>
        </w:rPr>
        <w:t>(-</w:t>
      </w:r>
      <w:r w:rsidR="00DA54B6" w:rsidRPr="003B74FB">
        <w:rPr>
          <w:rFonts w:ascii="Arial" w:hAnsi="Arial" w:cs="Arial"/>
        </w:rPr>
        <w:t>1</w:t>
      </w:r>
      <w:r w:rsidR="00F0057D" w:rsidRPr="003B74FB">
        <w:rPr>
          <w:rFonts w:ascii="Arial" w:hAnsi="Arial" w:cs="Arial"/>
        </w:rPr>
        <w:t>5</w:t>
      </w:r>
      <w:r w:rsidR="007A307C" w:rsidRPr="003B74FB">
        <w:rPr>
          <w:rFonts w:ascii="Arial" w:hAnsi="Arial" w:cs="Arial"/>
        </w:rPr>
        <w:t>,</w:t>
      </w:r>
      <w:r w:rsidR="00F0057D" w:rsidRPr="003B74FB">
        <w:rPr>
          <w:rFonts w:ascii="Arial" w:hAnsi="Arial" w:cs="Arial"/>
        </w:rPr>
        <w:t>7</w:t>
      </w:r>
      <w:r w:rsidR="007A307C" w:rsidRPr="003B74FB">
        <w:rPr>
          <w:rFonts w:ascii="Arial" w:hAnsi="Arial" w:cs="Arial"/>
        </w:rPr>
        <w:t xml:space="preserve"> %-Punkte).</w:t>
      </w:r>
    </w:p>
    <w:p w14:paraId="7E0487B2" w14:textId="77777777" w:rsidR="00126FD5" w:rsidRDefault="00126FD5" w:rsidP="00C7763D">
      <w:pPr>
        <w:rPr>
          <w:rFonts w:ascii="Arial" w:hAnsi="Arial" w:cs="Arial"/>
        </w:rPr>
      </w:pPr>
    </w:p>
    <w:p w14:paraId="6FD1C28D" w14:textId="74F232FA" w:rsidR="009A6AC9" w:rsidRDefault="00E12528" w:rsidP="006C0D89">
      <w:pPr>
        <w:rPr>
          <w:rFonts w:ascii="Arial" w:hAnsi="Arial" w:cs="Arial"/>
        </w:rPr>
      </w:pPr>
      <w:r w:rsidRPr="00F85BCF">
        <w:rPr>
          <w:rFonts w:ascii="Arial" w:hAnsi="Arial" w:cs="Arial"/>
        </w:rPr>
        <w:lastRenderedPageBreak/>
        <w:t xml:space="preserve">Trotz der </w:t>
      </w:r>
      <w:r w:rsidR="002D2331" w:rsidRPr="00F85BCF">
        <w:rPr>
          <w:rFonts w:ascii="Arial" w:hAnsi="Arial" w:cs="Arial"/>
        </w:rPr>
        <w:t xml:space="preserve">positiven </w:t>
      </w:r>
      <w:r w:rsidRPr="00F85BCF">
        <w:rPr>
          <w:rFonts w:ascii="Arial" w:hAnsi="Arial" w:cs="Arial"/>
        </w:rPr>
        <w:t>Entwicklun</w:t>
      </w:r>
      <w:r w:rsidR="002D2331" w:rsidRPr="00F85BCF">
        <w:rPr>
          <w:rFonts w:ascii="Arial" w:hAnsi="Arial" w:cs="Arial"/>
        </w:rPr>
        <w:t>g</w:t>
      </w:r>
      <w:r w:rsidRPr="00F85BCF">
        <w:rPr>
          <w:rFonts w:ascii="Arial" w:hAnsi="Arial" w:cs="Arial"/>
        </w:rPr>
        <w:t xml:space="preserve"> in den Jahren 2014 bis 2019 war die Schuldenkrise in Europa auch vor der Corona-Pandemie nicht </w:t>
      </w:r>
      <w:r w:rsidR="00CD54CE" w:rsidRPr="00F85BCF">
        <w:rPr>
          <w:rFonts w:ascii="Arial" w:hAnsi="Arial" w:cs="Arial"/>
        </w:rPr>
        <w:t xml:space="preserve">vollständig </w:t>
      </w:r>
      <w:r w:rsidRPr="00F85BCF">
        <w:rPr>
          <w:rFonts w:ascii="Arial" w:hAnsi="Arial" w:cs="Arial"/>
        </w:rPr>
        <w:t>überstanden</w:t>
      </w:r>
      <w:r w:rsidR="00590E61" w:rsidRPr="00F85BCF">
        <w:rPr>
          <w:rFonts w:ascii="Arial" w:hAnsi="Arial" w:cs="Arial"/>
        </w:rPr>
        <w:t>: I</w:t>
      </w:r>
      <w:r w:rsidR="00C85091" w:rsidRPr="00F85BCF">
        <w:rPr>
          <w:rFonts w:ascii="Arial" w:hAnsi="Arial" w:cs="Arial"/>
        </w:rPr>
        <w:t xml:space="preserve">m Jahr 2019 verfehlten </w:t>
      </w:r>
      <w:r w:rsidR="003F266D" w:rsidRPr="00F85BCF">
        <w:rPr>
          <w:rFonts w:ascii="Arial" w:hAnsi="Arial" w:cs="Arial"/>
        </w:rPr>
        <w:t xml:space="preserve">immer noch </w:t>
      </w:r>
      <w:r w:rsidR="00EE0BDE" w:rsidRPr="00F85BCF">
        <w:rPr>
          <w:rFonts w:ascii="Arial" w:hAnsi="Arial" w:cs="Arial"/>
        </w:rPr>
        <w:t>zwöl</w:t>
      </w:r>
      <w:r w:rsidR="003F266D" w:rsidRPr="00F85BCF">
        <w:rPr>
          <w:rFonts w:ascii="Arial" w:hAnsi="Arial" w:cs="Arial"/>
        </w:rPr>
        <w:t>f Staaten die 60-Prozent-Marke.</w:t>
      </w:r>
      <w:r w:rsidR="0023029B" w:rsidRPr="00D37444">
        <w:rPr>
          <w:rFonts w:ascii="Arial" w:hAnsi="Arial" w:cs="Arial"/>
        </w:rPr>
        <w:t xml:space="preserve"> </w:t>
      </w:r>
      <w:r w:rsidR="003F266D" w:rsidRPr="00D37444">
        <w:rPr>
          <w:rFonts w:ascii="Arial" w:hAnsi="Arial" w:cs="Arial"/>
        </w:rPr>
        <w:t>U</w:t>
      </w:r>
      <w:r w:rsidR="00C7763D" w:rsidRPr="00D37444">
        <w:rPr>
          <w:rFonts w:ascii="Arial" w:hAnsi="Arial" w:cs="Arial"/>
        </w:rPr>
        <w:t>nd u</w:t>
      </w:r>
      <w:r w:rsidR="003F266D" w:rsidRPr="00D37444">
        <w:rPr>
          <w:rFonts w:ascii="Arial" w:hAnsi="Arial" w:cs="Arial"/>
        </w:rPr>
        <w:t>m die ökonomischen Folgen der Corona-Pandemie</w:t>
      </w:r>
      <w:r w:rsidR="00CD54CE" w:rsidRPr="00D37444">
        <w:rPr>
          <w:rFonts w:ascii="Arial" w:hAnsi="Arial" w:cs="Arial"/>
        </w:rPr>
        <w:t xml:space="preserve"> im Jahr 2020</w:t>
      </w:r>
      <w:r w:rsidR="003F266D" w:rsidRPr="00D37444">
        <w:rPr>
          <w:rFonts w:ascii="Arial" w:hAnsi="Arial" w:cs="Arial"/>
        </w:rPr>
        <w:t xml:space="preserve"> zu mildern, wurden zahlreiche Investitionen getätigt bzw. Hilfsprogramme finanziert. Der Schuldenstand im Verhältnis zum BIP </w:t>
      </w:r>
      <w:r w:rsidR="00CF0738" w:rsidRPr="00D37444">
        <w:rPr>
          <w:rFonts w:ascii="Arial" w:hAnsi="Arial" w:cs="Arial"/>
        </w:rPr>
        <w:t>stieg von 2019 auf</w:t>
      </w:r>
      <w:r w:rsidR="00D34334" w:rsidRPr="00D37444">
        <w:rPr>
          <w:rFonts w:ascii="Arial" w:hAnsi="Arial" w:cs="Arial"/>
        </w:rPr>
        <w:t xml:space="preserve"> </w:t>
      </w:r>
      <w:r w:rsidR="007F1469" w:rsidRPr="00D37444">
        <w:rPr>
          <w:rFonts w:ascii="Arial" w:hAnsi="Arial" w:cs="Arial"/>
        </w:rPr>
        <w:t xml:space="preserve">2020 </w:t>
      </w:r>
      <w:r w:rsidR="00D34334" w:rsidRPr="00D37444">
        <w:rPr>
          <w:rFonts w:ascii="Arial" w:hAnsi="Arial" w:cs="Arial"/>
        </w:rPr>
        <w:t>in allen 27 Staaten der EU</w:t>
      </w:r>
      <w:r w:rsidR="0056609E" w:rsidRPr="00D37444">
        <w:rPr>
          <w:rFonts w:ascii="Arial" w:hAnsi="Arial" w:cs="Arial"/>
        </w:rPr>
        <w:t xml:space="preserve"> – entsprechend </w:t>
      </w:r>
      <w:r w:rsidR="00D34334" w:rsidRPr="00D37444">
        <w:rPr>
          <w:rFonts w:ascii="Arial" w:hAnsi="Arial" w:cs="Arial"/>
        </w:rPr>
        <w:t xml:space="preserve">erhöhte </w:t>
      </w:r>
      <w:r w:rsidR="0034412D" w:rsidRPr="00D37444">
        <w:rPr>
          <w:rFonts w:ascii="Arial" w:hAnsi="Arial" w:cs="Arial"/>
        </w:rPr>
        <w:t xml:space="preserve">sich </w:t>
      </w:r>
      <w:r w:rsidR="0056609E" w:rsidRPr="00D37444">
        <w:rPr>
          <w:rFonts w:ascii="Arial" w:hAnsi="Arial" w:cs="Arial"/>
        </w:rPr>
        <w:t xml:space="preserve">EU-weit </w:t>
      </w:r>
      <w:r w:rsidR="0034412D" w:rsidRPr="00D37444">
        <w:rPr>
          <w:rFonts w:ascii="Arial" w:hAnsi="Arial" w:cs="Arial"/>
        </w:rPr>
        <w:t>d</w:t>
      </w:r>
      <w:r w:rsidR="00D34334" w:rsidRPr="00D37444">
        <w:rPr>
          <w:rFonts w:ascii="Arial" w:hAnsi="Arial" w:cs="Arial"/>
        </w:rPr>
        <w:t xml:space="preserve">er </w:t>
      </w:r>
      <w:r w:rsidR="0034412D" w:rsidRPr="00D37444">
        <w:rPr>
          <w:rFonts w:ascii="Arial" w:hAnsi="Arial" w:cs="Arial"/>
        </w:rPr>
        <w:t xml:space="preserve">Schuldenstand </w:t>
      </w:r>
      <w:r w:rsidR="00CD54CE" w:rsidRPr="00D37444">
        <w:rPr>
          <w:rFonts w:ascii="Arial" w:hAnsi="Arial" w:cs="Arial"/>
        </w:rPr>
        <w:t xml:space="preserve">sprunghaft </w:t>
      </w:r>
      <w:r w:rsidR="006B236B" w:rsidRPr="00D37444">
        <w:rPr>
          <w:rFonts w:ascii="Arial" w:hAnsi="Arial" w:cs="Arial"/>
        </w:rPr>
        <w:t>von 77,</w:t>
      </w:r>
      <w:r w:rsidR="00D37444">
        <w:rPr>
          <w:rFonts w:ascii="Arial" w:hAnsi="Arial" w:cs="Arial"/>
        </w:rPr>
        <w:t>8</w:t>
      </w:r>
      <w:r w:rsidR="006B236B" w:rsidRPr="00D37444">
        <w:rPr>
          <w:rFonts w:ascii="Arial" w:hAnsi="Arial" w:cs="Arial"/>
        </w:rPr>
        <w:t xml:space="preserve"> auf 90,</w:t>
      </w:r>
      <w:r w:rsidR="0034412D" w:rsidRPr="00D37444">
        <w:rPr>
          <w:rFonts w:ascii="Arial" w:hAnsi="Arial" w:cs="Arial"/>
        </w:rPr>
        <w:t>0</w:t>
      </w:r>
      <w:r w:rsidR="006B236B" w:rsidRPr="00D37444">
        <w:rPr>
          <w:rFonts w:ascii="Arial" w:hAnsi="Arial" w:cs="Arial"/>
        </w:rPr>
        <w:t xml:space="preserve"> Prozent</w:t>
      </w:r>
      <w:r w:rsidR="00115EED" w:rsidRPr="00D37444">
        <w:rPr>
          <w:rFonts w:ascii="Arial" w:hAnsi="Arial" w:cs="Arial"/>
        </w:rPr>
        <w:t xml:space="preserve"> des BIP</w:t>
      </w:r>
      <w:r w:rsidR="0034412D" w:rsidRPr="00D37444">
        <w:rPr>
          <w:rFonts w:ascii="Arial" w:hAnsi="Arial" w:cs="Arial"/>
        </w:rPr>
        <w:t>.</w:t>
      </w:r>
    </w:p>
    <w:p w14:paraId="5D55DD08" w14:textId="77777777" w:rsidR="00126FD5" w:rsidRDefault="00126FD5" w:rsidP="006C0D89">
      <w:pPr>
        <w:rPr>
          <w:rFonts w:ascii="Arial" w:hAnsi="Arial" w:cs="Arial"/>
        </w:rPr>
      </w:pPr>
    </w:p>
    <w:p w14:paraId="0A9A85D4" w14:textId="62EDDE71" w:rsidR="0055681F" w:rsidRDefault="0055681F" w:rsidP="0055681F">
      <w:pPr>
        <w:rPr>
          <w:rFonts w:ascii="Arial" w:hAnsi="Arial" w:cs="Arial"/>
        </w:rPr>
      </w:pPr>
      <w:r w:rsidRPr="0055681F">
        <w:rPr>
          <w:rFonts w:ascii="Arial" w:hAnsi="Arial" w:cs="Arial"/>
        </w:rPr>
        <w:t xml:space="preserve">Seit 2020 ist der </w:t>
      </w:r>
      <w:r w:rsidRPr="00D37444">
        <w:rPr>
          <w:rFonts w:ascii="Arial" w:hAnsi="Arial" w:cs="Arial"/>
        </w:rPr>
        <w:t xml:space="preserve">Schuldenstand EU-weit </w:t>
      </w:r>
      <w:r>
        <w:rPr>
          <w:rFonts w:ascii="Arial" w:hAnsi="Arial" w:cs="Arial"/>
        </w:rPr>
        <w:t>wiederum dreimal in Folge gesunken – auf den drittniedrigsten Stand der letzten dreizehn Jahre</w:t>
      </w:r>
      <w:r w:rsidR="008F7724">
        <w:rPr>
          <w:rFonts w:ascii="Arial" w:hAnsi="Arial" w:cs="Arial"/>
        </w:rPr>
        <w:t xml:space="preserve"> (</w:t>
      </w:r>
      <w:r w:rsidR="008F7724" w:rsidRPr="0055681F">
        <w:rPr>
          <w:rFonts w:ascii="Arial" w:hAnsi="Arial" w:cs="Arial"/>
        </w:rPr>
        <w:t>81,7 Prozent des BIP</w:t>
      </w:r>
      <w:r w:rsidR="008F7724">
        <w:rPr>
          <w:rFonts w:ascii="Arial" w:hAnsi="Arial" w:cs="Arial"/>
        </w:rPr>
        <w:t>)</w:t>
      </w:r>
      <w:r>
        <w:rPr>
          <w:rFonts w:ascii="Arial" w:hAnsi="Arial" w:cs="Arial"/>
        </w:rPr>
        <w:t xml:space="preserve">. </w:t>
      </w:r>
      <w:r w:rsidR="008F7724">
        <w:rPr>
          <w:rFonts w:ascii="Arial" w:hAnsi="Arial" w:cs="Arial"/>
        </w:rPr>
        <w:t>V</w:t>
      </w:r>
      <w:r w:rsidR="008F7724" w:rsidRPr="0055681F">
        <w:rPr>
          <w:rFonts w:ascii="Arial" w:hAnsi="Arial" w:cs="Arial"/>
        </w:rPr>
        <w:t>on 2020 bis 2023</w:t>
      </w:r>
      <w:r w:rsidR="008F7724">
        <w:rPr>
          <w:rFonts w:ascii="Arial" w:hAnsi="Arial" w:cs="Arial"/>
        </w:rPr>
        <w:t xml:space="preserve"> </w:t>
      </w:r>
      <w:r>
        <w:rPr>
          <w:rFonts w:ascii="Arial" w:hAnsi="Arial" w:cs="Arial"/>
        </w:rPr>
        <w:t xml:space="preserve">reduzierte sich der </w:t>
      </w:r>
      <w:r w:rsidRPr="0055681F">
        <w:rPr>
          <w:rFonts w:ascii="Arial" w:hAnsi="Arial" w:cs="Arial"/>
        </w:rPr>
        <w:t>relative Schuldenstand</w:t>
      </w:r>
      <w:r w:rsidR="008F7724" w:rsidRPr="008F7724">
        <w:rPr>
          <w:rFonts w:ascii="Arial" w:hAnsi="Arial" w:cs="Arial"/>
        </w:rPr>
        <w:t xml:space="preserve"> </w:t>
      </w:r>
      <w:r w:rsidR="008F7724">
        <w:rPr>
          <w:rFonts w:ascii="Arial" w:hAnsi="Arial" w:cs="Arial"/>
        </w:rPr>
        <w:t>in 21 Staaten</w:t>
      </w:r>
      <w:r w:rsidR="008F3F55">
        <w:rPr>
          <w:rFonts w:ascii="Arial" w:hAnsi="Arial" w:cs="Arial"/>
        </w:rPr>
        <w:t>. A</w:t>
      </w:r>
      <w:r w:rsidR="008B4FF8">
        <w:rPr>
          <w:rFonts w:ascii="Arial" w:hAnsi="Arial" w:cs="Arial"/>
        </w:rPr>
        <w:t>m stärksten in Griechenland (</w:t>
      </w:r>
      <w:r w:rsidR="008B4FF8" w:rsidRPr="003B74FB">
        <w:rPr>
          <w:rFonts w:ascii="Arial" w:hAnsi="Arial" w:cs="Arial"/>
        </w:rPr>
        <w:t>-</w:t>
      </w:r>
      <w:r w:rsidR="008B4FF8">
        <w:rPr>
          <w:rFonts w:ascii="Arial" w:hAnsi="Arial" w:cs="Arial"/>
        </w:rPr>
        <w:t>45</w:t>
      </w:r>
      <w:r w:rsidR="008B4FF8" w:rsidRPr="003B74FB">
        <w:rPr>
          <w:rFonts w:ascii="Arial" w:hAnsi="Arial" w:cs="Arial"/>
        </w:rPr>
        <w:t>,</w:t>
      </w:r>
      <w:r w:rsidR="008B4FF8">
        <w:rPr>
          <w:rFonts w:ascii="Arial" w:hAnsi="Arial" w:cs="Arial"/>
        </w:rPr>
        <w:t>1 %</w:t>
      </w:r>
      <w:r w:rsidR="008B4FF8" w:rsidRPr="003B74FB">
        <w:rPr>
          <w:rFonts w:ascii="Arial" w:hAnsi="Arial" w:cs="Arial"/>
        </w:rPr>
        <w:t xml:space="preserve">-Punkte), </w:t>
      </w:r>
      <w:r w:rsidR="008B4FF8">
        <w:rPr>
          <w:rFonts w:ascii="Arial" w:hAnsi="Arial" w:cs="Arial"/>
        </w:rPr>
        <w:t>Zypern (</w:t>
      </w:r>
      <w:r w:rsidR="008B4FF8" w:rsidRPr="003B74FB">
        <w:rPr>
          <w:rFonts w:ascii="Arial" w:hAnsi="Arial" w:cs="Arial"/>
        </w:rPr>
        <w:t>-</w:t>
      </w:r>
      <w:r w:rsidR="008B4FF8">
        <w:rPr>
          <w:rFonts w:ascii="Arial" w:hAnsi="Arial" w:cs="Arial"/>
        </w:rPr>
        <w:t>37</w:t>
      </w:r>
      <w:r w:rsidR="008B4FF8" w:rsidRPr="003B74FB">
        <w:rPr>
          <w:rFonts w:ascii="Arial" w:hAnsi="Arial" w:cs="Arial"/>
        </w:rPr>
        <w:t>,</w:t>
      </w:r>
      <w:r w:rsidR="008B4FF8">
        <w:rPr>
          <w:rFonts w:ascii="Arial" w:hAnsi="Arial" w:cs="Arial"/>
        </w:rPr>
        <w:t>6 %</w:t>
      </w:r>
      <w:r w:rsidR="008B4FF8" w:rsidRPr="003B74FB">
        <w:rPr>
          <w:rFonts w:ascii="Arial" w:hAnsi="Arial" w:cs="Arial"/>
        </w:rPr>
        <w:t>-Punkte)</w:t>
      </w:r>
      <w:r w:rsidR="008B4FF8">
        <w:rPr>
          <w:rFonts w:ascii="Arial" w:hAnsi="Arial" w:cs="Arial"/>
        </w:rPr>
        <w:t xml:space="preserve"> und Portugal (</w:t>
      </w:r>
      <w:r w:rsidR="008B4FF8" w:rsidRPr="003B74FB">
        <w:rPr>
          <w:rFonts w:ascii="Arial" w:hAnsi="Arial" w:cs="Arial"/>
        </w:rPr>
        <w:t>-</w:t>
      </w:r>
      <w:r w:rsidR="008B4FF8">
        <w:rPr>
          <w:rFonts w:ascii="Arial" w:hAnsi="Arial" w:cs="Arial"/>
        </w:rPr>
        <w:t>35</w:t>
      </w:r>
      <w:r w:rsidR="008B4FF8" w:rsidRPr="003B74FB">
        <w:rPr>
          <w:rFonts w:ascii="Arial" w:hAnsi="Arial" w:cs="Arial"/>
        </w:rPr>
        <w:t>,</w:t>
      </w:r>
      <w:r w:rsidR="008B4FF8">
        <w:rPr>
          <w:rFonts w:ascii="Arial" w:hAnsi="Arial" w:cs="Arial"/>
        </w:rPr>
        <w:t>8 %</w:t>
      </w:r>
      <w:r w:rsidR="008B4FF8" w:rsidRPr="003B74FB">
        <w:rPr>
          <w:rFonts w:ascii="Arial" w:hAnsi="Arial" w:cs="Arial"/>
        </w:rPr>
        <w:t>-Punkte)</w:t>
      </w:r>
      <w:r w:rsidR="008B4FF8">
        <w:rPr>
          <w:rFonts w:ascii="Arial" w:hAnsi="Arial" w:cs="Arial"/>
        </w:rPr>
        <w:t xml:space="preserve">. In </w:t>
      </w:r>
      <w:r w:rsidR="005505D0">
        <w:rPr>
          <w:rFonts w:ascii="Arial" w:hAnsi="Arial" w:cs="Arial"/>
        </w:rPr>
        <w:t xml:space="preserve">lediglich </w:t>
      </w:r>
      <w:r w:rsidRPr="0055681F">
        <w:rPr>
          <w:rFonts w:ascii="Arial" w:hAnsi="Arial" w:cs="Arial"/>
        </w:rPr>
        <w:t xml:space="preserve">sechs Staaten nahm </w:t>
      </w:r>
      <w:r w:rsidR="008B4FF8">
        <w:rPr>
          <w:rFonts w:ascii="Arial" w:hAnsi="Arial" w:cs="Arial"/>
        </w:rPr>
        <w:t xml:space="preserve">der </w:t>
      </w:r>
      <w:r w:rsidR="008B4FF8" w:rsidRPr="0055681F">
        <w:rPr>
          <w:rFonts w:ascii="Arial" w:hAnsi="Arial" w:cs="Arial"/>
        </w:rPr>
        <w:t xml:space="preserve">relative Schuldenstand </w:t>
      </w:r>
      <w:r w:rsidRPr="0055681F">
        <w:rPr>
          <w:rFonts w:ascii="Arial" w:hAnsi="Arial" w:cs="Arial"/>
        </w:rPr>
        <w:t>zu</w:t>
      </w:r>
      <w:r w:rsidR="008B4FF8">
        <w:rPr>
          <w:rFonts w:ascii="Arial" w:hAnsi="Arial" w:cs="Arial"/>
        </w:rPr>
        <w:t xml:space="preserve"> – am stärksten in Tschechien (von 37,7 auf 44,0 Prozent </w:t>
      </w:r>
      <w:r w:rsidR="008B4FF8" w:rsidRPr="008B4FF8">
        <w:rPr>
          <w:rFonts w:ascii="Arial" w:hAnsi="Arial" w:cs="Arial"/>
        </w:rPr>
        <w:t>des BIP</w:t>
      </w:r>
      <w:r w:rsidR="008B4FF8">
        <w:rPr>
          <w:rFonts w:ascii="Arial" w:hAnsi="Arial" w:cs="Arial"/>
        </w:rPr>
        <w:t xml:space="preserve"> / 6,3 %</w:t>
      </w:r>
      <w:r w:rsidR="008B4FF8" w:rsidRPr="003B74FB">
        <w:rPr>
          <w:rFonts w:ascii="Arial" w:hAnsi="Arial" w:cs="Arial"/>
        </w:rPr>
        <w:t>-Punkte</w:t>
      </w:r>
      <w:r w:rsidR="008B4FF8">
        <w:rPr>
          <w:rFonts w:ascii="Arial" w:hAnsi="Arial" w:cs="Arial"/>
        </w:rPr>
        <w:t>).</w:t>
      </w:r>
    </w:p>
    <w:p w14:paraId="19707A95" w14:textId="77777777" w:rsidR="00126FD5" w:rsidRDefault="00126FD5" w:rsidP="0055681F">
      <w:pPr>
        <w:rPr>
          <w:rFonts w:ascii="Arial" w:hAnsi="Arial" w:cs="Arial"/>
        </w:rPr>
      </w:pPr>
    </w:p>
    <w:p w14:paraId="34720A05" w14:textId="68DCB9B1" w:rsidR="0023029B" w:rsidRDefault="0055681F" w:rsidP="006C0D89">
      <w:pPr>
        <w:rPr>
          <w:rFonts w:ascii="Arial" w:hAnsi="Arial" w:cs="Arial"/>
        </w:rPr>
      </w:pPr>
      <w:r w:rsidRPr="0055681F">
        <w:rPr>
          <w:rFonts w:ascii="Arial" w:hAnsi="Arial" w:cs="Arial"/>
        </w:rPr>
        <w:t>EU-weit lag der Schuldenstand im Jahr 2023 bei 81,7 Prozent des BIP bzw. bei 13.863 Milliarden Euro.</w:t>
      </w:r>
      <w:r w:rsidR="00126FD5">
        <w:rPr>
          <w:rFonts w:ascii="Arial" w:hAnsi="Arial" w:cs="Arial"/>
        </w:rPr>
        <w:t xml:space="preserve"> </w:t>
      </w:r>
      <w:r w:rsidR="009A6AC9" w:rsidRPr="008F3F55">
        <w:rPr>
          <w:rFonts w:ascii="Arial" w:hAnsi="Arial" w:cs="Arial"/>
        </w:rPr>
        <w:t>I</w:t>
      </w:r>
      <w:r w:rsidR="00537213" w:rsidRPr="008F3F55">
        <w:rPr>
          <w:rFonts w:ascii="Arial" w:hAnsi="Arial" w:cs="Arial"/>
        </w:rPr>
        <w:t>n Griechenland lag der öffentliche Schuldenstand im Jahr 20</w:t>
      </w:r>
      <w:r w:rsidR="00D34334" w:rsidRPr="008F3F55">
        <w:rPr>
          <w:rFonts w:ascii="Arial" w:hAnsi="Arial" w:cs="Arial"/>
        </w:rPr>
        <w:t>2</w:t>
      </w:r>
      <w:r w:rsidR="005505D0" w:rsidRPr="008F3F55">
        <w:rPr>
          <w:rFonts w:ascii="Arial" w:hAnsi="Arial" w:cs="Arial"/>
        </w:rPr>
        <w:t>3</w:t>
      </w:r>
      <w:r w:rsidR="00537213" w:rsidRPr="008F3F55">
        <w:rPr>
          <w:rFonts w:ascii="Arial" w:hAnsi="Arial" w:cs="Arial"/>
        </w:rPr>
        <w:t xml:space="preserve"> bei </w:t>
      </w:r>
      <w:r w:rsidR="006C0D89" w:rsidRPr="008F3F55">
        <w:rPr>
          <w:rFonts w:ascii="Arial" w:hAnsi="Arial" w:cs="Arial"/>
        </w:rPr>
        <w:t>1</w:t>
      </w:r>
      <w:r w:rsidR="005505D0" w:rsidRPr="008F3F55">
        <w:rPr>
          <w:rFonts w:ascii="Arial" w:hAnsi="Arial" w:cs="Arial"/>
        </w:rPr>
        <w:t>6</w:t>
      </w:r>
      <w:r w:rsidR="007545B6" w:rsidRPr="008F3F55">
        <w:rPr>
          <w:rFonts w:ascii="Arial" w:hAnsi="Arial" w:cs="Arial"/>
        </w:rPr>
        <w:t>1</w:t>
      </w:r>
      <w:r w:rsidR="00537213" w:rsidRPr="008F3F55">
        <w:rPr>
          <w:rFonts w:ascii="Arial" w:hAnsi="Arial" w:cs="Arial"/>
        </w:rPr>
        <w:t>,</w:t>
      </w:r>
      <w:r w:rsidR="005505D0" w:rsidRPr="008F3F55">
        <w:rPr>
          <w:rFonts w:ascii="Arial" w:hAnsi="Arial" w:cs="Arial"/>
        </w:rPr>
        <w:t>9</w:t>
      </w:r>
      <w:r w:rsidR="00537213" w:rsidRPr="008F3F55">
        <w:rPr>
          <w:rFonts w:ascii="Arial" w:hAnsi="Arial" w:cs="Arial"/>
        </w:rPr>
        <w:t xml:space="preserve"> Prozent des BIP</w:t>
      </w:r>
      <w:r w:rsidR="005075E6" w:rsidRPr="008F3F55">
        <w:rPr>
          <w:rFonts w:ascii="Arial" w:hAnsi="Arial" w:cs="Arial"/>
        </w:rPr>
        <w:t xml:space="preserve">. </w:t>
      </w:r>
      <w:r w:rsidR="007F1469" w:rsidRPr="008F3F55">
        <w:rPr>
          <w:rFonts w:ascii="Arial" w:hAnsi="Arial" w:cs="Arial"/>
        </w:rPr>
        <w:t xml:space="preserve">Darauf folgten </w:t>
      </w:r>
      <w:r w:rsidR="00016D4F" w:rsidRPr="008F3F55">
        <w:rPr>
          <w:rFonts w:ascii="Arial" w:hAnsi="Arial" w:cs="Arial"/>
        </w:rPr>
        <w:t>Italien (1</w:t>
      </w:r>
      <w:r w:rsidR="005505D0" w:rsidRPr="008F3F55">
        <w:rPr>
          <w:rFonts w:ascii="Arial" w:hAnsi="Arial" w:cs="Arial"/>
        </w:rPr>
        <w:t>37</w:t>
      </w:r>
      <w:r w:rsidR="00016D4F" w:rsidRPr="008F3F55">
        <w:rPr>
          <w:rFonts w:ascii="Arial" w:hAnsi="Arial" w:cs="Arial"/>
        </w:rPr>
        <w:t>,</w:t>
      </w:r>
      <w:r w:rsidR="005505D0" w:rsidRPr="008F3F55">
        <w:rPr>
          <w:rFonts w:ascii="Arial" w:hAnsi="Arial" w:cs="Arial"/>
        </w:rPr>
        <w:t>3</w:t>
      </w:r>
      <w:r w:rsidR="00016D4F" w:rsidRPr="008F3F55">
        <w:rPr>
          <w:rFonts w:ascii="Arial" w:hAnsi="Arial" w:cs="Arial"/>
        </w:rPr>
        <w:t xml:space="preserve"> Prozent des BIP), </w:t>
      </w:r>
      <w:r w:rsidR="008B4FF8" w:rsidRPr="008F3F55">
        <w:rPr>
          <w:rFonts w:ascii="Arial" w:hAnsi="Arial" w:cs="Arial"/>
        </w:rPr>
        <w:t xml:space="preserve">Frankreich </w:t>
      </w:r>
      <w:r w:rsidR="00016D4F" w:rsidRPr="008F3F55">
        <w:rPr>
          <w:rFonts w:ascii="Arial" w:hAnsi="Arial" w:cs="Arial"/>
        </w:rPr>
        <w:t>(1</w:t>
      </w:r>
      <w:r w:rsidR="007545B6" w:rsidRPr="008F3F55">
        <w:rPr>
          <w:rFonts w:ascii="Arial" w:hAnsi="Arial" w:cs="Arial"/>
        </w:rPr>
        <w:t>1</w:t>
      </w:r>
      <w:r w:rsidR="008F3F55">
        <w:rPr>
          <w:rFonts w:ascii="Arial" w:hAnsi="Arial" w:cs="Arial"/>
        </w:rPr>
        <w:t>0</w:t>
      </w:r>
      <w:r w:rsidR="00016D4F" w:rsidRPr="008F3F55">
        <w:rPr>
          <w:rFonts w:ascii="Arial" w:hAnsi="Arial" w:cs="Arial"/>
        </w:rPr>
        <w:t>,</w:t>
      </w:r>
      <w:r w:rsidR="008F3F55">
        <w:rPr>
          <w:rFonts w:ascii="Arial" w:hAnsi="Arial" w:cs="Arial"/>
        </w:rPr>
        <w:t>6</w:t>
      </w:r>
      <w:r w:rsidR="00016D4F" w:rsidRPr="008F3F55">
        <w:rPr>
          <w:rFonts w:ascii="Arial" w:hAnsi="Arial" w:cs="Arial"/>
        </w:rPr>
        <w:t xml:space="preserve"> Prozent),</w:t>
      </w:r>
      <w:r w:rsidR="00016D4F" w:rsidRPr="00B5363A">
        <w:rPr>
          <w:rFonts w:ascii="Arial" w:hAnsi="Arial" w:cs="Arial"/>
        </w:rPr>
        <w:t xml:space="preserve"> </w:t>
      </w:r>
      <w:r w:rsidR="007F1469" w:rsidRPr="00B5363A">
        <w:rPr>
          <w:rFonts w:ascii="Arial" w:hAnsi="Arial" w:cs="Arial"/>
        </w:rPr>
        <w:t>Spanien (1</w:t>
      </w:r>
      <w:r w:rsidR="008F3F55" w:rsidRPr="00B5363A">
        <w:rPr>
          <w:rFonts w:ascii="Arial" w:hAnsi="Arial" w:cs="Arial"/>
        </w:rPr>
        <w:t>07</w:t>
      </w:r>
      <w:r w:rsidR="007F1469" w:rsidRPr="00B5363A">
        <w:rPr>
          <w:rFonts w:ascii="Arial" w:hAnsi="Arial" w:cs="Arial"/>
        </w:rPr>
        <w:t>,</w:t>
      </w:r>
      <w:r w:rsidR="008F3F55" w:rsidRPr="00B5363A">
        <w:rPr>
          <w:rFonts w:ascii="Arial" w:hAnsi="Arial" w:cs="Arial"/>
        </w:rPr>
        <w:t>7</w:t>
      </w:r>
      <w:r w:rsidR="007F1469" w:rsidRPr="00B5363A">
        <w:rPr>
          <w:rFonts w:ascii="Arial" w:hAnsi="Arial" w:cs="Arial"/>
        </w:rPr>
        <w:t xml:space="preserve"> Prozent)</w:t>
      </w:r>
      <w:r w:rsidR="008B4FF8" w:rsidRPr="00B5363A">
        <w:rPr>
          <w:rFonts w:ascii="Arial" w:hAnsi="Arial" w:cs="Arial"/>
        </w:rPr>
        <w:t xml:space="preserve"> </w:t>
      </w:r>
      <w:r w:rsidR="007545B6" w:rsidRPr="00B5363A">
        <w:rPr>
          <w:rFonts w:ascii="Arial" w:hAnsi="Arial" w:cs="Arial"/>
        </w:rPr>
        <w:t xml:space="preserve">und </w:t>
      </w:r>
      <w:r w:rsidR="007F1469" w:rsidRPr="00B5363A">
        <w:rPr>
          <w:rFonts w:ascii="Arial" w:hAnsi="Arial" w:cs="Arial"/>
        </w:rPr>
        <w:t xml:space="preserve">Belgien </w:t>
      </w:r>
      <w:r w:rsidR="00016D4F" w:rsidRPr="00B5363A">
        <w:rPr>
          <w:rFonts w:ascii="Arial" w:hAnsi="Arial" w:cs="Arial"/>
        </w:rPr>
        <w:t>(</w:t>
      </w:r>
      <w:r w:rsidR="007F1469" w:rsidRPr="00B5363A">
        <w:rPr>
          <w:rFonts w:ascii="Arial" w:hAnsi="Arial" w:cs="Arial"/>
        </w:rPr>
        <w:t>1</w:t>
      </w:r>
      <w:r w:rsidR="006C0D89" w:rsidRPr="00B5363A">
        <w:rPr>
          <w:rFonts w:ascii="Arial" w:hAnsi="Arial" w:cs="Arial"/>
        </w:rPr>
        <w:t>0</w:t>
      </w:r>
      <w:r w:rsidR="007545B6" w:rsidRPr="00B5363A">
        <w:rPr>
          <w:rFonts w:ascii="Arial" w:hAnsi="Arial" w:cs="Arial"/>
        </w:rPr>
        <w:t>5</w:t>
      </w:r>
      <w:r w:rsidR="00016D4F" w:rsidRPr="00B5363A">
        <w:rPr>
          <w:rFonts w:ascii="Arial" w:hAnsi="Arial" w:cs="Arial"/>
        </w:rPr>
        <w:t>,</w:t>
      </w:r>
      <w:r w:rsidR="008F3F55" w:rsidRPr="00B5363A">
        <w:rPr>
          <w:rFonts w:ascii="Arial" w:hAnsi="Arial" w:cs="Arial"/>
        </w:rPr>
        <w:t>2</w:t>
      </w:r>
      <w:r w:rsidR="00016D4F" w:rsidRPr="00B5363A">
        <w:rPr>
          <w:rFonts w:ascii="Arial" w:hAnsi="Arial" w:cs="Arial"/>
        </w:rPr>
        <w:t xml:space="preserve"> Prozent).</w:t>
      </w:r>
      <w:r w:rsidR="00537213" w:rsidRPr="00B5363A">
        <w:rPr>
          <w:rFonts w:ascii="Arial" w:hAnsi="Arial" w:cs="Arial"/>
        </w:rPr>
        <w:t xml:space="preserve"> </w:t>
      </w:r>
      <w:r w:rsidR="009F6BE6" w:rsidRPr="00B5363A">
        <w:rPr>
          <w:rFonts w:ascii="Arial" w:hAnsi="Arial" w:cs="Arial"/>
        </w:rPr>
        <w:t xml:space="preserve">Weitere </w:t>
      </w:r>
      <w:r w:rsidR="008F3F55" w:rsidRPr="00B5363A">
        <w:rPr>
          <w:rFonts w:ascii="Arial" w:hAnsi="Arial" w:cs="Arial"/>
        </w:rPr>
        <w:t xml:space="preserve">acht </w:t>
      </w:r>
      <w:r w:rsidR="004B572D" w:rsidRPr="00B5363A">
        <w:rPr>
          <w:rFonts w:ascii="Arial" w:hAnsi="Arial" w:cs="Arial"/>
        </w:rPr>
        <w:t xml:space="preserve">Staaten verfehlten </w:t>
      </w:r>
      <w:r w:rsidR="009F6BE6" w:rsidRPr="00B5363A">
        <w:rPr>
          <w:rFonts w:ascii="Arial" w:hAnsi="Arial" w:cs="Arial"/>
        </w:rPr>
        <w:t xml:space="preserve">die </w:t>
      </w:r>
      <w:r w:rsidR="004B572D" w:rsidRPr="00B5363A">
        <w:rPr>
          <w:rFonts w:ascii="Arial" w:hAnsi="Arial" w:cs="Arial"/>
        </w:rPr>
        <w:t>60-Prozent-Marke ebenfalls</w:t>
      </w:r>
      <w:r w:rsidR="00F278A1" w:rsidRPr="00B5363A">
        <w:rPr>
          <w:rFonts w:ascii="Arial" w:hAnsi="Arial" w:cs="Arial"/>
        </w:rPr>
        <w:t>:</w:t>
      </w:r>
      <w:r w:rsidR="00F8721A" w:rsidRPr="00B5363A">
        <w:rPr>
          <w:rFonts w:ascii="Arial" w:hAnsi="Arial" w:cs="Arial"/>
        </w:rPr>
        <w:t xml:space="preserve"> </w:t>
      </w:r>
      <w:r w:rsidR="008F3F55" w:rsidRPr="00B5363A">
        <w:rPr>
          <w:rFonts w:ascii="Arial" w:hAnsi="Arial" w:cs="Arial"/>
        </w:rPr>
        <w:t>Portugal, Österreich, Zypern, Finnland, Ungarn, Slowenien, Deutschland und Kroatien</w:t>
      </w:r>
      <w:r w:rsidR="00F56CC5" w:rsidRPr="00B5363A">
        <w:rPr>
          <w:rFonts w:ascii="Arial" w:hAnsi="Arial" w:cs="Arial"/>
        </w:rPr>
        <w:t xml:space="preserve">. </w:t>
      </w:r>
      <w:r w:rsidR="00CC0880" w:rsidRPr="00B5363A">
        <w:rPr>
          <w:rFonts w:ascii="Arial" w:hAnsi="Arial" w:cs="Arial"/>
        </w:rPr>
        <w:t>Im Jahr 202</w:t>
      </w:r>
      <w:r w:rsidR="00B5363A">
        <w:rPr>
          <w:rFonts w:ascii="Arial" w:hAnsi="Arial" w:cs="Arial"/>
        </w:rPr>
        <w:t>3</w:t>
      </w:r>
      <w:r w:rsidR="00CC0880" w:rsidRPr="00B5363A">
        <w:rPr>
          <w:rFonts w:ascii="Arial" w:hAnsi="Arial" w:cs="Arial"/>
        </w:rPr>
        <w:t xml:space="preserve"> lag der </w:t>
      </w:r>
      <w:r w:rsidR="00537213" w:rsidRPr="00B5363A">
        <w:rPr>
          <w:rFonts w:ascii="Arial" w:hAnsi="Arial" w:cs="Arial"/>
        </w:rPr>
        <w:t>Schuldenstand</w:t>
      </w:r>
      <w:r w:rsidR="00F278A1" w:rsidRPr="00B5363A">
        <w:rPr>
          <w:rFonts w:ascii="Arial" w:hAnsi="Arial" w:cs="Arial"/>
        </w:rPr>
        <w:t xml:space="preserve"> </w:t>
      </w:r>
      <w:r w:rsidR="00CC0880" w:rsidRPr="00B5363A">
        <w:rPr>
          <w:rFonts w:ascii="Arial" w:hAnsi="Arial" w:cs="Arial"/>
        </w:rPr>
        <w:t>in Deutschland bei 2.</w:t>
      </w:r>
      <w:r w:rsidR="00E75AA4" w:rsidRPr="00B5363A">
        <w:rPr>
          <w:rFonts w:ascii="Arial" w:hAnsi="Arial" w:cs="Arial"/>
        </w:rPr>
        <w:t>6</w:t>
      </w:r>
      <w:r w:rsidR="00B5363A" w:rsidRPr="00B5363A">
        <w:rPr>
          <w:rFonts w:ascii="Arial" w:hAnsi="Arial" w:cs="Arial"/>
        </w:rPr>
        <w:t>2</w:t>
      </w:r>
      <w:r w:rsidR="00E75AA4" w:rsidRPr="00B5363A">
        <w:rPr>
          <w:rFonts w:ascii="Arial" w:hAnsi="Arial" w:cs="Arial"/>
        </w:rPr>
        <w:t>3</w:t>
      </w:r>
      <w:r w:rsidR="00CC0880" w:rsidRPr="00B5363A">
        <w:rPr>
          <w:rFonts w:ascii="Arial" w:hAnsi="Arial" w:cs="Arial"/>
        </w:rPr>
        <w:t xml:space="preserve"> Milliarden Euro – </w:t>
      </w:r>
      <w:r w:rsidR="007F1469" w:rsidRPr="00B5363A">
        <w:rPr>
          <w:rFonts w:ascii="Arial" w:hAnsi="Arial" w:cs="Arial"/>
        </w:rPr>
        <w:t>6</w:t>
      </w:r>
      <w:r w:rsidR="00B5363A" w:rsidRPr="00B5363A">
        <w:rPr>
          <w:rFonts w:ascii="Arial" w:hAnsi="Arial" w:cs="Arial"/>
        </w:rPr>
        <w:t>3</w:t>
      </w:r>
      <w:r w:rsidR="00B726CA" w:rsidRPr="00B5363A">
        <w:rPr>
          <w:rFonts w:ascii="Arial" w:hAnsi="Arial" w:cs="Arial"/>
        </w:rPr>
        <w:t>,</w:t>
      </w:r>
      <w:r w:rsidR="00B5363A" w:rsidRPr="00B5363A">
        <w:rPr>
          <w:rFonts w:ascii="Arial" w:hAnsi="Arial" w:cs="Arial"/>
        </w:rPr>
        <w:t>6</w:t>
      </w:r>
      <w:r w:rsidR="00537213" w:rsidRPr="00B5363A">
        <w:rPr>
          <w:rFonts w:ascii="Arial" w:hAnsi="Arial" w:cs="Arial"/>
        </w:rPr>
        <w:t xml:space="preserve"> Prozent</w:t>
      </w:r>
      <w:r w:rsidR="00CC0880" w:rsidRPr="00B5363A">
        <w:rPr>
          <w:rFonts w:ascii="Arial" w:hAnsi="Arial" w:cs="Arial"/>
        </w:rPr>
        <w:t xml:space="preserve"> des BIP</w:t>
      </w:r>
      <w:r w:rsidR="00F56CC5" w:rsidRPr="00B5363A">
        <w:rPr>
          <w:rFonts w:ascii="Arial" w:hAnsi="Arial" w:cs="Arial"/>
        </w:rPr>
        <w:t xml:space="preserve">. 2019 </w:t>
      </w:r>
      <w:r w:rsidR="006C0D89" w:rsidRPr="00B5363A">
        <w:rPr>
          <w:rFonts w:ascii="Arial" w:hAnsi="Arial" w:cs="Arial"/>
        </w:rPr>
        <w:t xml:space="preserve">entsprach </w:t>
      </w:r>
      <w:r w:rsidR="00F56CC5" w:rsidRPr="00B5363A">
        <w:rPr>
          <w:rFonts w:ascii="Arial" w:hAnsi="Arial" w:cs="Arial"/>
        </w:rPr>
        <w:t xml:space="preserve">der Schuldenstand </w:t>
      </w:r>
      <w:r w:rsidR="00CC0880" w:rsidRPr="00B5363A">
        <w:rPr>
          <w:rFonts w:ascii="Arial" w:hAnsi="Arial" w:cs="Arial"/>
        </w:rPr>
        <w:t xml:space="preserve">in Höhe von </w:t>
      </w:r>
      <w:r w:rsidR="006C0D89" w:rsidRPr="00B5363A">
        <w:rPr>
          <w:rFonts w:ascii="Arial" w:hAnsi="Arial" w:cs="Arial"/>
        </w:rPr>
        <w:t>2.0</w:t>
      </w:r>
      <w:r w:rsidR="00B5363A" w:rsidRPr="00B5363A">
        <w:rPr>
          <w:rFonts w:ascii="Arial" w:hAnsi="Arial" w:cs="Arial"/>
        </w:rPr>
        <w:t>70</w:t>
      </w:r>
      <w:r w:rsidR="006C0D89" w:rsidRPr="00B5363A">
        <w:rPr>
          <w:rFonts w:ascii="Arial" w:hAnsi="Arial" w:cs="Arial"/>
        </w:rPr>
        <w:t xml:space="preserve"> </w:t>
      </w:r>
      <w:r w:rsidR="00CC0880" w:rsidRPr="00B5363A">
        <w:rPr>
          <w:rFonts w:ascii="Arial" w:hAnsi="Arial" w:cs="Arial"/>
        </w:rPr>
        <w:t xml:space="preserve">Milliarden </w:t>
      </w:r>
      <w:r w:rsidR="000009CF" w:rsidRPr="00B5363A">
        <w:rPr>
          <w:rFonts w:ascii="Arial" w:hAnsi="Arial" w:cs="Arial"/>
        </w:rPr>
        <w:t xml:space="preserve">Euro </w:t>
      </w:r>
      <w:r w:rsidR="006C0D89" w:rsidRPr="00B5363A">
        <w:rPr>
          <w:rFonts w:ascii="Arial" w:hAnsi="Arial" w:cs="Arial"/>
        </w:rPr>
        <w:t>5</w:t>
      </w:r>
      <w:r w:rsidR="00CD3BC0" w:rsidRPr="00B5363A">
        <w:rPr>
          <w:rFonts w:ascii="Arial" w:hAnsi="Arial" w:cs="Arial"/>
        </w:rPr>
        <w:t>9</w:t>
      </w:r>
      <w:r w:rsidR="00F56CC5" w:rsidRPr="00B5363A">
        <w:rPr>
          <w:rFonts w:ascii="Arial" w:hAnsi="Arial" w:cs="Arial"/>
        </w:rPr>
        <w:t>,</w:t>
      </w:r>
      <w:r w:rsidR="00CD3BC0" w:rsidRPr="00B5363A">
        <w:rPr>
          <w:rFonts w:ascii="Arial" w:hAnsi="Arial" w:cs="Arial"/>
        </w:rPr>
        <w:t>6</w:t>
      </w:r>
      <w:r w:rsidR="00F56CC5" w:rsidRPr="00B5363A">
        <w:rPr>
          <w:rFonts w:ascii="Arial" w:hAnsi="Arial" w:cs="Arial"/>
        </w:rPr>
        <w:t xml:space="preserve"> Prozent</w:t>
      </w:r>
      <w:r w:rsidR="00537213" w:rsidRPr="00B5363A">
        <w:rPr>
          <w:rFonts w:ascii="Arial" w:hAnsi="Arial" w:cs="Arial"/>
        </w:rPr>
        <w:t xml:space="preserve"> </w:t>
      </w:r>
      <w:r w:rsidR="00F56CC5" w:rsidRPr="00B5363A">
        <w:rPr>
          <w:rFonts w:ascii="Arial" w:hAnsi="Arial" w:cs="Arial"/>
        </w:rPr>
        <w:t>des BIP</w:t>
      </w:r>
      <w:r w:rsidR="00CC0880" w:rsidRPr="00B5363A">
        <w:rPr>
          <w:rFonts w:ascii="Arial" w:hAnsi="Arial" w:cs="Arial"/>
        </w:rPr>
        <w:t xml:space="preserve"> und lag damit </w:t>
      </w:r>
      <w:r w:rsidR="00FF65BE" w:rsidRPr="00B5363A">
        <w:rPr>
          <w:rFonts w:ascii="Arial" w:hAnsi="Arial" w:cs="Arial"/>
        </w:rPr>
        <w:t>das erste Mal seit 2002 unterhalb der 60-Prozent-Marke</w:t>
      </w:r>
      <w:r w:rsidR="00D17ECF" w:rsidRPr="00B5363A">
        <w:rPr>
          <w:rFonts w:ascii="Arial" w:hAnsi="Arial" w:cs="Arial"/>
        </w:rPr>
        <w:t>.</w:t>
      </w:r>
      <w:r w:rsidR="0023029B" w:rsidRPr="00B5363A">
        <w:rPr>
          <w:rFonts w:ascii="Arial" w:hAnsi="Arial" w:cs="Arial"/>
        </w:rPr>
        <w:t xml:space="preserve"> I</w:t>
      </w:r>
      <w:r w:rsidR="00537213" w:rsidRPr="00B5363A">
        <w:rPr>
          <w:rFonts w:ascii="Arial" w:hAnsi="Arial" w:cs="Arial"/>
        </w:rPr>
        <w:t xml:space="preserve">n Estland </w:t>
      </w:r>
      <w:r w:rsidR="00A03ECD" w:rsidRPr="00B5363A">
        <w:rPr>
          <w:rFonts w:ascii="Arial" w:hAnsi="Arial" w:cs="Arial"/>
        </w:rPr>
        <w:t>lag</w:t>
      </w:r>
      <w:r w:rsidR="00537213" w:rsidRPr="00B5363A">
        <w:rPr>
          <w:rFonts w:ascii="Arial" w:hAnsi="Arial" w:cs="Arial"/>
        </w:rPr>
        <w:t xml:space="preserve"> der Schuldenstand </w:t>
      </w:r>
      <w:r w:rsidR="00B463BE" w:rsidRPr="00B5363A">
        <w:rPr>
          <w:rFonts w:ascii="Arial" w:hAnsi="Arial" w:cs="Arial"/>
        </w:rPr>
        <w:t>im Jahr 20</w:t>
      </w:r>
      <w:r w:rsidR="004A6CC8" w:rsidRPr="00B5363A">
        <w:rPr>
          <w:rFonts w:ascii="Arial" w:hAnsi="Arial" w:cs="Arial"/>
        </w:rPr>
        <w:t>2</w:t>
      </w:r>
      <w:r w:rsidR="00B5363A" w:rsidRPr="00B5363A">
        <w:rPr>
          <w:rFonts w:ascii="Arial" w:hAnsi="Arial" w:cs="Arial"/>
        </w:rPr>
        <w:t>3</w:t>
      </w:r>
      <w:r w:rsidR="00B463BE" w:rsidRPr="00B5363A">
        <w:rPr>
          <w:rFonts w:ascii="Arial" w:hAnsi="Arial" w:cs="Arial"/>
        </w:rPr>
        <w:t xml:space="preserve"> </w:t>
      </w:r>
      <w:r w:rsidR="00A03ECD" w:rsidRPr="00B5363A">
        <w:rPr>
          <w:rFonts w:ascii="Arial" w:hAnsi="Arial" w:cs="Arial"/>
        </w:rPr>
        <w:t xml:space="preserve">bei </w:t>
      </w:r>
      <w:r w:rsidR="00537213" w:rsidRPr="00B5363A">
        <w:rPr>
          <w:rFonts w:ascii="Arial" w:hAnsi="Arial" w:cs="Arial"/>
        </w:rPr>
        <w:t xml:space="preserve">lediglich </w:t>
      </w:r>
      <w:r w:rsidR="004A6CC8" w:rsidRPr="00B5363A">
        <w:rPr>
          <w:rFonts w:ascii="Arial" w:hAnsi="Arial" w:cs="Arial"/>
        </w:rPr>
        <w:t>1</w:t>
      </w:r>
      <w:r w:rsidR="00B5363A" w:rsidRPr="00B5363A">
        <w:rPr>
          <w:rFonts w:ascii="Arial" w:hAnsi="Arial" w:cs="Arial"/>
        </w:rPr>
        <w:t>9</w:t>
      </w:r>
      <w:r w:rsidR="00537213" w:rsidRPr="00B5363A">
        <w:rPr>
          <w:rFonts w:ascii="Arial" w:hAnsi="Arial" w:cs="Arial"/>
        </w:rPr>
        <w:t>,</w:t>
      </w:r>
      <w:r w:rsidR="00B5363A" w:rsidRPr="00B5363A">
        <w:rPr>
          <w:rFonts w:ascii="Arial" w:hAnsi="Arial" w:cs="Arial"/>
        </w:rPr>
        <w:t>6</w:t>
      </w:r>
      <w:r w:rsidR="00537213" w:rsidRPr="00B5363A">
        <w:rPr>
          <w:rFonts w:ascii="Arial" w:hAnsi="Arial" w:cs="Arial"/>
        </w:rPr>
        <w:t xml:space="preserve"> Prozent des BIP.</w:t>
      </w:r>
      <w:r w:rsidR="00B328FD" w:rsidRPr="00B5363A">
        <w:rPr>
          <w:rFonts w:ascii="Arial" w:hAnsi="Arial" w:cs="Arial"/>
        </w:rPr>
        <w:t xml:space="preserve"> D</w:t>
      </w:r>
      <w:r w:rsidR="00537213" w:rsidRPr="00B5363A">
        <w:rPr>
          <w:rFonts w:ascii="Arial" w:hAnsi="Arial" w:cs="Arial"/>
        </w:rPr>
        <w:t xml:space="preserve">arauf folgten </w:t>
      </w:r>
      <w:r w:rsidR="00126D26" w:rsidRPr="00B5363A">
        <w:rPr>
          <w:rFonts w:ascii="Arial" w:hAnsi="Arial" w:cs="Arial"/>
        </w:rPr>
        <w:t>Bulgarien (2</w:t>
      </w:r>
      <w:r w:rsidR="00B5363A" w:rsidRPr="00B5363A">
        <w:rPr>
          <w:rFonts w:ascii="Arial" w:hAnsi="Arial" w:cs="Arial"/>
        </w:rPr>
        <w:t>3</w:t>
      </w:r>
      <w:r w:rsidR="00126D26" w:rsidRPr="00B5363A">
        <w:rPr>
          <w:rFonts w:ascii="Arial" w:hAnsi="Arial" w:cs="Arial"/>
        </w:rPr>
        <w:t>,</w:t>
      </w:r>
      <w:r w:rsidR="00B5363A" w:rsidRPr="00B5363A">
        <w:rPr>
          <w:rFonts w:ascii="Arial" w:hAnsi="Arial" w:cs="Arial"/>
        </w:rPr>
        <w:t>1</w:t>
      </w:r>
      <w:r w:rsidR="00126D26" w:rsidRPr="00B5363A">
        <w:rPr>
          <w:rFonts w:ascii="Arial" w:hAnsi="Arial" w:cs="Arial"/>
        </w:rPr>
        <w:t xml:space="preserve"> Prozent), </w:t>
      </w:r>
      <w:r w:rsidR="00B328FD" w:rsidRPr="00B5363A">
        <w:rPr>
          <w:rFonts w:ascii="Arial" w:hAnsi="Arial" w:cs="Arial"/>
        </w:rPr>
        <w:t>Luxemburg (2</w:t>
      </w:r>
      <w:r w:rsidR="00B5363A" w:rsidRPr="00B5363A">
        <w:rPr>
          <w:rFonts w:ascii="Arial" w:hAnsi="Arial" w:cs="Arial"/>
        </w:rPr>
        <w:t>5</w:t>
      </w:r>
      <w:r w:rsidR="00B328FD" w:rsidRPr="00B5363A">
        <w:rPr>
          <w:rFonts w:ascii="Arial" w:hAnsi="Arial" w:cs="Arial"/>
        </w:rPr>
        <w:t>,</w:t>
      </w:r>
      <w:r w:rsidR="00B5363A" w:rsidRPr="00B5363A">
        <w:rPr>
          <w:rFonts w:ascii="Arial" w:hAnsi="Arial" w:cs="Arial"/>
        </w:rPr>
        <w:t>7</w:t>
      </w:r>
      <w:r w:rsidR="00B328FD" w:rsidRPr="00B5363A">
        <w:rPr>
          <w:rFonts w:ascii="Arial" w:hAnsi="Arial" w:cs="Arial"/>
        </w:rPr>
        <w:t xml:space="preserve"> Prozent),</w:t>
      </w:r>
      <w:r w:rsidR="00126D26" w:rsidRPr="00B5363A">
        <w:rPr>
          <w:rFonts w:ascii="Arial" w:hAnsi="Arial" w:cs="Arial"/>
        </w:rPr>
        <w:t xml:space="preserve"> Dänemark (</w:t>
      </w:r>
      <w:r w:rsidR="00B5363A" w:rsidRPr="00B5363A">
        <w:rPr>
          <w:rFonts w:ascii="Arial" w:hAnsi="Arial" w:cs="Arial"/>
        </w:rPr>
        <w:t>29</w:t>
      </w:r>
      <w:r w:rsidR="00126D26" w:rsidRPr="00B5363A">
        <w:rPr>
          <w:rFonts w:ascii="Arial" w:hAnsi="Arial" w:cs="Arial"/>
        </w:rPr>
        <w:t>,</w:t>
      </w:r>
      <w:r w:rsidR="00B5363A" w:rsidRPr="00B5363A">
        <w:rPr>
          <w:rFonts w:ascii="Arial" w:hAnsi="Arial" w:cs="Arial"/>
        </w:rPr>
        <w:t>3</w:t>
      </w:r>
      <w:r w:rsidR="00126D26" w:rsidRPr="00B5363A">
        <w:rPr>
          <w:rFonts w:ascii="Arial" w:hAnsi="Arial" w:cs="Arial"/>
        </w:rPr>
        <w:t xml:space="preserve"> Prozent), </w:t>
      </w:r>
      <w:r w:rsidR="00CC0880" w:rsidRPr="00B5363A">
        <w:rPr>
          <w:rFonts w:ascii="Arial" w:hAnsi="Arial" w:cs="Arial"/>
        </w:rPr>
        <w:t xml:space="preserve">Schweden </w:t>
      </w:r>
      <w:r w:rsidR="00933B13" w:rsidRPr="00B5363A">
        <w:rPr>
          <w:rFonts w:ascii="Arial" w:hAnsi="Arial" w:cs="Arial"/>
        </w:rPr>
        <w:t>(3</w:t>
      </w:r>
      <w:r w:rsidR="00B5363A" w:rsidRPr="00B5363A">
        <w:rPr>
          <w:rFonts w:ascii="Arial" w:hAnsi="Arial" w:cs="Arial"/>
        </w:rPr>
        <w:t>1</w:t>
      </w:r>
      <w:r w:rsidR="00933B13" w:rsidRPr="00B5363A">
        <w:rPr>
          <w:rFonts w:ascii="Arial" w:hAnsi="Arial" w:cs="Arial"/>
        </w:rPr>
        <w:t>,</w:t>
      </w:r>
      <w:r w:rsidR="00B5363A" w:rsidRPr="00B5363A">
        <w:rPr>
          <w:rFonts w:ascii="Arial" w:hAnsi="Arial" w:cs="Arial"/>
        </w:rPr>
        <w:t>2</w:t>
      </w:r>
      <w:r w:rsidR="00933B13" w:rsidRPr="00B5363A">
        <w:rPr>
          <w:rFonts w:ascii="Arial" w:hAnsi="Arial" w:cs="Arial"/>
        </w:rPr>
        <w:t xml:space="preserve"> Prozent)</w:t>
      </w:r>
      <w:r w:rsidR="00126D26" w:rsidRPr="00B5363A">
        <w:rPr>
          <w:rFonts w:ascii="Arial" w:hAnsi="Arial" w:cs="Arial"/>
        </w:rPr>
        <w:t xml:space="preserve"> </w:t>
      </w:r>
      <w:r w:rsidR="00CC0880" w:rsidRPr="00B5363A">
        <w:rPr>
          <w:rFonts w:ascii="Arial" w:hAnsi="Arial" w:cs="Arial"/>
        </w:rPr>
        <w:t>sowie Litauen und Lettland (</w:t>
      </w:r>
      <w:r w:rsidR="00126D26" w:rsidRPr="00B5363A">
        <w:rPr>
          <w:rFonts w:ascii="Arial" w:hAnsi="Arial" w:cs="Arial"/>
        </w:rPr>
        <w:t>38</w:t>
      </w:r>
      <w:r w:rsidR="00CC0880" w:rsidRPr="00B5363A">
        <w:rPr>
          <w:rFonts w:ascii="Arial" w:hAnsi="Arial" w:cs="Arial"/>
        </w:rPr>
        <w:t>,</w:t>
      </w:r>
      <w:r w:rsidR="00B5363A" w:rsidRPr="00B5363A">
        <w:rPr>
          <w:rFonts w:ascii="Arial" w:hAnsi="Arial" w:cs="Arial"/>
        </w:rPr>
        <w:t>3</w:t>
      </w:r>
      <w:r w:rsidR="00CC0880" w:rsidRPr="00B5363A">
        <w:rPr>
          <w:rFonts w:ascii="Arial" w:hAnsi="Arial" w:cs="Arial"/>
        </w:rPr>
        <w:t xml:space="preserve"> bzw. 4</w:t>
      </w:r>
      <w:r w:rsidR="00B5363A" w:rsidRPr="00B5363A">
        <w:rPr>
          <w:rFonts w:ascii="Arial" w:hAnsi="Arial" w:cs="Arial"/>
        </w:rPr>
        <w:t>3</w:t>
      </w:r>
      <w:r w:rsidR="00CC0880" w:rsidRPr="00B5363A">
        <w:rPr>
          <w:rFonts w:ascii="Arial" w:hAnsi="Arial" w:cs="Arial"/>
        </w:rPr>
        <w:t>,</w:t>
      </w:r>
      <w:r w:rsidR="00B5363A" w:rsidRPr="00B5363A">
        <w:rPr>
          <w:rFonts w:ascii="Arial" w:hAnsi="Arial" w:cs="Arial"/>
        </w:rPr>
        <w:t>6</w:t>
      </w:r>
      <w:r w:rsidR="00CC0880" w:rsidRPr="00B5363A">
        <w:rPr>
          <w:rFonts w:ascii="Arial" w:hAnsi="Arial" w:cs="Arial"/>
        </w:rPr>
        <w:t xml:space="preserve"> Prozent)</w:t>
      </w:r>
      <w:r w:rsidR="0023029B" w:rsidRPr="00B5363A">
        <w:rPr>
          <w:rFonts w:ascii="Arial" w:hAnsi="Arial" w:cs="Arial"/>
        </w:rPr>
        <w:t>.</w:t>
      </w:r>
    </w:p>
    <w:p w14:paraId="76CC9A28" w14:textId="77777777" w:rsidR="00126FD5" w:rsidRDefault="00126FD5" w:rsidP="006C0D89">
      <w:pPr>
        <w:rPr>
          <w:rFonts w:ascii="Arial" w:hAnsi="Arial" w:cs="Arial"/>
        </w:rPr>
      </w:pPr>
    </w:p>
    <w:p w14:paraId="50E22EEF" w14:textId="0E0E6C84" w:rsidR="00D17ECF" w:rsidRDefault="00F03B8E" w:rsidP="009272C8">
      <w:pPr>
        <w:rPr>
          <w:rFonts w:ascii="Arial" w:hAnsi="Arial" w:cs="Arial"/>
        </w:rPr>
      </w:pPr>
      <w:r w:rsidRPr="009272C8">
        <w:rPr>
          <w:rFonts w:ascii="Arial" w:hAnsi="Arial" w:cs="Arial"/>
        </w:rPr>
        <w:t>D</w:t>
      </w:r>
      <w:r w:rsidR="00537213" w:rsidRPr="009272C8">
        <w:rPr>
          <w:rFonts w:ascii="Arial" w:hAnsi="Arial" w:cs="Arial"/>
        </w:rPr>
        <w:t xml:space="preserve">urch die Schuldenstände entstehen vor allem dann Probleme, wenn Staaten trotz hoher Schuldenquote zusätzliche Kredite aufnehmen. Laut der Deutschen Bundesbank gehören dazu "die potenzielle Verdrängung privater Investitionen, Unsicherheiten und Verzerrungen durch erwartete oder tatsächliche künftige Erhöhungen der Abgabenlast oder merkliche Risikoprämien auf den Kapitalmärkten infolge verstärkter Sorgen um die Zahlungsfähigkeit des Schuldners. Darüber hinaus dürfte bei hohen Schuldenquoten die Wirksamkeit gezielter kreditfinanzierter Maßnahmen zur Abwehr von besonders schweren Krisen zunehmend begrenzt sein. Zudem erhöht sich die Gefahr von Konflikten zwischen Finanz- und Geldpolitik, die gravierende gesamtwirtschaftliche Kosten zur Folge haben, während umgekehrt solide Staatsfinanzen eine stabilitätsorientierte Geldpolitik erleichtern" (Deutsche Bundesbank: Monatsbericht April 2010). Weiter führt </w:t>
      </w:r>
      <w:r w:rsidR="002D2331" w:rsidRPr="009272C8">
        <w:rPr>
          <w:rFonts w:ascii="Arial" w:hAnsi="Arial" w:cs="Arial"/>
        </w:rPr>
        <w:t xml:space="preserve">die </w:t>
      </w:r>
      <w:r w:rsidR="00537213" w:rsidRPr="009272C8">
        <w:rPr>
          <w:rFonts w:ascii="Arial" w:hAnsi="Arial" w:cs="Arial"/>
        </w:rPr>
        <w:t>Staatsverschuldung zu</w:t>
      </w:r>
      <w:r w:rsidR="00ED15B0" w:rsidRPr="009272C8">
        <w:rPr>
          <w:rFonts w:ascii="Arial" w:hAnsi="Arial" w:cs="Arial"/>
        </w:rPr>
        <w:t xml:space="preserve"> Z</w:t>
      </w:r>
      <w:r w:rsidR="00537213" w:rsidRPr="009272C8">
        <w:rPr>
          <w:rFonts w:ascii="Arial" w:hAnsi="Arial" w:cs="Arial"/>
        </w:rPr>
        <w:t>insausgaben und damit zu einer Verengung des staatlichen Handlungsspielraums</w:t>
      </w:r>
      <w:r w:rsidR="00ED15B0" w:rsidRPr="009272C8">
        <w:rPr>
          <w:rFonts w:ascii="Arial" w:hAnsi="Arial" w:cs="Arial"/>
        </w:rPr>
        <w:t>.</w:t>
      </w:r>
    </w:p>
    <w:p w14:paraId="6F047DF9" w14:textId="77777777" w:rsidR="008935AF" w:rsidRDefault="008935AF" w:rsidP="009272C8">
      <w:pPr>
        <w:rPr>
          <w:rFonts w:ascii="Arial" w:hAnsi="Arial" w:cs="Arial"/>
        </w:rPr>
      </w:pPr>
    </w:p>
    <w:p w14:paraId="0867BFB9" w14:textId="37E4E1FE" w:rsidR="001B6500" w:rsidRPr="00F03B8E" w:rsidRDefault="00ED15B0" w:rsidP="00CF093B">
      <w:pPr>
        <w:rPr>
          <w:rFonts w:ascii="Arial" w:hAnsi="Arial"/>
          <w:color w:val="FF0000"/>
        </w:rPr>
      </w:pPr>
      <w:r>
        <w:rPr>
          <w:rFonts w:ascii="Arial" w:hAnsi="Arial"/>
          <w:color w:val="FF0000"/>
        </w:rPr>
        <w:t>D</w:t>
      </w:r>
      <w:r w:rsidR="00B75FD6" w:rsidRPr="00F03B8E">
        <w:rPr>
          <w:rFonts w:ascii="Arial" w:hAnsi="Arial"/>
          <w:color w:val="FF0000"/>
        </w:rPr>
        <w:t>atenquelle</w:t>
      </w:r>
    </w:p>
    <w:p w14:paraId="0F32C366" w14:textId="77777777" w:rsidR="00CF093B" w:rsidRPr="005A2DFB" w:rsidRDefault="00CF093B" w:rsidP="00915F4E">
      <w:pPr>
        <w:rPr>
          <w:rFonts w:ascii="Arial" w:hAnsi="Arial" w:cs="Arial"/>
        </w:rPr>
      </w:pPr>
    </w:p>
    <w:p w14:paraId="297ED375" w14:textId="33844E85" w:rsidR="001B6500" w:rsidRPr="000F4ED7" w:rsidRDefault="00537213" w:rsidP="00915F4E">
      <w:pPr>
        <w:rPr>
          <w:rFonts w:ascii="Arial" w:hAnsi="Arial" w:cs="Arial"/>
        </w:rPr>
      </w:pPr>
      <w:proofErr w:type="spellStart"/>
      <w:r w:rsidRPr="005A2DFB">
        <w:rPr>
          <w:rFonts w:ascii="Arial" w:hAnsi="Arial" w:cs="Arial"/>
        </w:rPr>
        <w:t>Eurostat</w:t>
      </w:r>
      <w:proofErr w:type="spellEnd"/>
      <w:r w:rsidRPr="005A2DFB">
        <w:rPr>
          <w:rFonts w:ascii="Arial" w:hAnsi="Arial" w:cs="Arial"/>
        </w:rPr>
        <w:t>: Online-Datenbank</w:t>
      </w:r>
      <w:r w:rsidR="00231525" w:rsidRPr="005A2DFB">
        <w:rPr>
          <w:rFonts w:ascii="Arial" w:hAnsi="Arial" w:cs="Arial"/>
        </w:rPr>
        <w:t>:</w:t>
      </w:r>
      <w:r w:rsidR="00231525" w:rsidRPr="00B1661D">
        <w:rPr>
          <w:rFonts w:ascii="Arial" w:hAnsi="Arial" w:cs="Arial"/>
        </w:rPr>
        <w:t xml:space="preserve"> </w:t>
      </w:r>
      <w:r w:rsidR="00231525" w:rsidRPr="005A2DFB">
        <w:rPr>
          <w:rFonts w:ascii="Arial" w:hAnsi="Arial" w:cs="Arial"/>
        </w:rPr>
        <w:t>Defizit/Überschuss, Schuldenstand des Staates und damit zusammenhängende Daten (</w:t>
      </w:r>
      <w:r w:rsidRPr="005A2DFB">
        <w:rPr>
          <w:rFonts w:ascii="Arial" w:hAnsi="Arial" w:cs="Arial"/>
        </w:rPr>
        <w:t>Stand: 0</w:t>
      </w:r>
      <w:r w:rsidR="005A2DFB" w:rsidRPr="005A2DFB">
        <w:rPr>
          <w:rFonts w:ascii="Arial" w:hAnsi="Arial" w:cs="Arial"/>
        </w:rPr>
        <w:t>4</w:t>
      </w:r>
      <w:r w:rsidRPr="005A2DFB">
        <w:rPr>
          <w:rFonts w:ascii="Arial" w:hAnsi="Arial" w:cs="Arial"/>
        </w:rPr>
        <w:t>/20</w:t>
      </w:r>
      <w:r w:rsidR="00860D93" w:rsidRPr="005A2DFB">
        <w:rPr>
          <w:rFonts w:ascii="Arial" w:hAnsi="Arial" w:cs="Arial"/>
        </w:rPr>
        <w:t>2</w:t>
      </w:r>
      <w:r w:rsidR="005A2DFB" w:rsidRPr="005A2DFB">
        <w:rPr>
          <w:rFonts w:ascii="Arial" w:hAnsi="Arial" w:cs="Arial"/>
        </w:rPr>
        <w:t>4</w:t>
      </w:r>
      <w:r w:rsidRPr="005A2DFB">
        <w:rPr>
          <w:rFonts w:ascii="Arial" w:hAnsi="Arial" w:cs="Arial"/>
        </w:rPr>
        <w:t>)</w:t>
      </w:r>
      <w:r w:rsidR="00DF3124" w:rsidRPr="005A2DFB">
        <w:rPr>
          <w:rFonts w:ascii="Arial" w:hAnsi="Arial" w:cs="Arial"/>
        </w:rPr>
        <w:t>,</w:t>
      </w:r>
      <w:r w:rsidR="00E52688" w:rsidRPr="005A2DFB">
        <w:rPr>
          <w:rFonts w:ascii="Arial" w:hAnsi="Arial" w:cs="Arial"/>
        </w:rPr>
        <w:t xml:space="preserve"> a</w:t>
      </w:r>
      <w:r w:rsidR="00E52688" w:rsidRPr="00915F4E">
        <w:rPr>
          <w:rFonts w:ascii="Arial" w:hAnsi="Arial" w:cs="Arial"/>
        </w:rPr>
        <w:t xml:space="preserve">bweichende </w:t>
      </w:r>
      <w:r w:rsidR="00336E40" w:rsidRPr="00915F4E">
        <w:rPr>
          <w:rFonts w:ascii="Arial" w:hAnsi="Arial" w:cs="Arial"/>
        </w:rPr>
        <w:t>Quelle</w:t>
      </w:r>
      <w:r w:rsidR="00915F4E" w:rsidRPr="00915F4E">
        <w:rPr>
          <w:rFonts w:ascii="Arial" w:hAnsi="Arial" w:cs="Arial"/>
        </w:rPr>
        <w:t xml:space="preserve"> bei </w:t>
      </w:r>
      <w:r w:rsidR="00336E40" w:rsidRPr="00915F4E">
        <w:rPr>
          <w:rFonts w:ascii="Arial" w:hAnsi="Arial" w:cs="Arial"/>
        </w:rPr>
        <w:t>Dänemark bis einschließlich 1999: Eurostat: Online-Datenbank: Defizit/Überschuss, Schuldenstand des Staates und damit zusammenhängende Daten [gov_dd_edpt1] (Stand: 07/2013)</w:t>
      </w:r>
      <w:r w:rsidRPr="000F4ED7">
        <w:rPr>
          <w:rFonts w:ascii="Arial" w:hAnsi="Arial" w:cs="Arial"/>
        </w:rPr>
        <w:t xml:space="preserve">; Amtsblatt der Europäischen Union: Konsolidierte Fassung des </w:t>
      </w:r>
      <w:r w:rsidRPr="000F4ED7">
        <w:rPr>
          <w:rFonts w:ascii="Arial" w:hAnsi="Arial" w:cs="Arial"/>
        </w:rPr>
        <w:lastRenderedPageBreak/>
        <w:t>Vertrags über die Arbeitsweise der Europäischen Union (</w:t>
      </w:r>
      <w:r w:rsidR="00A94294" w:rsidRPr="000F4ED7">
        <w:rPr>
          <w:rFonts w:ascii="Arial" w:hAnsi="Arial" w:cs="Arial"/>
        </w:rPr>
        <w:t>26</w:t>
      </w:r>
      <w:r w:rsidRPr="000F4ED7">
        <w:rPr>
          <w:rFonts w:ascii="Arial" w:hAnsi="Arial" w:cs="Arial"/>
        </w:rPr>
        <w:t xml:space="preserve">. </w:t>
      </w:r>
      <w:r w:rsidR="00A94294" w:rsidRPr="000F4ED7">
        <w:rPr>
          <w:rFonts w:ascii="Arial" w:hAnsi="Arial" w:cs="Arial"/>
        </w:rPr>
        <w:t>Oktober</w:t>
      </w:r>
      <w:r w:rsidRPr="000F4ED7">
        <w:rPr>
          <w:rFonts w:ascii="Arial" w:hAnsi="Arial" w:cs="Arial"/>
        </w:rPr>
        <w:t xml:space="preserve"> 201</w:t>
      </w:r>
      <w:r w:rsidR="00A94294" w:rsidRPr="000F4ED7">
        <w:rPr>
          <w:rFonts w:ascii="Arial" w:hAnsi="Arial" w:cs="Arial"/>
        </w:rPr>
        <w:t>2</w:t>
      </w:r>
      <w:r w:rsidRPr="000F4ED7">
        <w:rPr>
          <w:rFonts w:ascii="Arial" w:hAnsi="Arial" w:cs="Arial"/>
        </w:rPr>
        <w:t>); Deutsche Bundesbank: Monatsbericht April 2010; Statistische Bundesamt: www.destatis.de</w:t>
      </w:r>
    </w:p>
    <w:p w14:paraId="0182FA36" w14:textId="77777777" w:rsidR="00537213" w:rsidRPr="00C66658" w:rsidRDefault="00537213" w:rsidP="000F4ED7">
      <w:pPr>
        <w:rPr>
          <w:rFonts w:ascii="Arial" w:hAnsi="Arial" w:cs="Arial"/>
        </w:rPr>
      </w:pPr>
    </w:p>
    <w:p w14:paraId="18C5A0C4" w14:textId="77777777" w:rsidR="001B6500" w:rsidRPr="00F03B8E" w:rsidRDefault="003B13CB" w:rsidP="003B13CB">
      <w:pPr>
        <w:rPr>
          <w:rFonts w:ascii="Arial" w:hAnsi="Arial"/>
          <w:color w:val="FF0000"/>
        </w:rPr>
      </w:pPr>
      <w:r w:rsidRPr="00F03B8E">
        <w:rPr>
          <w:rFonts w:ascii="Arial" w:hAnsi="Arial"/>
          <w:color w:val="FF0000"/>
        </w:rPr>
        <w:t>Begriffe, methodische Anmerkungen oder Lesehilfen</w:t>
      </w:r>
    </w:p>
    <w:p w14:paraId="70B54D0D" w14:textId="77777777" w:rsidR="00CF093B" w:rsidRPr="00D32C3E" w:rsidRDefault="00CF093B" w:rsidP="00503579">
      <w:pPr>
        <w:autoSpaceDE w:val="0"/>
        <w:rPr>
          <w:rFonts w:ascii="Arial" w:hAnsi="Arial"/>
        </w:rPr>
      </w:pPr>
    </w:p>
    <w:p w14:paraId="7659ECDC" w14:textId="77777777" w:rsidR="00981F4D" w:rsidRPr="00D32C3E" w:rsidRDefault="00981F4D" w:rsidP="00981F4D">
      <w:pPr>
        <w:rPr>
          <w:rFonts w:ascii="Arial" w:hAnsi="Arial"/>
        </w:rPr>
      </w:pPr>
      <w:r w:rsidRPr="00D32C3E">
        <w:rPr>
          <w:rFonts w:ascii="Arial" w:hAnsi="Arial" w:cs="Arial"/>
        </w:rPr>
        <w:t>Informationen z</w:t>
      </w:r>
      <w:r w:rsidRPr="00D32C3E">
        <w:rPr>
          <w:rFonts w:ascii="Arial" w:hAnsi="Arial"/>
        </w:rPr>
        <w:t xml:space="preserve">um </w:t>
      </w:r>
      <w:r w:rsidR="00A561C5" w:rsidRPr="00D32C3E">
        <w:rPr>
          <w:rFonts w:ascii="Arial" w:hAnsi="Arial"/>
          <w:b/>
        </w:rPr>
        <w:t>ö</w:t>
      </w:r>
      <w:r w:rsidRPr="00D32C3E">
        <w:rPr>
          <w:rFonts w:ascii="Arial" w:hAnsi="Arial"/>
          <w:b/>
        </w:rPr>
        <w:t>ffentlichen Finanzierungssaldo</w:t>
      </w:r>
      <w:r w:rsidRPr="00D32C3E">
        <w:rPr>
          <w:rFonts w:ascii="Arial" w:hAnsi="Arial"/>
        </w:rPr>
        <w:t xml:space="preserve"> erhalten Sie hier</w:t>
      </w:r>
      <w:r w:rsidR="007D09F8" w:rsidRPr="00D32C3E">
        <w:rPr>
          <w:rFonts w:ascii="Arial" w:hAnsi="Arial"/>
        </w:rPr>
        <w:t>:</w:t>
      </w:r>
    </w:p>
    <w:p w14:paraId="72E0A330" w14:textId="77777777" w:rsidR="00981F4D" w:rsidRPr="00F03B8E" w:rsidRDefault="00A61D01" w:rsidP="00981F4D">
      <w:pPr>
        <w:rPr>
          <w:rFonts w:ascii="Arial" w:hAnsi="Arial"/>
        </w:rPr>
      </w:pPr>
      <w:hyperlink r:id="rId8" w:history="1">
        <w:r w:rsidR="00981F4D" w:rsidRPr="00F03B8E">
          <w:rPr>
            <w:rStyle w:val="Hyperlink"/>
            <w:rFonts w:ascii="Arial" w:hAnsi="Arial"/>
          </w:rPr>
          <w:t>http://www.bpb.de/70573</w:t>
        </w:r>
      </w:hyperlink>
    </w:p>
    <w:p w14:paraId="2EE15E9A" w14:textId="77777777" w:rsidR="00981F4D" w:rsidRPr="00D32C3E" w:rsidRDefault="00981F4D" w:rsidP="005A59DF">
      <w:pPr>
        <w:autoSpaceDE w:val="0"/>
        <w:rPr>
          <w:rFonts w:ascii="Arial" w:hAnsi="Arial"/>
        </w:rPr>
      </w:pPr>
    </w:p>
    <w:p w14:paraId="3DF32885" w14:textId="77777777" w:rsidR="008935AF" w:rsidRDefault="00537213" w:rsidP="00E5453B">
      <w:pPr>
        <w:rPr>
          <w:rFonts w:ascii="Arial" w:hAnsi="Arial" w:cs="Arial"/>
        </w:rPr>
      </w:pPr>
      <w:r w:rsidRPr="00D32C3E">
        <w:rPr>
          <w:rFonts w:ascii="Arial" w:hAnsi="Arial" w:cs="Arial"/>
        </w:rPr>
        <w:t xml:space="preserve">Das </w:t>
      </w:r>
      <w:r w:rsidRPr="00D32C3E">
        <w:rPr>
          <w:rStyle w:val="Fett"/>
          <w:rFonts w:ascii="Arial" w:hAnsi="Arial" w:cs="Arial"/>
        </w:rPr>
        <w:t>Bruttoinlandsprodukt (BIP)</w:t>
      </w:r>
      <w:r w:rsidRPr="00D32C3E">
        <w:rPr>
          <w:rFonts w:ascii="Arial" w:hAnsi="Arial" w:cs="Arial"/>
        </w:rPr>
        <w:t xml:space="preserve"> 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14:paraId="5448FE43" w14:textId="77777777" w:rsidR="008935AF" w:rsidRDefault="008935AF" w:rsidP="00E5453B">
      <w:pPr>
        <w:rPr>
          <w:rFonts w:ascii="Arial" w:hAnsi="Arial" w:cs="Arial"/>
        </w:rPr>
      </w:pPr>
    </w:p>
    <w:p w14:paraId="354A1B13" w14:textId="0F4F38A5" w:rsidR="00860D93" w:rsidRDefault="00860D93" w:rsidP="005A59DF">
      <w:pPr>
        <w:autoSpaceDE w:val="0"/>
        <w:rPr>
          <w:rFonts w:ascii="Arial" w:hAnsi="Arial" w:cs="Arial"/>
        </w:rPr>
      </w:pPr>
      <w:r w:rsidRPr="00D32C3E">
        <w:rPr>
          <w:rFonts w:ascii="Arial" w:hAnsi="Arial" w:cs="Arial"/>
          <w:b/>
        </w:rPr>
        <w:t xml:space="preserve">EU-27 (ab 2020) </w:t>
      </w:r>
      <w:r w:rsidRPr="00D32C3E">
        <w:rPr>
          <w:rFonts w:ascii="Arial" w:hAnsi="Arial" w:cs="Arial"/>
        </w:rPr>
        <w:t xml:space="preserve">bezieht sich auf die Zeit nach dem </w:t>
      </w:r>
      <w:r w:rsidRPr="00D32C3E">
        <w:rPr>
          <w:rFonts w:ascii="Arial" w:hAnsi="Arial" w:cs="Arial"/>
          <w:shd w:val="clear" w:color="auto" w:fill="FFFFFF"/>
        </w:rPr>
        <w:t xml:space="preserve">Austritt des Vereinigten Königreichs aus der </w:t>
      </w:r>
      <w:r w:rsidR="00A17C99" w:rsidRPr="00D32C3E">
        <w:rPr>
          <w:rFonts w:ascii="Arial" w:hAnsi="Arial" w:cs="Arial"/>
        </w:rPr>
        <w:t xml:space="preserve">Europäische Union </w:t>
      </w:r>
      <w:r w:rsidRPr="00D32C3E">
        <w:rPr>
          <w:rFonts w:ascii="Arial" w:hAnsi="Arial" w:cs="Arial"/>
          <w:shd w:val="clear" w:color="auto" w:fill="FFFFFF"/>
        </w:rPr>
        <w:t>("</w:t>
      </w:r>
      <w:proofErr w:type="spellStart"/>
      <w:r w:rsidRPr="00D32C3E">
        <w:rPr>
          <w:rStyle w:val="Fett"/>
          <w:rFonts w:ascii="Arial" w:hAnsi="Arial" w:cs="Arial"/>
          <w:shd w:val="clear" w:color="auto" w:fill="FFFFFF"/>
        </w:rPr>
        <w:t>Brexit</w:t>
      </w:r>
      <w:proofErr w:type="spellEnd"/>
      <w:r w:rsidRPr="00D32C3E">
        <w:rPr>
          <w:rFonts w:ascii="Arial" w:hAnsi="Arial" w:cs="Arial"/>
          <w:shd w:val="clear" w:color="auto" w:fill="FFFFFF"/>
        </w:rPr>
        <w:t>")</w:t>
      </w:r>
      <w:r w:rsidR="00A17C99">
        <w:rPr>
          <w:rFonts w:ascii="Arial" w:hAnsi="Arial" w:cs="Arial"/>
          <w:shd w:val="clear" w:color="auto" w:fill="FFFFFF"/>
        </w:rPr>
        <w:t xml:space="preserve">. Zur EU-27 (ab 2020) gehören:  </w:t>
      </w:r>
      <w:r w:rsidR="00A17C99" w:rsidRPr="00D32C3E">
        <w:rPr>
          <w:rFonts w:ascii="Arial" w:hAnsi="Arial" w:cs="Arial"/>
        </w:rPr>
        <w:t>Belgien, Bulgarien, Dänemark, Deutschland, Estland, Finnland, Frankreich, Griechenland, Irland, Italien, Kroatien</w:t>
      </w:r>
      <w:r w:rsidR="00A17C99">
        <w:rPr>
          <w:rFonts w:ascii="Arial" w:hAnsi="Arial" w:cs="Arial"/>
        </w:rPr>
        <w:t>,</w:t>
      </w:r>
      <w:r w:rsidR="00A17C99" w:rsidRPr="00D32C3E">
        <w:rPr>
          <w:rFonts w:ascii="Arial" w:hAnsi="Arial" w:cs="Arial"/>
        </w:rPr>
        <w:t xml:space="preserve"> Lettland, Litauen, Luxemburg, Malta, Niederlande, Österreich, Polen, Portugal, Rumänien, Schweden, Slowakei, Slowenien, Spanien, Tschechien, Ungarn</w:t>
      </w:r>
      <w:r w:rsidR="00A17C99">
        <w:rPr>
          <w:rFonts w:ascii="Arial" w:hAnsi="Arial" w:cs="Arial"/>
        </w:rPr>
        <w:t xml:space="preserve"> </w:t>
      </w:r>
      <w:r w:rsidR="00A17C99" w:rsidRPr="00D32C3E">
        <w:rPr>
          <w:rFonts w:ascii="Arial" w:hAnsi="Arial" w:cs="Arial"/>
        </w:rPr>
        <w:t>und Zypern.</w:t>
      </w:r>
      <w:r w:rsidR="00F82701" w:rsidRPr="00F82701">
        <w:rPr>
          <w:rFonts w:ascii="Arial" w:hAnsi="Arial" w:cs="Arial"/>
        </w:rPr>
        <w:t xml:space="preserve"> Soweit nicht anders erwähnt, ist im Text und bei der Grafik mit </w:t>
      </w:r>
      <w:r w:rsidR="00F82701" w:rsidRPr="00F82701">
        <w:rPr>
          <w:rFonts w:ascii="Arial" w:hAnsi="Arial" w:cs="Arial"/>
          <w:b/>
        </w:rPr>
        <w:t>EU-27</w:t>
      </w:r>
      <w:r w:rsidR="00F82701" w:rsidRPr="00F82701">
        <w:rPr>
          <w:rFonts w:ascii="Arial" w:hAnsi="Arial" w:cs="Arial"/>
        </w:rPr>
        <w:t> die EU-27 (ab 2020) gemeint.</w:t>
      </w:r>
    </w:p>
    <w:p w14:paraId="6D3CBF6C" w14:textId="77777777" w:rsidR="008935AF" w:rsidRDefault="008935AF" w:rsidP="005A59DF">
      <w:pPr>
        <w:autoSpaceDE w:val="0"/>
        <w:rPr>
          <w:rFonts w:ascii="Arial" w:hAnsi="Arial" w:cs="Arial"/>
        </w:rPr>
      </w:pPr>
    </w:p>
    <w:p w14:paraId="69104D58" w14:textId="4F2E0C89" w:rsidR="005A59DF" w:rsidRDefault="005A59DF" w:rsidP="005A59DF">
      <w:pPr>
        <w:autoSpaceDE w:val="0"/>
        <w:rPr>
          <w:rFonts w:ascii="Arial" w:hAnsi="Arial" w:cs="Arial"/>
        </w:rPr>
      </w:pPr>
      <w:r w:rsidRPr="00D32C3E">
        <w:rPr>
          <w:rFonts w:ascii="Arial" w:hAnsi="Arial" w:cs="Arial"/>
          <w:b/>
        </w:rPr>
        <w:t>Euroraum (</w:t>
      </w:r>
      <w:r w:rsidR="00E5453B">
        <w:rPr>
          <w:rFonts w:ascii="Arial" w:hAnsi="Arial" w:cs="Arial"/>
          <w:b/>
        </w:rPr>
        <w:t>20</w:t>
      </w:r>
      <w:r w:rsidRPr="00D32C3E">
        <w:rPr>
          <w:rFonts w:ascii="Arial" w:hAnsi="Arial" w:cs="Arial"/>
          <w:b/>
        </w:rPr>
        <w:t xml:space="preserve"> Länder): </w:t>
      </w:r>
      <w:r w:rsidRPr="00D32C3E">
        <w:rPr>
          <w:rFonts w:ascii="Arial" w:hAnsi="Arial" w:cs="Arial"/>
        </w:rPr>
        <w:t xml:space="preserve">Belgien, Deutschland, Estland, Finnland, Frankreich, Griechenland, Irland, Italien, </w:t>
      </w:r>
      <w:r w:rsidR="00E5453B">
        <w:rPr>
          <w:rFonts w:ascii="Arial" w:hAnsi="Arial" w:cs="Arial"/>
        </w:rPr>
        <w:t xml:space="preserve">Kroatien, </w:t>
      </w:r>
      <w:r w:rsidR="001D70CE" w:rsidRPr="00D32C3E">
        <w:rPr>
          <w:rFonts w:ascii="Arial" w:hAnsi="Arial" w:cs="Arial"/>
        </w:rPr>
        <w:t xml:space="preserve">Lettland, Litauen, </w:t>
      </w:r>
      <w:r w:rsidRPr="00D32C3E">
        <w:rPr>
          <w:rFonts w:ascii="Arial" w:hAnsi="Arial" w:cs="Arial"/>
        </w:rPr>
        <w:t>Luxemburg, Malta, Niederlande, Österreich, Portugal, Slowakei, Slowenien, Spanien und Zypern</w:t>
      </w:r>
      <w:r w:rsidR="00321437" w:rsidRPr="00D32C3E">
        <w:rPr>
          <w:rFonts w:ascii="Arial" w:hAnsi="Arial" w:cs="Arial"/>
        </w:rPr>
        <w:t>.</w:t>
      </w:r>
    </w:p>
    <w:p w14:paraId="641F75C8" w14:textId="77777777" w:rsidR="008935AF" w:rsidRDefault="008935AF" w:rsidP="005A59DF">
      <w:pPr>
        <w:autoSpaceDE w:val="0"/>
        <w:rPr>
          <w:rFonts w:ascii="Arial" w:hAnsi="Arial" w:cs="Arial"/>
        </w:rPr>
      </w:pPr>
    </w:p>
    <w:p w14:paraId="4D9EEE36" w14:textId="77777777" w:rsidR="00776E17" w:rsidRDefault="00776E17" w:rsidP="005A59DF">
      <w:pPr>
        <w:autoSpaceDE w:val="0"/>
        <w:rPr>
          <w:rFonts w:ascii="Arial" w:hAnsi="Arial" w:cs="Arial"/>
        </w:rPr>
      </w:pPr>
      <w:r w:rsidRPr="00D32C3E">
        <w:rPr>
          <w:rFonts w:ascii="Arial" w:hAnsi="Arial" w:cs="Arial"/>
        </w:rPr>
        <w:t xml:space="preserve">Weitere Informationen zur </w:t>
      </w:r>
      <w:r w:rsidRPr="00D32C3E">
        <w:rPr>
          <w:rFonts w:ascii="Arial" w:hAnsi="Arial"/>
          <w:b/>
        </w:rPr>
        <w:t>Entwicklung des Euroraums</w:t>
      </w:r>
      <w:r w:rsidRPr="00D32C3E">
        <w:rPr>
          <w:rFonts w:ascii="Arial" w:hAnsi="Arial" w:cs="Arial"/>
        </w:rPr>
        <w:t xml:space="preserve"> erhalten Sie hier</w:t>
      </w:r>
      <w:r w:rsidR="0036615E" w:rsidRPr="00D32C3E">
        <w:rPr>
          <w:rFonts w:ascii="Arial" w:hAnsi="Arial" w:cs="Arial"/>
        </w:rPr>
        <w:t>:</w:t>
      </w:r>
    </w:p>
    <w:p w14:paraId="561ADE34" w14:textId="265CA47D" w:rsidR="00341323" w:rsidRDefault="00A61D01" w:rsidP="005A59DF">
      <w:pPr>
        <w:autoSpaceDE w:val="0"/>
        <w:rPr>
          <w:rFonts w:ascii="Arial" w:hAnsi="Arial" w:cs="Arial"/>
        </w:rPr>
      </w:pPr>
      <w:hyperlink r:id="rId9" w:history="1">
        <w:r w:rsidR="00341323" w:rsidRPr="00617702">
          <w:rPr>
            <w:rStyle w:val="Hyperlink"/>
            <w:rFonts w:ascii="Arial" w:hAnsi="Arial" w:cs="Arial"/>
          </w:rPr>
          <w:t>https://www.ecb.europa.eu/euro/intro/html/index.de.html</w:t>
        </w:r>
      </w:hyperlink>
    </w:p>
    <w:p w14:paraId="6752C528" w14:textId="77777777" w:rsidR="00341323" w:rsidRPr="00D32C3E" w:rsidRDefault="00341323" w:rsidP="005A59DF">
      <w:pPr>
        <w:autoSpaceDE w:val="0"/>
        <w:rPr>
          <w:rFonts w:ascii="Arial" w:hAnsi="Arial" w:cs="Arial"/>
        </w:rPr>
      </w:pPr>
    </w:p>
    <w:p w14:paraId="082974C1" w14:textId="77777777" w:rsidR="00E5453B" w:rsidRPr="00D83506" w:rsidRDefault="00E5453B" w:rsidP="00E5453B">
      <w:pPr>
        <w:rPr>
          <w:rFonts w:ascii="Arial" w:hAnsi="Arial"/>
          <w:sz w:val="20"/>
          <w:szCs w:val="20"/>
        </w:rPr>
      </w:pPr>
      <w:r w:rsidRPr="00D83506">
        <w:rPr>
          <w:rFonts w:ascii="Arial" w:hAnsi="Arial"/>
          <w:sz w:val="20"/>
          <w:szCs w:val="20"/>
        </w:rPr>
        <w:t xml:space="preserve">Dieser Text ist unter der Creative </w:t>
      </w:r>
      <w:proofErr w:type="spellStart"/>
      <w:r w:rsidRPr="00D83506">
        <w:rPr>
          <w:rFonts w:ascii="Arial" w:hAnsi="Arial"/>
          <w:sz w:val="20"/>
          <w:szCs w:val="20"/>
        </w:rPr>
        <w:t>Commons</w:t>
      </w:r>
      <w:proofErr w:type="spellEnd"/>
      <w:r w:rsidRPr="00D83506">
        <w:rPr>
          <w:rFonts w:ascii="Arial" w:hAnsi="Arial"/>
          <w:sz w:val="20"/>
          <w:szCs w:val="20"/>
        </w:rPr>
        <w:t xml:space="preserve"> Lizenz CC BY-NC-ND 4.0 veröffentlicht. </w:t>
      </w:r>
    </w:p>
    <w:p w14:paraId="1A929D92" w14:textId="5808FA8D" w:rsidR="00467136" w:rsidRPr="00E5453B" w:rsidRDefault="00E5453B" w:rsidP="00E5453B">
      <w:pPr>
        <w:rPr>
          <w:rFonts w:ascii="Arial" w:hAnsi="Arial"/>
          <w:sz w:val="20"/>
          <w:szCs w:val="20"/>
        </w:rPr>
      </w:pPr>
      <w:r w:rsidRPr="00D83506">
        <w:rPr>
          <w:rFonts w:ascii="Arial" w:hAnsi="Arial"/>
          <w:sz w:val="20"/>
          <w:szCs w:val="20"/>
        </w:rPr>
        <w:t>Bundeszentrale für politische Bildung 202</w:t>
      </w:r>
      <w:r w:rsidR="00E869E4">
        <w:rPr>
          <w:rFonts w:ascii="Arial" w:hAnsi="Arial"/>
          <w:sz w:val="20"/>
          <w:szCs w:val="20"/>
        </w:rPr>
        <w:t>4</w:t>
      </w:r>
      <w:r w:rsidRPr="00D83506">
        <w:rPr>
          <w:rFonts w:ascii="Arial" w:hAnsi="Arial"/>
          <w:sz w:val="20"/>
          <w:szCs w:val="20"/>
        </w:rPr>
        <w:t xml:space="preserve"> | </w:t>
      </w:r>
      <w:hyperlink r:id="rId10" w:history="1">
        <w:r w:rsidRPr="00D83506">
          <w:rPr>
            <w:rFonts w:ascii="Arial" w:hAnsi="Arial"/>
            <w:sz w:val="20"/>
            <w:szCs w:val="20"/>
          </w:rPr>
          <w:t>www.bpb.de</w:t>
        </w:r>
      </w:hyperlink>
    </w:p>
    <w:sectPr w:rsidR="00467136" w:rsidRPr="00E5453B">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6BC88" w14:textId="77777777" w:rsidR="00A61D01" w:rsidRDefault="00A61D01" w:rsidP="00533510">
      <w:r>
        <w:separator/>
      </w:r>
    </w:p>
  </w:endnote>
  <w:endnote w:type="continuationSeparator" w:id="0">
    <w:p w14:paraId="5334F555" w14:textId="77777777" w:rsidR="00A61D01" w:rsidRDefault="00A61D01" w:rsidP="0053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DA08D" w14:textId="77777777" w:rsidR="00533510" w:rsidRDefault="0053351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06C0C" w14:textId="77777777" w:rsidR="00533510" w:rsidRDefault="0053351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4D60B" w14:textId="77777777" w:rsidR="00533510" w:rsidRDefault="0053351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B0518" w14:textId="77777777" w:rsidR="00A61D01" w:rsidRDefault="00A61D01" w:rsidP="00533510">
      <w:r>
        <w:separator/>
      </w:r>
    </w:p>
  </w:footnote>
  <w:footnote w:type="continuationSeparator" w:id="0">
    <w:p w14:paraId="209A5DAA" w14:textId="77777777" w:rsidR="00A61D01" w:rsidRDefault="00A61D01" w:rsidP="00533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4903F" w14:textId="77777777" w:rsidR="00533510" w:rsidRDefault="0053351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DAC80" w14:textId="77777777" w:rsidR="00533510" w:rsidRDefault="0053351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CAA12" w14:textId="77777777" w:rsidR="00533510" w:rsidRDefault="0053351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2257805"/>
    <w:multiLevelType w:val="hybridMultilevel"/>
    <w:tmpl w:val="59D84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DA"/>
    <w:rsid w:val="000003DF"/>
    <w:rsid w:val="000009CF"/>
    <w:rsid w:val="000026AE"/>
    <w:rsid w:val="00004BAF"/>
    <w:rsid w:val="00016D4F"/>
    <w:rsid w:val="0002127A"/>
    <w:rsid w:val="000219E2"/>
    <w:rsid w:val="000240D7"/>
    <w:rsid w:val="000245CC"/>
    <w:rsid w:val="00031A15"/>
    <w:rsid w:val="00034E48"/>
    <w:rsid w:val="00035AD2"/>
    <w:rsid w:val="000409AE"/>
    <w:rsid w:val="00043EDC"/>
    <w:rsid w:val="000572B9"/>
    <w:rsid w:val="0007179E"/>
    <w:rsid w:val="000767CC"/>
    <w:rsid w:val="00081A33"/>
    <w:rsid w:val="00094B87"/>
    <w:rsid w:val="000A0412"/>
    <w:rsid w:val="000A3DD4"/>
    <w:rsid w:val="000A73D7"/>
    <w:rsid w:val="000B5C25"/>
    <w:rsid w:val="000C38F5"/>
    <w:rsid w:val="000C4E53"/>
    <w:rsid w:val="000D3035"/>
    <w:rsid w:val="000E32DC"/>
    <w:rsid w:val="000F0796"/>
    <w:rsid w:val="000F4ED7"/>
    <w:rsid w:val="00112C05"/>
    <w:rsid w:val="00115CAE"/>
    <w:rsid w:val="00115EDB"/>
    <w:rsid w:val="00115EED"/>
    <w:rsid w:val="0011725B"/>
    <w:rsid w:val="00124AE4"/>
    <w:rsid w:val="00126D26"/>
    <w:rsid w:val="00126FD5"/>
    <w:rsid w:val="001348A9"/>
    <w:rsid w:val="00137D93"/>
    <w:rsid w:val="0014122D"/>
    <w:rsid w:val="001624D1"/>
    <w:rsid w:val="00162FAD"/>
    <w:rsid w:val="00170747"/>
    <w:rsid w:val="00191E8F"/>
    <w:rsid w:val="00193B87"/>
    <w:rsid w:val="001968EC"/>
    <w:rsid w:val="001A1CE9"/>
    <w:rsid w:val="001A75FF"/>
    <w:rsid w:val="001B363A"/>
    <w:rsid w:val="001B59A8"/>
    <w:rsid w:val="001B6500"/>
    <w:rsid w:val="001C5F37"/>
    <w:rsid w:val="001D3A32"/>
    <w:rsid w:val="001D70CE"/>
    <w:rsid w:val="001D7C8A"/>
    <w:rsid w:val="001E31BC"/>
    <w:rsid w:val="001F134C"/>
    <w:rsid w:val="00200F0B"/>
    <w:rsid w:val="00215F03"/>
    <w:rsid w:val="00217705"/>
    <w:rsid w:val="002210E9"/>
    <w:rsid w:val="0022534D"/>
    <w:rsid w:val="0022658C"/>
    <w:rsid w:val="0023029B"/>
    <w:rsid w:val="0023035E"/>
    <w:rsid w:val="00231525"/>
    <w:rsid w:val="002358CD"/>
    <w:rsid w:val="002363AE"/>
    <w:rsid w:val="002408AF"/>
    <w:rsid w:val="002657FE"/>
    <w:rsid w:val="002728B7"/>
    <w:rsid w:val="00276A6D"/>
    <w:rsid w:val="00276ACC"/>
    <w:rsid w:val="00293208"/>
    <w:rsid w:val="002956A9"/>
    <w:rsid w:val="002A0BEE"/>
    <w:rsid w:val="002A11A0"/>
    <w:rsid w:val="002B0454"/>
    <w:rsid w:val="002B6AE5"/>
    <w:rsid w:val="002C4108"/>
    <w:rsid w:val="002C66D2"/>
    <w:rsid w:val="002C7C47"/>
    <w:rsid w:val="002D2229"/>
    <w:rsid w:val="002D2331"/>
    <w:rsid w:val="002D40C2"/>
    <w:rsid w:val="002D4357"/>
    <w:rsid w:val="002E010E"/>
    <w:rsid w:val="002F754F"/>
    <w:rsid w:val="00300E40"/>
    <w:rsid w:val="003027C7"/>
    <w:rsid w:val="00302F37"/>
    <w:rsid w:val="00321437"/>
    <w:rsid w:val="00332167"/>
    <w:rsid w:val="003351FC"/>
    <w:rsid w:val="00336E40"/>
    <w:rsid w:val="00341323"/>
    <w:rsid w:val="0034412D"/>
    <w:rsid w:val="00347009"/>
    <w:rsid w:val="003554E4"/>
    <w:rsid w:val="0036615E"/>
    <w:rsid w:val="00367484"/>
    <w:rsid w:val="0038034E"/>
    <w:rsid w:val="00381D9B"/>
    <w:rsid w:val="003A73B4"/>
    <w:rsid w:val="003B13CB"/>
    <w:rsid w:val="003B62FF"/>
    <w:rsid w:val="003B74FB"/>
    <w:rsid w:val="003C1B5D"/>
    <w:rsid w:val="003E649B"/>
    <w:rsid w:val="003E72B0"/>
    <w:rsid w:val="003F266D"/>
    <w:rsid w:val="003F58D9"/>
    <w:rsid w:val="00402440"/>
    <w:rsid w:val="00402F9B"/>
    <w:rsid w:val="00403745"/>
    <w:rsid w:val="004045CA"/>
    <w:rsid w:val="00415784"/>
    <w:rsid w:val="0041644F"/>
    <w:rsid w:val="00423B56"/>
    <w:rsid w:val="004369B6"/>
    <w:rsid w:val="004402BA"/>
    <w:rsid w:val="004428C6"/>
    <w:rsid w:val="00447C46"/>
    <w:rsid w:val="00452173"/>
    <w:rsid w:val="00452D77"/>
    <w:rsid w:val="00454BE8"/>
    <w:rsid w:val="00461BC9"/>
    <w:rsid w:val="00463594"/>
    <w:rsid w:val="00467136"/>
    <w:rsid w:val="00471771"/>
    <w:rsid w:val="00473820"/>
    <w:rsid w:val="00482654"/>
    <w:rsid w:val="00491B99"/>
    <w:rsid w:val="00496E2B"/>
    <w:rsid w:val="004A2179"/>
    <w:rsid w:val="004A6CC8"/>
    <w:rsid w:val="004A714E"/>
    <w:rsid w:val="004A7F29"/>
    <w:rsid w:val="004B38A9"/>
    <w:rsid w:val="004B572D"/>
    <w:rsid w:val="004B5D60"/>
    <w:rsid w:val="004C36F9"/>
    <w:rsid w:val="004C7D40"/>
    <w:rsid w:val="004C7F5C"/>
    <w:rsid w:val="004D4AEE"/>
    <w:rsid w:val="004E3A30"/>
    <w:rsid w:val="004F29B5"/>
    <w:rsid w:val="004F39FA"/>
    <w:rsid w:val="00503579"/>
    <w:rsid w:val="00503596"/>
    <w:rsid w:val="00505744"/>
    <w:rsid w:val="0050670E"/>
    <w:rsid w:val="005070A8"/>
    <w:rsid w:val="005075E6"/>
    <w:rsid w:val="00512CC1"/>
    <w:rsid w:val="00530229"/>
    <w:rsid w:val="00533510"/>
    <w:rsid w:val="00535044"/>
    <w:rsid w:val="00536C25"/>
    <w:rsid w:val="00537213"/>
    <w:rsid w:val="005505D0"/>
    <w:rsid w:val="005521E4"/>
    <w:rsid w:val="00553AD2"/>
    <w:rsid w:val="0055623D"/>
    <w:rsid w:val="0055681F"/>
    <w:rsid w:val="0056609E"/>
    <w:rsid w:val="00570E2F"/>
    <w:rsid w:val="00572133"/>
    <w:rsid w:val="00581D8A"/>
    <w:rsid w:val="00582D2D"/>
    <w:rsid w:val="00583432"/>
    <w:rsid w:val="00590E61"/>
    <w:rsid w:val="005A0E2C"/>
    <w:rsid w:val="005A2DFB"/>
    <w:rsid w:val="005A469F"/>
    <w:rsid w:val="005A59DF"/>
    <w:rsid w:val="005B120A"/>
    <w:rsid w:val="005B1A58"/>
    <w:rsid w:val="005C0FC0"/>
    <w:rsid w:val="005C20BA"/>
    <w:rsid w:val="005D5B19"/>
    <w:rsid w:val="005E0895"/>
    <w:rsid w:val="005E11EB"/>
    <w:rsid w:val="005F0560"/>
    <w:rsid w:val="005F261D"/>
    <w:rsid w:val="006109AB"/>
    <w:rsid w:val="00615384"/>
    <w:rsid w:val="00634758"/>
    <w:rsid w:val="00636466"/>
    <w:rsid w:val="00637677"/>
    <w:rsid w:val="0064342E"/>
    <w:rsid w:val="006450D5"/>
    <w:rsid w:val="00645409"/>
    <w:rsid w:val="00670E5D"/>
    <w:rsid w:val="00673CD5"/>
    <w:rsid w:val="00674269"/>
    <w:rsid w:val="00674CDB"/>
    <w:rsid w:val="00681A51"/>
    <w:rsid w:val="00682864"/>
    <w:rsid w:val="00682E4D"/>
    <w:rsid w:val="006858FF"/>
    <w:rsid w:val="006877AE"/>
    <w:rsid w:val="0069120E"/>
    <w:rsid w:val="00693FA9"/>
    <w:rsid w:val="006A01F8"/>
    <w:rsid w:val="006A2EE3"/>
    <w:rsid w:val="006A49A1"/>
    <w:rsid w:val="006A4F14"/>
    <w:rsid w:val="006B1D41"/>
    <w:rsid w:val="006B236B"/>
    <w:rsid w:val="006B53C5"/>
    <w:rsid w:val="006C0D89"/>
    <w:rsid w:val="006C1243"/>
    <w:rsid w:val="006C7132"/>
    <w:rsid w:val="006D3416"/>
    <w:rsid w:val="006D390A"/>
    <w:rsid w:val="006D448D"/>
    <w:rsid w:val="006D4DBE"/>
    <w:rsid w:val="006D68F6"/>
    <w:rsid w:val="006E333F"/>
    <w:rsid w:val="006E3F55"/>
    <w:rsid w:val="006F05E4"/>
    <w:rsid w:val="006F51CD"/>
    <w:rsid w:val="0070181D"/>
    <w:rsid w:val="00703AE8"/>
    <w:rsid w:val="007057B7"/>
    <w:rsid w:val="00710574"/>
    <w:rsid w:val="00713F10"/>
    <w:rsid w:val="00715376"/>
    <w:rsid w:val="00715500"/>
    <w:rsid w:val="00721FEA"/>
    <w:rsid w:val="00725C6B"/>
    <w:rsid w:val="007272B3"/>
    <w:rsid w:val="00741DB8"/>
    <w:rsid w:val="007545B6"/>
    <w:rsid w:val="00757B12"/>
    <w:rsid w:val="00766568"/>
    <w:rsid w:val="0076704A"/>
    <w:rsid w:val="007717DA"/>
    <w:rsid w:val="00774885"/>
    <w:rsid w:val="00775D0F"/>
    <w:rsid w:val="00775FAB"/>
    <w:rsid w:val="00776E17"/>
    <w:rsid w:val="00777265"/>
    <w:rsid w:val="00781014"/>
    <w:rsid w:val="0079574C"/>
    <w:rsid w:val="007A307C"/>
    <w:rsid w:val="007A3F3E"/>
    <w:rsid w:val="007A7C84"/>
    <w:rsid w:val="007B0CE6"/>
    <w:rsid w:val="007B558A"/>
    <w:rsid w:val="007D09F8"/>
    <w:rsid w:val="007D17B3"/>
    <w:rsid w:val="007D3788"/>
    <w:rsid w:val="007E0E8F"/>
    <w:rsid w:val="007F070E"/>
    <w:rsid w:val="007F1469"/>
    <w:rsid w:val="007F4677"/>
    <w:rsid w:val="00801E50"/>
    <w:rsid w:val="008175C2"/>
    <w:rsid w:val="00820008"/>
    <w:rsid w:val="008201BB"/>
    <w:rsid w:val="008213FC"/>
    <w:rsid w:val="00823605"/>
    <w:rsid w:val="00833A54"/>
    <w:rsid w:val="00853235"/>
    <w:rsid w:val="00854461"/>
    <w:rsid w:val="008559A3"/>
    <w:rsid w:val="00860D93"/>
    <w:rsid w:val="00861C9D"/>
    <w:rsid w:val="00871DA4"/>
    <w:rsid w:val="0087585D"/>
    <w:rsid w:val="00877AEC"/>
    <w:rsid w:val="008810D7"/>
    <w:rsid w:val="008869EC"/>
    <w:rsid w:val="00886BAC"/>
    <w:rsid w:val="008935AF"/>
    <w:rsid w:val="008A3AB1"/>
    <w:rsid w:val="008B0777"/>
    <w:rsid w:val="008B193F"/>
    <w:rsid w:val="008B3771"/>
    <w:rsid w:val="008B4FF8"/>
    <w:rsid w:val="008C6F60"/>
    <w:rsid w:val="008D36BB"/>
    <w:rsid w:val="008E5610"/>
    <w:rsid w:val="008F0C45"/>
    <w:rsid w:val="008F3786"/>
    <w:rsid w:val="008F399E"/>
    <w:rsid w:val="008F3F55"/>
    <w:rsid w:val="008F7724"/>
    <w:rsid w:val="00915BB6"/>
    <w:rsid w:val="00915F4E"/>
    <w:rsid w:val="009164EC"/>
    <w:rsid w:val="00916B1C"/>
    <w:rsid w:val="00916ED7"/>
    <w:rsid w:val="00922FD1"/>
    <w:rsid w:val="009272C8"/>
    <w:rsid w:val="00933B13"/>
    <w:rsid w:val="00935224"/>
    <w:rsid w:val="00935F95"/>
    <w:rsid w:val="00943691"/>
    <w:rsid w:val="009452D9"/>
    <w:rsid w:val="00960360"/>
    <w:rsid w:val="009705D8"/>
    <w:rsid w:val="00981F4D"/>
    <w:rsid w:val="009830F6"/>
    <w:rsid w:val="00984672"/>
    <w:rsid w:val="009851A3"/>
    <w:rsid w:val="00990C47"/>
    <w:rsid w:val="00997A0B"/>
    <w:rsid w:val="009A291F"/>
    <w:rsid w:val="009A51D2"/>
    <w:rsid w:val="009A6AC9"/>
    <w:rsid w:val="009B013C"/>
    <w:rsid w:val="009B06BB"/>
    <w:rsid w:val="009B0AE0"/>
    <w:rsid w:val="009B6B26"/>
    <w:rsid w:val="009C7C4A"/>
    <w:rsid w:val="009E3EA0"/>
    <w:rsid w:val="009F6BE6"/>
    <w:rsid w:val="00A03ECD"/>
    <w:rsid w:val="00A04536"/>
    <w:rsid w:val="00A14E41"/>
    <w:rsid w:val="00A17C99"/>
    <w:rsid w:val="00A2261E"/>
    <w:rsid w:val="00A37BF6"/>
    <w:rsid w:val="00A40BA5"/>
    <w:rsid w:val="00A40F38"/>
    <w:rsid w:val="00A4699A"/>
    <w:rsid w:val="00A517A7"/>
    <w:rsid w:val="00A52275"/>
    <w:rsid w:val="00A54805"/>
    <w:rsid w:val="00A561C5"/>
    <w:rsid w:val="00A565D4"/>
    <w:rsid w:val="00A60AF5"/>
    <w:rsid w:val="00A61D01"/>
    <w:rsid w:val="00A62B15"/>
    <w:rsid w:val="00A70208"/>
    <w:rsid w:val="00A73A9A"/>
    <w:rsid w:val="00A83EC6"/>
    <w:rsid w:val="00A91B85"/>
    <w:rsid w:val="00A94294"/>
    <w:rsid w:val="00AA59B9"/>
    <w:rsid w:val="00AB50A8"/>
    <w:rsid w:val="00AC6B27"/>
    <w:rsid w:val="00AD118A"/>
    <w:rsid w:val="00AD67A1"/>
    <w:rsid w:val="00AF2D9C"/>
    <w:rsid w:val="00AF43D6"/>
    <w:rsid w:val="00B0357E"/>
    <w:rsid w:val="00B04488"/>
    <w:rsid w:val="00B04F35"/>
    <w:rsid w:val="00B1661D"/>
    <w:rsid w:val="00B22E08"/>
    <w:rsid w:val="00B23453"/>
    <w:rsid w:val="00B264E8"/>
    <w:rsid w:val="00B26B6E"/>
    <w:rsid w:val="00B276F1"/>
    <w:rsid w:val="00B328FD"/>
    <w:rsid w:val="00B32EBE"/>
    <w:rsid w:val="00B42218"/>
    <w:rsid w:val="00B463BE"/>
    <w:rsid w:val="00B505DC"/>
    <w:rsid w:val="00B5363A"/>
    <w:rsid w:val="00B56803"/>
    <w:rsid w:val="00B654AD"/>
    <w:rsid w:val="00B65C65"/>
    <w:rsid w:val="00B668FC"/>
    <w:rsid w:val="00B726CA"/>
    <w:rsid w:val="00B75FD6"/>
    <w:rsid w:val="00B76339"/>
    <w:rsid w:val="00B76738"/>
    <w:rsid w:val="00B81D53"/>
    <w:rsid w:val="00B836B1"/>
    <w:rsid w:val="00B856B7"/>
    <w:rsid w:val="00B86AA7"/>
    <w:rsid w:val="00B95D4E"/>
    <w:rsid w:val="00BA0B05"/>
    <w:rsid w:val="00BA34AA"/>
    <w:rsid w:val="00BA3563"/>
    <w:rsid w:val="00BB2823"/>
    <w:rsid w:val="00BB3D37"/>
    <w:rsid w:val="00BB53CD"/>
    <w:rsid w:val="00BB5E90"/>
    <w:rsid w:val="00BC5413"/>
    <w:rsid w:val="00BC6D38"/>
    <w:rsid w:val="00BE3451"/>
    <w:rsid w:val="00BE549D"/>
    <w:rsid w:val="00BF2933"/>
    <w:rsid w:val="00BF3A48"/>
    <w:rsid w:val="00BF4B3C"/>
    <w:rsid w:val="00C02823"/>
    <w:rsid w:val="00C02A25"/>
    <w:rsid w:val="00C03973"/>
    <w:rsid w:val="00C11B68"/>
    <w:rsid w:val="00C146A4"/>
    <w:rsid w:val="00C172CE"/>
    <w:rsid w:val="00C17DB8"/>
    <w:rsid w:val="00C27012"/>
    <w:rsid w:val="00C301D1"/>
    <w:rsid w:val="00C32B2D"/>
    <w:rsid w:val="00C35F87"/>
    <w:rsid w:val="00C50D35"/>
    <w:rsid w:val="00C56C10"/>
    <w:rsid w:val="00C66658"/>
    <w:rsid w:val="00C7024F"/>
    <w:rsid w:val="00C7254F"/>
    <w:rsid w:val="00C746B9"/>
    <w:rsid w:val="00C76CE0"/>
    <w:rsid w:val="00C7763D"/>
    <w:rsid w:val="00C80EE6"/>
    <w:rsid w:val="00C81E54"/>
    <w:rsid w:val="00C82351"/>
    <w:rsid w:val="00C85091"/>
    <w:rsid w:val="00C869C7"/>
    <w:rsid w:val="00C86B3B"/>
    <w:rsid w:val="00C935F4"/>
    <w:rsid w:val="00CA1758"/>
    <w:rsid w:val="00CB383B"/>
    <w:rsid w:val="00CB711D"/>
    <w:rsid w:val="00CC0880"/>
    <w:rsid w:val="00CC1C22"/>
    <w:rsid w:val="00CC5600"/>
    <w:rsid w:val="00CC65B3"/>
    <w:rsid w:val="00CD3BC0"/>
    <w:rsid w:val="00CD41C7"/>
    <w:rsid w:val="00CD54CE"/>
    <w:rsid w:val="00CE255A"/>
    <w:rsid w:val="00CE4E05"/>
    <w:rsid w:val="00CE6106"/>
    <w:rsid w:val="00CE6C4B"/>
    <w:rsid w:val="00CF0738"/>
    <w:rsid w:val="00CF093B"/>
    <w:rsid w:val="00CF0955"/>
    <w:rsid w:val="00CF1492"/>
    <w:rsid w:val="00D006B0"/>
    <w:rsid w:val="00D00C33"/>
    <w:rsid w:val="00D17ECF"/>
    <w:rsid w:val="00D21BFF"/>
    <w:rsid w:val="00D25064"/>
    <w:rsid w:val="00D30B4F"/>
    <w:rsid w:val="00D32065"/>
    <w:rsid w:val="00D320E2"/>
    <w:rsid w:val="00D32C3E"/>
    <w:rsid w:val="00D34334"/>
    <w:rsid w:val="00D36405"/>
    <w:rsid w:val="00D37444"/>
    <w:rsid w:val="00D51BE9"/>
    <w:rsid w:val="00D57D1A"/>
    <w:rsid w:val="00D60DD6"/>
    <w:rsid w:val="00D67988"/>
    <w:rsid w:val="00D700B2"/>
    <w:rsid w:val="00D76BC8"/>
    <w:rsid w:val="00D81D5B"/>
    <w:rsid w:val="00D85251"/>
    <w:rsid w:val="00D91D24"/>
    <w:rsid w:val="00D938BD"/>
    <w:rsid w:val="00D93E8B"/>
    <w:rsid w:val="00DA54B6"/>
    <w:rsid w:val="00DA66B4"/>
    <w:rsid w:val="00DB7F98"/>
    <w:rsid w:val="00DC6C7E"/>
    <w:rsid w:val="00DD1DDE"/>
    <w:rsid w:val="00DD419B"/>
    <w:rsid w:val="00DD42F1"/>
    <w:rsid w:val="00DD4CED"/>
    <w:rsid w:val="00DD6454"/>
    <w:rsid w:val="00DE70B7"/>
    <w:rsid w:val="00DF3124"/>
    <w:rsid w:val="00DF7B10"/>
    <w:rsid w:val="00E04730"/>
    <w:rsid w:val="00E12528"/>
    <w:rsid w:val="00E23523"/>
    <w:rsid w:val="00E24047"/>
    <w:rsid w:val="00E27BC2"/>
    <w:rsid w:val="00E41133"/>
    <w:rsid w:val="00E443BF"/>
    <w:rsid w:val="00E45B19"/>
    <w:rsid w:val="00E52688"/>
    <w:rsid w:val="00E53C76"/>
    <w:rsid w:val="00E53F67"/>
    <w:rsid w:val="00E5453B"/>
    <w:rsid w:val="00E634F1"/>
    <w:rsid w:val="00E64212"/>
    <w:rsid w:val="00E644A8"/>
    <w:rsid w:val="00E65889"/>
    <w:rsid w:val="00E66D99"/>
    <w:rsid w:val="00E7190C"/>
    <w:rsid w:val="00E75270"/>
    <w:rsid w:val="00E75AA4"/>
    <w:rsid w:val="00E77CBC"/>
    <w:rsid w:val="00E82940"/>
    <w:rsid w:val="00E869E4"/>
    <w:rsid w:val="00E935D5"/>
    <w:rsid w:val="00EB4094"/>
    <w:rsid w:val="00ED15B0"/>
    <w:rsid w:val="00EE0BDE"/>
    <w:rsid w:val="00EE362C"/>
    <w:rsid w:val="00EE39AE"/>
    <w:rsid w:val="00EF187D"/>
    <w:rsid w:val="00EF7BCC"/>
    <w:rsid w:val="00F0057D"/>
    <w:rsid w:val="00F03431"/>
    <w:rsid w:val="00F03B8E"/>
    <w:rsid w:val="00F05B55"/>
    <w:rsid w:val="00F121E0"/>
    <w:rsid w:val="00F13D62"/>
    <w:rsid w:val="00F24E3E"/>
    <w:rsid w:val="00F278A1"/>
    <w:rsid w:val="00F34D2E"/>
    <w:rsid w:val="00F43C85"/>
    <w:rsid w:val="00F455B7"/>
    <w:rsid w:val="00F4610D"/>
    <w:rsid w:val="00F520AD"/>
    <w:rsid w:val="00F56CC5"/>
    <w:rsid w:val="00F66DAF"/>
    <w:rsid w:val="00F72A3D"/>
    <w:rsid w:val="00F746BD"/>
    <w:rsid w:val="00F77451"/>
    <w:rsid w:val="00F82701"/>
    <w:rsid w:val="00F831F9"/>
    <w:rsid w:val="00F85BCF"/>
    <w:rsid w:val="00F8721A"/>
    <w:rsid w:val="00FA6B78"/>
    <w:rsid w:val="00FB3232"/>
    <w:rsid w:val="00FC5B06"/>
    <w:rsid w:val="00FC5C84"/>
    <w:rsid w:val="00FD4105"/>
    <w:rsid w:val="00FD4C9E"/>
    <w:rsid w:val="00FF4B98"/>
    <w:rsid w:val="00FF65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7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01BB"/>
    <w:pPr>
      <w:suppressAutoHyphens/>
    </w:pPr>
    <w:rPr>
      <w:sz w:val="24"/>
      <w:szCs w:val="24"/>
      <w:lang w:eastAsia="ar-SA"/>
    </w:rPr>
  </w:style>
  <w:style w:type="paragraph" w:styleId="berschrift1">
    <w:name w:val="heading 1"/>
    <w:basedOn w:val="Standard"/>
    <w:next w:val="Standard"/>
    <w:link w:val="berschrift1Zchn"/>
    <w:uiPriority w:val="9"/>
    <w:qFormat/>
    <w:rsid w:val="00231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Textkrper"/>
    <w:qFormat/>
    <w:pPr>
      <w:numPr>
        <w:ilvl w:val="1"/>
        <w:numId w:val="1"/>
      </w:numPr>
      <w:spacing w:before="280" w:after="280"/>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styleId="Hyperlink">
    <w:name w:val="Hyperlink"/>
    <w:rPr>
      <w:color w:val="0000FF"/>
      <w:u w:val="single"/>
    </w:rPr>
  </w:style>
  <w:style w:type="character" w:styleId="BesuchterHyperlink">
    <w:name w:val="FollowedHyperlink"/>
    <w:rPr>
      <w:color w:val="8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tandardWeb">
    <w:name w:val="Normal (Web)"/>
    <w:basedOn w:val="Standard"/>
    <w:pPr>
      <w:spacing w:before="280" w:after="280"/>
    </w:p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717DA"/>
    <w:rPr>
      <w:rFonts w:ascii="Tahoma" w:hAnsi="Tahoma" w:cs="Tahoma"/>
      <w:sz w:val="16"/>
      <w:szCs w:val="16"/>
    </w:rPr>
  </w:style>
  <w:style w:type="character" w:styleId="Fett">
    <w:name w:val="Strong"/>
    <w:uiPriority w:val="22"/>
    <w:qFormat/>
    <w:rsid w:val="00537213"/>
    <w:rPr>
      <w:b/>
      <w:bCs/>
    </w:rPr>
  </w:style>
  <w:style w:type="paragraph" w:styleId="Kommentarthema">
    <w:name w:val="annotation subject"/>
    <w:basedOn w:val="Kommentartext"/>
    <w:next w:val="Kommentartext"/>
    <w:link w:val="KommentarthemaZchn"/>
    <w:uiPriority w:val="99"/>
    <w:semiHidden/>
    <w:unhideWhenUsed/>
    <w:rsid w:val="008F0C45"/>
    <w:rPr>
      <w:b/>
      <w:bCs/>
      <w:szCs w:val="20"/>
    </w:rPr>
  </w:style>
  <w:style w:type="character" w:customStyle="1" w:styleId="KommentartextZchn">
    <w:name w:val="Kommentartext Zchn"/>
    <w:link w:val="Kommentartext"/>
    <w:semiHidden/>
    <w:rsid w:val="008F0C45"/>
    <w:rPr>
      <w:szCs w:val="24"/>
      <w:lang w:eastAsia="ar-SA"/>
    </w:rPr>
  </w:style>
  <w:style w:type="character" w:customStyle="1" w:styleId="KommentarthemaZchn">
    <w:name w:val="Kommentarthema Zchn"/>
    <w:link w:val="Kommentarthema"/>
    <w:uiPriority w:val="99"/>
    <w:semiHidden/>
    <w:rsid w:val="008F0C45"/>
    <w:rPr>
      <w:b/>
      <w:bCs/>
      <w:szCs w:val="24"/>
      <w:lang w:eastAsia="ar-SA"/>
    </w:rPr>
  </w:style>
  <w:style w:type="paragraph" w:styleId="KeinLeerraum">
    <w:name w:val="No Spacing"/>
    <w:uiPriority w:val="1"/>
    <w:qFormat/>
    <w:rsid w:val="009851A3"/>
    <w:pPr>
      <w:suppressAutoHyphens/>
    </w:pPr>
    <w:rPr>
      <w:sz w:val="24"/>
      <w:szCs w:val="24"/>
      <w:lang w:eastAsia="ar-SA"/>
    </w:rPr>
  </w:style>
  <w:style w:type="character" w:customStyle="1" w:styleId="berschrift1Zchn">
    <w:name w:val="Überschrift 1 Zchn"/>
    <w:basedOn w:val="Absatz-Standardschriftart"/>
    <w:link w:val="berschrift1"/>
    <w:uiPriority w:val="9"/>
    <w:rsid w:val="00231525"/>
    <w:rPr>
      <w:rFonts w:asciiTheme="majorHAnsi" w:eastAsiaTheme="majorEastAsia" w:hAnsiTheme="majorHAnsi" w:cstheme="majorBidi"/>
      <w:b/>
      <w:bCs/>
      <w:color w:val="365F91" w:themeColor="accent1" w:themeShade="BF"/>
      <w:sz w:val="28"/>
      <w:szCs w:val="28"/>
      <w:lang w:eastAsia="ar-SA"/>
    </w:rPr>
  </w:style>
  <w:style w:type="paragraph" w:styleId="Kopfzeile">
    <w:name w:val="header"/>
    <w:basedOn w:val="Standard"/>
    <w:link w:val="KopfzeileZchn"/>
    <w:uiPriority w:val="99"/>
    <w:unhideWhenUsed/>
    <w:rsid w:val="00533510"/>
    <w:pPr>
      <w:tabs>
        <w:tab w:val="center" w:pos="4536"/>
        <w:tab w:val="right" w:pos="9072"/>
      </w:tabs>
    </w:pPr>
  </w:style>
  <w:style w:type="character" w:customStyle="1" w:styleId="KopfzeileZchn">
    <w:name w:val="Kopfzeile Zchn"/>
    <w:basedOn w:val="Absatz-Standardschriftart"/>
    <w:link w:val="Kopfzeile"/>
    <w:uiPriority w:val="99"/>
    <w:rsid w:val="00533510"/>
    <w:rPr>
      <w:sz w:val="24"/>
      <w:szCs w:val="24"/>
      <w:lang w:eastAsia="ar-SA"/>
    </w:rPr>
  </w:style>
  <w:style w:type="paragraph" w:styleId="Fuzeile">
    <w:name w:val="footer"/>
    <w:basedOn w:val="Standard"/>
    <w:link w:val="FuzeileZchn"/>
    <w:uiPriority w:val="99"/>
    <w:unhideWhenUsed/>
    <w:rsid w:val="00533510"/>
    <w:pPr>
      <w:tabs>
        <w:tab w:val="center" w:pos="4536"/>
        <w:tab w:val="right" w:pos="9072"/>
      </w:tabs>
    </w:pPr>
  </w:style>
  <w:style w:type="character" w:customStyle="1" w:styleId="FuzeileZchn">
    <w:name w:val="Fußzeile Zchn"/>
    <w:basedOn w:val="Absatz-Standardschriftart"/>
    <w:link w:val="Fuzeile"/>
    <w:uiPriority w:val="99"/>
    <w:rsid w:val="00533510"/>
    <w:rPr>
      <w:sz w:val="24"/>
      <w:szCs w:val="24"/>
      <w:lang w:eastAsia="ar-SA"/>
    </w:rPr>
  </w:style>
  <w:style w:type="paragraph" w:styleId="Listenabsatz">
    <w:name w:val="List Paragraph"/>
    <w:basedOn w:val="Standard"/>
    <w:uiPriority w:val="34"/>
    <w:qFormat/>
    <w:rsid w:val="008201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01BB"/>
    <w:pPr>
      <w:suppressAutoHyphens/>
    </w:pPr>
    <w:rPr>
      <w:sz w:val="24"/>
      <w:szCs w:val="24"/>
      <w:lang w:eastAsia="ar-SA"/>
    </w:rPr>
  </w:style>
  <w:style w:type="paragraph" w:styleId="berschrift1">
    <w:name w:val="heading 1"/>
    <w:basedOn w:val="Standard"/>
    <w:next w:val="Standard"/>
    <w:link w:val="berschrift1Zchn"/>
    <w:uiPriority w:val="9"/>
    <w:qFormat/>
    <w:rsid w:val="00231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Textkrper"/>
    <w:qFormat/>
    <w:pPr>
      <w:numPr>
        <w:ilvl w:val="1"/>
        <w:numId w:val="1"/>
      </w:numPr>
      <w:spacing w:before="280" w:after="280"/>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styleId="Hyperlink">
    <w:name w:val="Hyperlink"/>
    <w:rPr>
      <w:color w:val="0000FF"/>
      <w:u w:val="single"/>
    </w:rPr>
  </w:style>
  <w:style w:type="character" w:styleId="BesuchterHyperlink">
    <w:name w:val="FollowedHyperlink"/>
    <w:rPr>
      <w:color w:val="8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tandardWeb">
    <w:name w:val="Normal (Web)"/>
    <w:basedOn w:val="Standard"/>
    <w:pPr>
      <w:spacing w:before="280" w:after="280"/>
    </w:p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717DA"/>
    <w:rPr>
      <w:rFonts w:ascii="Tahoma" w:hAnsi="Tahoma" w:cs="Tahoma"/>
      <w:sz w:val="16"/>
      <w:szCs w:val="16"/>
    </w:rPr>
  </w:style>
  <w:style w:type="character" w:styleId="Fett">
    <w:name w:val="Strong"/>
    <w:uiPriority w:val="22"/>
    <w:qFormat/>
    <w:rsid w:val="00537213"/>
    <w:rPr>
      <w:b/>
      <w:bCs/>
    </w:rPr>
  </w:style>
  <w:style w:type="paragraph" w:styleId="Kommentarthema">
    <w:name w:val="annotation subject"/>
    <w:basedOn w:val="Kommentartext"/>
    <w:next w:val="Kommentartext"/>
    <w:link w:val="KommentarthemaZchn"/>
    <w:uiPriority w:val="99"/>
    <w:semiHidden/>
    <w:unhideWhenUsed/>
    <w:rsid w:val="008F0C45"/>
    <w:rPr>
      <w:b/>
      <w:bCs/>
      <w:szCs w:val="20"/>
    </w:rPr>
  </w:style>
  <w:style w:type="character" w:customStyle="1" w:styleId="KommentartextZchn">
    <w:name w:val="Kommentartext Zchn"/>
    <w:link w:val="Kommentartext"/>
    <w:semiHidden/>
    <w:rsid w:val="008F0C45"/>
    <w:rPr>
      <w:szCs w:val="24"/>
      <w:lang w:eastAsia="ar-SA"/>
    </w:rPr>
  </w:style>
  <w:style w:type="character" w:customStyle="1" w:styleId="KommentarthemaZchn">
    <w:name w:val="Kommentarthema Zchn"/>
    <w:link w:val="Kommentarthema"/>
    <w:uiPriority w:val="99"/>
    <w:semiHidden/>
    <w:rsid w:val="008F0C45"/>
    <w:rPr>
      <w:b/>
      <w:bCs/>
      <w:szCs w:val="24"/>
      <w:lang w:eastAsia="ar-SA"/>
    </w:rPr>
  </w:style>
  <w:style w:type="paragraph" w:styleId="KeinLeerraum">
    <w:name w:val="No Spacing"/>
    <w:uiPriority w:val="1"/>
    <w:qFormat/>
    <w:rsid w:val="009851A3"/>
    <w:pPr>
      <w:suppressAutoHyphens/>
    </w:pPr>
    <w:rPr>
      <w:sz w:val="24"/>
      <w:szCs w:val="24"/>
      <w:lang w:eastAsia="ar-SA"/>
    </w:rPr>
  </w:style>
  <w:style w:type="character" w:customStyle="1" w:styleId="berschrift1Zchn">
    <w:name w:val="Überschrift 1 Zchn"/>
    <w:basedOn w:val="Absatz-Standardschriftart"/>
    <w:link w:val="berschrift1"/>
    <w:uiPriority w:val="9"/>
    <w:rsid w:val="00231525"/>
    <w:rPr>
      <w:rFonts w:asciiTheme="majorHAnsi" w:eastAsiaTheme="majorEastAsia" w:hAnsiTheme="majorHAnsi" w:cstheme="majorBidi"/>
      <w:b/>
      <w:bCs/>
      <w:color w:val="365F91" w:themeColor="accent1" w:themeShade="BF"/>
      <w:sz w:val="28"/>
      <w:szCs w:val="28"/>
      <w:lang w:eastAsia="ar-SA"/>
    </w:rPr>
  </w:style>
  <w:style w:type="paragraph" w:styleId="Kopfzeile">
    <w:name w:val="header"/>
    <w:basedOn w:val="Standard"/>
    <w:link w:val="KopfzeileZchn"/>
    <w:uiPriority w:val="99"/>
    <w:unhideWhenUsed/>
    <w:rsid w:val="00533510"/>
    <w:pPr>
      <w:tabs>
        <w:tab w:val="center" w:pos="4536"/>
        <w:tab w:val="right" w:pos="9072"/>
      </w:tabs>
    </w:pPr>
  </w:style>
  <w:style w:type="character" w:customStyle="1" w:styleId="KopfzeileZchn">
    <w:name w:val="Kopfzeile Zchn"/>
    <w:basedOn w:val="Absatz-Standardschriftart"/>
    <w:link w:val="Kopfzeile"/>
    <w:uiPriority w:val="99"/>
    <w:rsid w:val="00533510"/>
    <w:rPr>
      <w:sz w:val="24"/>
      <w:szCs w:val="24"/>
      <w:lang w:eastAsia="ar-SA"/>
    </w:rPr>
  </w:style>
  <w:style w:type="paragraph" w:styleId="Fuzeile">
    <w:name w:val="footer"/>
    <w:basedOn w:val="Standard"/>
    <w:link w:val="FuzeileZchn"/>
    <w:uiPriority w:val="99"/>
    <w:unhideWhenUsed/>
    <w:rsid w:val="00533510"/>
    <w:pPr>
      <w:tabs>
        <w:tab w:val="center" w:pos="4536"/>
        <w:tab w:val="right" w:pos="9072"/>
      </w:tabs>
    </w:pPr>
  </w:style>
  <w:style w:type="character" w:customStyle="1" w:styleId="FuzeileZchn">
    <w:name w:val="Fußzeile Zchn"/>
    <w:basedOn w:val="Absatz-Standardschriftart"/>
    <w:link w:val="Fuzeile"/>
    <w:uiPriority w:val="99"/>
    <w:rsid w:val="00533510"/>
    <w:rPr>
      <w:sz w:val="24"/>
      <w:szCs w:val="24"/>
      <w:lang w:eastAsia="ar-SA"/>
    </w:rPr>
  </w:style>
  <w:style w:type="paragraph" w:styleId="Listenabsatz">
    <w:name w:val="List Paragraph"/>
    <w:basedOn w:val="Standard"/>
    <w:uiPriority w:val="34"/>
    <w:qFormat/>
    <w:rsid w:val="00820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27827">
      <w:bodyDiv w:val="1"/>
      <w:marLeft w:val="0"/>
      <w:marRight w:val="0"/>
      <w:marTop w:val="0"/>
      <w:marBottom w:val="0"/>
      <w:divBdr>
        <w:top w:val="none" w:sz="0" w:space="0" w:color="auto"/>
        <w:left w:val="none" w:sz="0" w:space="0" w:color="auto"/>
        <w:bottom w:val="none" w:sz="0" w:space="0" w:color="auto"/>
        <w:right w:val="none" w:sz="0" w:space="0" w:color="auto"/>
      </w:divBdr>
    </w:div>
    <w:div w:id="1191652345">
      <w:bodyDiv w:val="1"/>
      <w:marLeft w:val="0"/>
      <w:marRight w:val="0"/>
      <w:marTop w:val="0"/>
      <w:marBottom w:val="0"/>
      <w:divBdr>
        <w:top w:val="none" w:sz="0" w:space="0" w:color="auto"/>
        <w:left w:val="none" w:sz="0" w:space="0" w:color="auto"/>
        <w:bottom w:val="none" w:sz="0" w:space="0" w:color="auto"/>
        <w:right w:val="none" w:sz="0" w:space="0" w:color="auto"/>
      </w:divBdr>
    </w:div>
    <w:div w:id="1602103916">
      <w:bodyDiv w:val="1"/>
      <w:marLeft w:val="0"/>
      <w:marRight w:val="0"/>
      <w:marTop w:val="0"/>
      <w:marBottom w:val="0"/>
      <w:divBdr>
        <w:top w:val="none" w:sz="0" w:space="0" w:color="auto"/>
        <w:left w:val="none" w:sz="0" w:space="0" w:color="auto"/>
        <w:bottom w:val="none" w:sz="0" w:space="0" w:color="auto"/>
        <w:right w:val="none" w:sz="0" w:space="0" w:color="auto"/>
      </w:divBdr>
      <w:divsChild>
        <w:div w:id="916015869">
          <w:marLeft w:val="0"/>
          <w:marRight w:val="0"/>
          <w:marTop w:val="0"/>
          <w:marBottom w:val="0"/>
          <w:divBdr>
            <w:top w:val="none" w:sz="0" w:space="0" w:color="auto"/>
            <w:left w:val="none" w:sz="0" w:space="0" w:color="auto"/>
            <w:bottom w:val="none" w:sz="0" w:space="0" w:color="auto"/>
            <w:right w:val="none" w:sz="0" w:space="0" w:color="auto"/>
          </w:divBdr>
          <w:divsChild>
            <w:div w:id="880282800">
              <w:marLeft w:val="0"/>
              <w:marRight w:val="0"/>
              <w:marTop w:val="0"/>
              <w:marBottom w:val="0"/>
              <w:divBdr>
                <w:top w:val="none" w:sz="0" w:space="0" w:color="auto"/>
                <w:left w:val="none" w:sz="0" w:space="0" w:color="auto"/>
                <w:bottom w:val="none" w:sz="0" w:space="0" w:color="auto"/>
                <w:right w:val="none" w:sz="0" w:space="0" w:color="auto"/>
              </w:divBdr>
              <w:divsChild>
                <w:div w:id="1199664634">
                  <w:marLeft w:val="0"/>
                  <w:marRight w:val="0"/>
                  <w:marTop w:val="0"/>
                  <w:marBottom w:val="0"/>
                  <w:divBdr>
                    <w:top w:val="none" w:sz="0" w:space="0" w:color="auto"/>
                    <w:left w:val="none" w:sz="0" w:space="0" w:color="auto"/>
                    <w:bottom w:val="none" w:sz="0" w:space="0" w:color="auto"/>
                    <w:right w:val="none" w:sz="0" w:space="0" w:color="auto"/>
                  </w:divBdr>
                  <w:divsChild>
                    <w:div w:id="1412510832">
                      <w:marLeft w:val="0"/>
                      <w:marRight w:val="0"/>
                      <w:marTop w:val="0"/>
                      <w:marBottom w:val="0"/>
                      <w:divBdr>
                        <w:top w:val="none" w:sz="0" w:space="0" w:color="auto"/>
                        <w:left w:val="none" w:sz="0" w:space="0" w:color="auto"/>
                        <w:bottom w:val="none" w:sz="0" w:space="0" w:color="auto"/>
                        <w:right w:val="none" w:sz="0" w:space="0" w:color="auto"/>
                      </w:divBdr>
                      <w:divsChild>
                        <w:div w:id="645815141">
                          <w:marLeft w:val="0"/>
                          <w:marRight w:val="0"/>
                          <w:marTop w:val="0"/>
                          <w:marBottom w:val="0"/>
                          <w:divBdr>
                            <w:top w:val="none" w:sz="0" w:space="0" w:color="auto"/>
                            <w:left w:val="none" w:sz="0" w:space="0" w:color="auto"/>
                            <w:bottom w:val="none" w:sz="0" w:space="0" w:color="auto"/>
                            <w:right w:val="none" w:sz="0" w:space="0" w:color="auto"/>
                          </w:divBdr>
                          <w:divsChild>
                            <w:div w:id="664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70573"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pb.de" TargetMode="External"/><Relationship Id="rId4" Type="http://schemas.openxmlformats.org/officeDocument/2006/relationships/settings" Target="settings.xml"/><Relationship Id="rId9" Type="http://schemas.openxmlformats.org/officeDocument/2006/relationships/hyperlink" Target="https://www.ecb.europa.eu/euro/intro/html/index.de.html"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7092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8201</CharactersWithSpaces>
  <SharedDoc>false</SharedDoc>
  <HLinks>
    <vt:vector size="6" baseType="variant">
      <vt:variant>
        <vt:i4>5832779</vt:i4>
      </vt:variant>
      <vt:variant>
        <vt:i4>0</vt:i4>
      </vt:variant>
      <vt:variant>
        <vt:i4>0</vt:i4>
      </vt:variant>
      <vt:variant>
        <vt:i4>5</vt:i4>
      </vt:variant>
      <vt:variant>
        <vt:lpwstr>https://www.ecb.europa.eu/euro/intro/html/map.de.html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2024-05-03T14:49:00Z</dcterms:created>
  <dcterms:modified xsi:type="dcterms:W3CDTF">2024-05-03T14:49:00Z</dcterms:modified>
</cp:coreProperties>
</file>