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5D" w:rsidRPr="00BE455D" w:rsidRDefault="00BE455D" w:rsidP="00BB5520">
      <w:pPr>
        <w:rPr>
          <w:rFonts w:ascii="Arial" w:hAnsi="Arial" w:cs="Arial"/>
          <w:b/>
          <w:color w:val="363636"/>
          <w:shd w:val="clear" w:color="auto" w:fill="FFFFFF"/>
        </w:rPr>
      </w:pPr>
      <w:bookmarkStart w:id="0" w:name="_GoBack"/>
      <w:bookmarkEnd w:id="0"/>
      <w:r w:rsidRPr="00BE455D">
        <w:rPr>
          <w:rFonts w:ascii="Arial" w:hAnsi="Arial" w:cs="Arial"/>
          <w:b/>
          <w:color w:val="363636"/>
          <w:shd w:val="clear" w:color="auto" w:fill="FFFFFF"/>
        </w:rPr>
        <w:t>Zur Finanzierung ihrer Ausgaben verfügt die Europäische Union über</w:t>
      </w:r>
      <w:r w:rsidR="008D1DAD">
        <w:rPr>
          <w:rFonts w:ascii="Arial" w:hAnsi="Arial" w:cs="Arial"/>
          <w:b/>
          <w:color w:val="363636"/>
          <w:shd w:val="clear" w:color="auto" w:fill="FFFFFF"/>
        </w:rPr>
        <w:t xml:space="preserve"> E</w:t>
      </w:r>
      <w:r w:rsidRPr="00BE455D">
        <w:rPr>
          <w:rFonts w:ascii="Arial" w:hAnsi="Arial" w:cs="Arial"/>
          <w:b/>
          <w:color w:val="363636"/>
          <w:shd w:val="clear" w:color="auto" w:fill="FFFFFF"/>
        </w:rPr>
        <w:t>igenmittel, die von den Mitgliedstaaten erhoben und für den EU-Haushalt bereitgestellt werden. In den Jahren 2004 bis 2017 hatten die Eigenmittel einen Anteil von durchschnittlich 92</w:t>
      </w:r>
      <w:r w:rsidR="00340A67">
        <w:rPr>
          <w:rFonts w:ascii="Arial" w:hAnsi="Arial" w:cs="Arial"/>
          <w:b/>
          <w:color w:val="363636"/>
          <w:shd w:val="clear" w:color="auto" w:fill="FFFFFF"/>
        </w:rPr>
        <w:t>,2</w:t>
      </w:r>
      <w:r w:rsidRPr="00BE455D">
        <w:rPr>
          <w:rFonts w:ascii="Arial" w:hAnsi="Arial" w:cs="Arial"/>
          <w:b/>
          <w:color w:val="363636"/>
          <w:shd w:val="clear" w:color="auto" w:fill="FFFFFF"/>
        </w:rPr>
        <w:t xml:space="preserve"> Prozent an den Gesamteinnahmen der EU. </w:t>
      </w:r>
      <w:r w:rsidR="008D1DAD">
        <w:rPr>
          <w:rFonts w:ascii="Arial" w:hAnsi="Arial" w:cs="Arial"/>
          <w:b/>
          <w:color w:val="363636"/>
          <w:shd w:val="clear" w:color="auto" w:fill="FFFFFF"/>
        </w:rPr>
        <w:t xml:space="preserve">Andere Einnahmen der </w:t>
      </w:r>
      <w:r w:rsidRPr="008D1DAD">
        <w:rPr>
          <w:rFonts w:ascii="Arial" w:hAnsi="Arial" w:cs="Arial"/>
          <w:b/>
          <w:color w:val="363636"/>
          <w:shd w:val="clear" w:color="auto" w:fill="FFFFFF"/>
        </w:rPr>
        <w:t xml:space="preserve">EU </w:t>
      </w:r>
      <w:r w:rsidR="008D1DAD" w:rsidRPr="008D1DAD">
        <w:rPr>
          <w:rFonts w:ascii="Arial" w:hAnsi="Arial" w:cs="Arial"/>
          <w:b/>
          <w:color w:val="363636"/>
          <w:shd w:val="clear" w:color="auto" w:fill="FFFFFF"/>
        </w:rPr>
        <w:t xml:space="preserve">sind zum Beispiel </w:t>
      </w:r>
      <w:r w:rsidRPr="008D1DAD">
        <w:rPr>
          <w:rFonts w:ascii="Arial" w:hAnsi="Arial" w:cs="Arial"/>
          <w:b/>
          <w:color w:val="363636"/>
          <w:shd w:val="clear" w:color="auto" w:fill="FFFFFF"/>
        </w:rPr>
        <w:t>Steuern auf die Bezüge der EU-Bediensteten</w:t>
      </w:r>
      <w:r w:rsidR="008D1DAD" w:rsidRPr="008D1DAD">
        <w:rPr>
          <w:rFonts w:ascii="Arial" w:hAnsi="Arial" w:cs="Arial"/>
          <w:b/>
          <w:color w:val="363636"/>
          <w:shd w:val="clear" w:color="auto" w:fill="FFFFFF"/>
        </w:rPr>
        <w:t xml:space="preserve"> </w:t>
      </w:r>
      <w:r w:rsidRPr="008D1DAD">
        <w:rPr>
          <w:rFonts w:ascii="Arial" w:hAnsi="Arial" w:cs="Arial"/>
          <w:b/>
          <w:color w:val="363636"/>
          <w:shd w:val="clear" w:color="auto" w:fill="FFFFFF"/>
        </w:rPr>
        <w:t>oder Bußgelder von Unternehmen. Im Jahr 2017 lagen die Einnahmen der EU bei insgesamt 139 Milliarden Euro.</w:t>
      </w:r>
      <w:r w:rsidR="008D1DAD" w:rsidRPr="008D1DAD">
        <w:rPr>
          <w:rFonts w:ascii="Arial" w:hAnsi="Arial" w:cs="Arial"/>
          <w:b/>
          <w:color w:val="363636"/>
          <w:shd w:val="clear" w:color="auto" w:fill="FFFFFF"/>
        </w:rPr>
        <w:t xml:space="preserve"> </w:t>
      </w:r>
      <w:r w:rsidRPr="00BE455D">
        <w:rPr>
          <w:rFonts w:ascii="Arial" w:hAnsi="Arial" w:cs="Arial"/>
          <w:b/>
          <w:color w:val="363636"/>
          <w:shd w:val="clear" w:color="auto" w:fill="FFFFFF"/>
        </w:rPr>
        <w:t>Die EU hat</w:t>
      </w:r>
      <w:r w:rsidR="00340A67">
        <w:rPr>
          <w:rFonts w:ascii="Arial" w:hAnsi="Arial" w:cs="Arial"/>
          <w:b/>
          <w:color w:val="363636"/>
          <w:shd w:val="clear" w:color="auto" w:fill="FFFFFF"/>
        </w:rPr>
        <w:t xml:space="preserve"> dabei </w:t>
      </w:r>
      <w:r w:rsidRPr="00BE455D">
        <w:rPr>
          <w:rFonts w:ascii="Arial" w:hAnsi="Arial" w:cs="Arial"/>
          <w:b/>
          <w:color w:val="363636"/>
          <w:shd w:val="clear" w:color="auto" w:fill="FFFFFF"/>
        </w:rPr>
        <w:t>nicht die Möglichkeit ihre Ausgaben über Schulden zu finanzieren, denn gemäß den Verträgen darf der EU-Haushalt kein Defizit aufweisen</w:t>
      </w:r>
      <w:r w:rsidR="00340A67">
        <w:rPr>
          <w:rFonts w:ascii="Arial" w:hAnsi="Arial" w:cs="Arial"/>
          <w:b/>
          <w:color w:val="363636"/>
          <w:shd w:val="clear" w:color="auto" w:fill="FFFFFF"/>
        </w:rPr>
        <w:t>.</w:t>
      </w:r>
    </w:p>
    <w:p w:rsidR="00BE455D" w:rsidRPr="00D82FE8" w:rsidRDefault="00BE455D" w:rsidP="00BB5520">
      <w:pPr>
        <w:rPr>
          <w:rFonts w:ascii="Arial" w:hAnsi="Arial" w:cs="Arial"/>
          <w:color w:val="000000"/>
        </w:rPr>
      </w:pPr>
    </w:p>
    <w:p w:rsidR="004F0DB5" w:rsidRPr="00CD4617" w:rsidRDefault="004F0DB5" w:rsidP="00BB5520">
      <w:pPr>
        <w:autoSpaceDE w:val="0"/>
        <w:autoSpaceDN w:val="0"/>
        <w:adjustRightInd w:val="0"/>
        <w:rPr>
          <w:rFonts w:ascii="Arial" w:hAnsi="Arial"/>
          <w:color w:val="FF0000"/>
        </w:rPr>
      </w:pPr>
      <w:r w:rsidRPr="00CD4617">
        <w:rPr>
          <w:rFonts w:ascii="Arial" w:hAnsi="Arial"/>
          <w:color w:val="FF0000"/>
        </w:rPr>
        <w:t>Fakten</w:t>
      </w:r>
    </w:p>
    <w:p w:rsidR="004F0DB5" w:rsidRPr="00E73460" w:rsidRDefault="004F0DB5" w:rsidP="00E73460">
      <w:pPr>
        <w:pStyle w:val="StandardWeb"/>
        <w:shd w:val="clear" w:color="auto" w:fill="FFFFFF"/>
        <w:spacing w:before="0" w:beforeAutospacing="0" w:after="0" w:afterAutospacing="0"/>
        <w:rPr>
          <w:rFonts w:ascii="Arial" w:hAnsi="Arial" w:cs="Arial"/>
          <w:color w:val="363636"/>
          <w:shd w:val="clear" w:color="auto" w:fill="FFFFFF"/>
        </w:rPr>
      </w:pPr>
    </w:p>
    <w:p w:rsidR="007C0C5E" w:rsidRDefault="001F417A" w:rsidP="00E73460">
      <w:pPr>
        <w:pStyle w:val="StandardWeb"/>
        <w:shd w:val="clear" w:color="auto" w:fill="FFFFFF"/>
        <w:spacing w:before="0" w:beforeAutospacing="0" w:after="0" w:afterAutospacing="0"/>
        <w:rPr>
          <w:rFonts w:ascii="Arial" w:hAnsi="Arial" w:cs="Arial"/>
          <w:color w:val="363636"/>
          <w:shd w:val="clear" w:color="auto" w:fill="FFFFFF"/>
        </w:rPr>
      </w:pPr>
      <w:r w:rsidRPr="00525006">
        <w:rPr>
          <w:rFonts w:ascii="Arial" w:hAnsi="Arial" w:cs="Arial"/>
          <w:color w:val="363636"/>
          <w:shd w:val="clear" w:color="auto" w:fill="FFFFFF"/>
        </w:rPr>
        <w:t xml:space="preserve">Zur Finanzierung ihrer Ausgaben verfügt die Europäische Union (EU) über sogenannte Eigenmittel, auf die sie </w:t>
      </w:r>
      <w:r w:rsidR="00D61C4E">
        <w:rPr>
          <w:rFonts w:ascii="Arial" w:hAnsi="Arial" w:cs="Arial"/>
          <w:color w:val="363636"/>
          <w:shd w:val="clear" w:color="auto" w:fill="FFFFFF"/>
        </w:rPr>
        <w:t>einen rechtlichen Anspruch hat.</w:t>
      </w:r>
      <w:r w:rsidR="00695A85">
        <w:rPr>
          <w:rFonts w:ascii="Arial" w:hAnsi="Arial" w:cs="Arial"/>
          <w:color w:val="363636"/>
          <w:shd w:val="clear" w:color="auto" w:fill="FFFFFF"/>
        </w:rPr>
        <w:t xml:space="preserve"> </w:t>
      </w:r>
      <w:r w:rsidR="00B510F0" w:rsidRPr="00B510F0">
        <w:rPr>
          <w:rFonts w:ascii="Arial" w:hAnsi="Arial" w:cs="Arial"/>
          <w:color w:val="363636"/>
          <w:shd w:val="clear" w:color="auto" w:fill="FFFFFF"/>
        </w:rPr>
        <w:t>Über das Eigenmittelsystem entscheidet der Rat der Europäischen Union einstimmig unter Berücksichtigung der Stellungnahme des Europäischen Parlaments. Zudem muss das System von den Mitgliedstaaten ratifiziert werden.</w:t>
      </w:r>
      <w:r w:rsidR="00695A85">
        <w:rPr>
          <w:rFonts w:ascii="Arial" w:hAnsi="Arial" w:cs="Arial"/>
          <w:color w:val="363636"/>
          <w:shd w:val="clear" w:color="auto" w:fill="FFFFFF"/>
        </w:rPr>
        <w:t xml:space="preserve"> </w:t>
      </w:r>
      <w:r w:rsidRPr="00525006">
        <w:rPr>
          <w:rFonts w:ascii="Arial" w:hAnsi="Arial" w:cs="Arial"/>
          <w:color w:val="363636"/>
          <w:shd w:val="clear" w:color="auto" w:fill="FFFFFF"/>
        </w:rPr>
        <w:t>Die</w:t>
      </w:r>
      <w:r w:rsidR="00BD7D16">
        <w:rPr>
          <w:rFonts w:ascii="Arial" w:hAnsi="Arial" w:cs="Arial"/>
          <w:color w:val="363636"/>
          <w:shd w:val="clear" w:color="auto" w:fill="FFFFFF"/>
        </w:rPr>
        <w:t xml:space="preserve"> Eigenm</w:t>
      </w:r>
      <w:r w:rsidRPr="00525006">
        <w:rPr>
          <w:rFonts w:ascii="Arial" w:hAnsi="Arial" w:cs="Arial"/>
          <w:color w:val="363636"/>
          <w:shd w:val="clear" w:color="auto" w:fill="FFFFFF"/>
        </w:rPr>
        <w:t>ittel werden von den Mitgliedstaaten erhoben und für den EU-Haushalt bereitgestellt.</w:t>
      </w:r>
      <w:r w:rsidRPr="00E73460">
        <w:rPr>
          <w:rFonts w:ascii="Arial" w:hAnsi="Arial" w:cs="Arial"/>
          <w:color w:val="363636"/>
          <w:shd w:val="clear" w:color="auto" w:fill="FFFFFF"/>
        </w:rPr>
        <w:br/>
      </w:r>
      <w:r w:rsidRPr="00FC7383">
        <w:rPr>
          <w:rFonts w:ascii="Arial" w:hAnsi="Arial" w:cs="Arial"/>
          <w:color w:val="363636"/>
          <w:shd w:val="clear" w:color="auto" w:fill="FFFFFF"/>
        </w:rPr>
        <w:br/>
        <w:t>Zu den traditionellen Eigenmitteln (TEM) der EU gehören Zölle (20</w:t>
      </w:r>
      <w:r w:rsidR="007C0C5E" w:rsidRPr="00FC7383">
        <w:rPr>
          <w:rFonts w:ascii="Arial" w:hAnsi="Arial" w:cs="Arial"/>
          <w:color w:val="363636"/>
          <w:shd w:val="clear" w:color="auto" w:fill="FFFFFF"/>
        </w:rPr>
        <w:t>17</w:t>
      </w:r>
      <w:r w:rsidRPr="00FC7383">
        <w:rPr>
          <w:rFonts w:ascii="Arial" w:hAnsi="Arial" w:cs="Arial"/>
          <w:color w:val="363636"/>
          <w:shd w:val="clear" w:color="auto" w:fill="FFFFFF"/>
        </w:rPr>
        <w:t xml:space="preserve">: </w:t>
      </w:r>
      <w:r w:rsidR="007C0C5E" w:rsidRPr="00FC7383">
        <w:rPr>
          <w:rFonts w:ascii="Arial" w:hAnsi="Arial" w:cs="Arial"/>
          <w:color w:val="363636"/>
          <w:shd w:val="clear" w:color="auto" w:fill="FFFFFF"/>
        </w:rPr>
        <w:t>25</w:t>
      </w:r>
      <w:r w:rsidRPr="00FC7383">
        <w:rPr>
          <w:rFonts w:ascii="Arial" w:hAnsi="Arial" w:cs="Arial"/>
          <w:color w:val="363636"/>
          <w:shd w:val="clear" w:color="auto" w:fill="FFFFFF"/>
        </w:rPr>
        <w:t>,4 Mrd. Euro</w:t>
      </w:r>
      <w:r w:rsidR="007C0C5E" w:rsidRPr="00FC7383">
        <w:rPr>
          <w:rFonts w:ascii="Arial" w:hAnsi="Arial" w:cs="Arial"/>
          <w:color w:val="363636"/>
          <w:shd w:val="clear" w:color="auto" w:fill="FFFFFF"/>
        </w:rPr>
        <w:t xml:space="preserve">) und </w:t>
      </w:r>
      <w:r w:rsidRPr="00FC7383">
        <w:rPr>
          <w:rFonts w:ascii="Arial" w:hAnsi="Arial" w:cs="Arial"/>
          <w:color w:val="363636"/>
          <w:shd w:val="clear" w:color="auto" w:fill="FFFFFF"/>
        </w:rPr>
        <w:t>Zuckerabgaben (20</w:t>
      </w:r>
      <w:r w:rsidR="007C0C5E" w:rsidRPr="00FC7383">
        <w:rPr>
          <w:rFonts w:ascii="Arial" w:hAnsi="Arial" w:cs="Arial"/>
          <w:color w:val="363636"/>
          <w:shd w:val="clear" w:color="auto" w:fill="FFFFFF"/>
        </w:rPr>
        <w:t>17</w:t>
      </w:r>
      <w:r w:rsidRPr="00FC7383">
        <w:rPr>
          <w:rFonts w:ascii="Arial" w:hAnsi="Arial" w:cs="Arial"/>
          <w:color w:val="363636"/>
          <w:shd w:val="clear" w:color="auto" w:fill="FFFFFF"/>
        </w:rPr>
        <w:t>: 1</w:t>
      </w:r>
      <w:r w:rsidR="007C0C5E" w:rsidRPr="00FC7383">
        <w:rPr>
          <w:rFonts w:ascii="Arial" w:hAnsi="Arial" w:cs="Arial"/>
          <w:color w:val="363636"/>
          <w:shd w:val="clear" w:color="auto" w:fill="FFFFFF"/>
        </w:rPr>
        <w:t>67</w:t>
      </w:r>
      <w:r w:rsidRPr="00FC7383">
        <w:rPr>
          <w:rFonts w:ascii="Arial" w:hAnsi="Arial" w:cs="Arial"/>
          <w:color w:val="363636"/>
          <w:shd w:val="clear" w:color="auto" w:fill="FFFFFF"/>
        </w:rPr>
        <w:t xml:space="preserve"> Mio. Euro). Dabei behalten die Mitgliedstaaten </w:t>
      </w:r>
      <w:r w:rsidR="007C0C5E" w:rsidRPr="00FC7383">
        <w:rPr>
          <w:rFonts w:ascii="Arial" w:hAnsi="Arial" w:cs="Arial"/>
          <w:color w:val="363636"/>
          <w:shd w:val="clear" w:color="auto" w:fill="FFFFFF"/>
        </w:rPr>
        <w:t xml:space="preserve">seit 2014 </w:t>
      </w:r>
      <w:r w:rsidRPr="00FC7383">
        <w:rPr>
          <w:rFonts w:ascii="Arial" w:hAnsi="Arial" w:cs="Arial"/>
          <w:color w:val="363636"/>
          <w:shd w:val="clear" w:color="auto" w:fill="FFFFFF"/>
        </w:rPr>
        <w:t>jeweils 2</w:t>
      </w:r>
      <w:r w:rsidR="007C0C5E" w:rsidRPr="00FC7383">
        <w:rPr>
          <w:rFonts w:ascii="Arial" w:hAnsi="Arial" w:cs="Arial"/>
          <w:color w:val="363636"/>
          <w:shd w:val="clear" w:color="auto" w:fill="FFFFFF"/>
        </w:rPr>
        <w:t>0</w:t>
      </w:r>
      <w:r w:rsidRPr="00FC7383">
        <w:rPr>
          <w:rFonts w:ascii="Arial" w:hAnsi="Arial" w:cs="Arial"/>
          <w:color w:val="363636"/>
          <w:shd w:val="clear" w:color="auto" w:fill="FFFFFF"/>
        </w:rPr>
        <w:t xml:space="preserve"> Prozent des Betrags zur Deckung ihrer Erhebungskosten ein</w:t>
      </w:r>
      <w:r w:rsidR="007C0C5E" w:rsidRPr="00FC7383">
        <w:rPr>
          <w:rFonts w:ascii="Arial" w:hAnsi="Arial" w:cs="Arial"/>
          <w:color w:val="363636"/>
          <w:shd w:val="clear" w:color="auto" w:fill="FFFFFF"/>
        </w:rPr>
        <w:t>. Insgesamt lagen die traditionellen Eigenmittel der EU im Jahr 2017 somit bei 20,5 Milliarden Euro.</w:t>
      </w:r>
    </w:p>
    <w:p w:rsidR="00695A85" w:rsidRDefault="00695A85" w:rsidP="00E73460">
      <w:pPr>
        <w:pStyle w:val="StandardWeb"/>
        <w:shd w:val="clear" w:color="auto" w:fill="FFFFFF"/>
        <w:spacing w:before="0" w:beforeAutospacing="0" w:after="0" w:afterAutospacing="0"/>
        <w:rPr>
          <w:rFonts w:ascii="Arial" w:hAnsi="Arial" w:cs="Arial"/>
          <w:color w:val="363636"/>
          <w:shd w:val="clear" w:color="auto" w:fill="FFFFFF"/>
        </w:rPr>
      </w:pPr>
    </w:p>
    <w:p w:rsidR="00695A85" w:rsidRDefault="001F417A" w:rsidP="00E73460">
      <w:pPr>
        <w:pStyle w:val="StandardWeb"/>
        <w:shd w:val="clear" w:color="auto" w:fill="FFFFFF"/>
        <w:spacing w:before="0" w:beforeAutospacing="0" w:after="0" w:afterAutospacing="0"/>
        <w:rPr>
          <w:rFonts w:ascii="Arial" w:hAnsi="Arial" w:cs="Arial"/>
          <w:color w:val="363636"/>
          <w:shd w:val="clear" w:color="auto" w:fill="FFFFFF"/>
        </w:rPr>
      </w:pPr>
      <w:r w:rsidRPr="009E6A02">
        <w:rPr>
          <w:rFonts w:ascii="Arial" w:hAnsi="Arial" w:cs="Arial"/>
          <w:color w:val="363636"/>
          <w:shd w:val="clear" w:color="auto" w:fill="FFFFFF"/>
        </w:rPr>
        <w:t xml:space="preserve">Die Einnahmen aus den traditionellen Eigenmitteln reichen jedoch zur Deckung der EU-Haushaltsausgaben </w:t>
      </w:r>
      <w:r w:rsidR="009E6A02" w:rsidRPr="009E6A02">
        <w:rPr>
          <w:rFonts w:ascii="Arial" w:hAnsi="Arial" w:cs="Arial"/>
          <w:color w:val="363636"/>
          <w:shd w:val="clear" w:color="auto" w:fill="FFFFFF"/>
        </w:rPr>
        <w:t xml:space="preserve">bei Weitem </w:t>
      </w:r>
      <w:r w:rsidRPr="009E6A02">
        <w:rPr>
          <w:rFonts w:ascii="Arial" w:hAnsi="Arial" w:cs="Arial"/>
          <w:color w:val="363636"/>
          <w:shd w:val="clear" w:color="auto" w:fill="FFFFFF"/>
        </w:rPr>
        <w:t xml:space="preserve">nicht aus. Nach Abzug </w:t>
      </w:r>
      <w:r w:rsidR="009E6A02" w:rsidRPr="009E6A02">
        <w:rPr>
          <w:rFonts w:ascii="Arial" w:hAnsi="Arial" w:cs="Arial"/>
          <w:color w:val="363636"/>
          <w:shd w:val="clear" w:color="auto" w:fill="FFFFFF"/>
        </w:rPr>
        <w:t xml:space="preserve">der </w:t>
      </w:r>
      <w:r w:rsidRPr="009E6A02">
        <w:rPr>
          <w:rFonts w:ascii="Arial" w:hAnsi="Arial" w:cs="Arial"/>
          <w:color w:val="363636"/>
          <w:shd w:val="clear" w:color="auto" w:fill="FFFFFF"/>
        </w:rPr>
        <w:t xml:space="preserve">Erhebungskosten lag ihr Anteil an den </w:t>
      </w:r>
      <w:r w:rsidR="009E6A02" w:rsidRPr="009E6A02">
        <w:rPr>
          <w:rFonts w:ascii="Arial" w:hAnsi="Arial" w:cs="Arial"/>
          <w:color w:val="363636"/>
          <w:shd w:val="clear" w:color="auto" w:fill="FFFFFF"/>
        </w:rPr>
        <w:t xml:space="preserve">Gesamteinnahmen </w:t>
      </w:r>
      <w:r w:rsidRPr="009E6A02">
        <w:rPr>
          <w:rFonts w:ascii="Arial" w:hAnsi="Arial" w:cs="Arial"/>
          <w:color w:val="363636"/>
          <w:shd w:val="clear" w:color="auto" w:fill="FFFFFF"/>
        </w:rPr>
        <w:t>im Zeitraum 200</w:t>
      </w:r>
      <w:r w:rsidR="00BE455D">
        <w:rPr>
          <w:rFonts w:ascii="Arial" w:hAnsi="Arial" w:cs="Arial"/>
          <w:color w:val="363636"/>
          <w:shd w:val="clear" w:color="auto" w:fill="FFFFFF"/>
        </w:rPr>
        <w:t>4</w:t>
      </w:r>
      <w:r w:rsidRPr="009E6A02">
        <w:rPr>
          <w:rFonts w:ascii="Arial" w:hAnsi="Arial" w:cs="Arial"/>
          <w:color w:val="363636"/>
          <w:shd w:val="clear" w:color="auto" w:fill="FFFFFF"/>
        </w:rPr>
        <w:t xml:space="preserve"> bis 201</w:t>
      </w:r>
      <w:r w:rsidR="009E6A02" w:rsidRPr="009E6A02">
        <w:rPr>
          <w:rFonts w:ascii="Arial" w:hAnsi="Arial" w:cs="Arial"/>
          <w:color w:val="363636"/>
          <w:shd w:val="clear" w:color="auto" w:fill="FFFFFF"/>
        </w:rPr>
        <w:t>7</w:t>
      </w:r>
      <w:r w:rsidRPr="009E6A02">
        <w:rPr>
          <w:rFonts w:ascii="Arial" w:hAnsi="Arial" w:cs="Arial"/>
          <w:color w:val="363636"/>
          <w:shd w:val="clear" w:color="auto" w:fill="FFFFFF"/>
        </w:rPr>
        <w:t xml:space="preserve"> bei durchschnittlich 1</w:t>
      </w:r>
      <w:r w:rsidR="009E6A02" w:rsidRPr="009E6A02">
        <w:rPr>
          <w:rFonts w:ascii="Arial" w:hAnsi="Arial" w:cs="Arial"/>
          <w:color w:val="363636"/>
          <w:shd w:val="clear" w:color="auto" w:fill="FFFFFF"/>
        </w:rPr>
        <w:t>2,</w:t>
      </w:r>
      <w:r w:rsidR="00BE455D">
        <w:rPr>
          <w:rFonts w:ascii="Arial" w:hAnsi="Arial" w:cs="Arial"/>
          <w:color w:val="363636"/>
          <w:shd w:val="clear" w:color="auto" w:fill="FFFFFF"/>
        </w:rPr>
        <w:t>8</w:t>
      </w:r>
      <w:r w:rsidR="00583925">
        <w:rPr>
          <w:rFonts w:ascii="Arial" w:hAnsi="Arial" w:cs="Arial"/>
          <w:color w:val="363636"/>
          <w:shd w:val="clear" w:color="auto" w:fill="FFFFFF"/>
        </w:rPr>
        <w:t xml:space="preserve"> Prozent.</w:t>
      </w:r>
      <w:r w:rsidR="00695A85">
        <w:rPr>
          <w:rFonts w:ascii="Arial" w:hAnsi="Arial" w:cs="Arial"/>
          <w:color w:val="363636"/>
          <w:shd w:val="clear" w:color="auto" w:fill="FFFFFF"/>
        </w:rPr>
        <w:t xml:space="preserve"> </w:t>
      </w:r>
      <w:r w:rsidRPr="009E6A02">
        <w:rPr>
          <w:rFonts w:ascii="Arial" w:hAnsi="Arial" w:cs="Arial"/>
          <w:color w:val="363636"/>
          <w:shd w:val="clear" w:color="auto" w:fill="FFFFFF"/>
        </w:rPr>
        <w:t>Zur Finanzierung des Gemeinschaftshaushalts wurden daher mit dem Eigenmittelbeschluss von 1970 die Mehrwertsteuer-Eigenmittel (MwSt.</w:t>
      </w:r>
      <w:r w:rsidR="009C18F4">
        <w:rPr>
          <w:rFonts w:ascii="Arial" w:hAnsi="Arial" w:cs="Arial"/>
          <w:color w:val="363636"/>
          <w:shd w:val="clear" w:color="auto" w:fill="FFFFFF"/>
        </w:rPr>
        <w:t>-</w:t>
      </w:r>
      <w:r w:rsidR="00583925" w:rsidRPr="009E6A02">
        <w:rPr>
          <w:rFonts w:ascii="Arial" w:hAnsi="Arial" w:cs="Arial"/>
          <w:color w:val="363636"/>
          <w:shd w:val="clear" w:color="auto" w:fill="FFFFFF"/>
        </w:rPr>
        <w:t>Eigenmittel</w:t>
      </w:r>
      <w:r w:rsidRPr="009E6A02">
        <w:rPr>
          <w:rFonts w:ascii="Arial" w:hAnsi="Arial" w:cs="Arial"/>
          <w:color w:val="363636"/>
          <w:shd w:val="clear" w:color="auto" w:fill="FFFFFF"/>
        </w:rPr>
        <w:t>) als zweite Eigenmittelkategorie eingeführt.</w:t>
      </w:r>
    </w:p>
    <w:p w:rsidR="00695A85" w:rsidRDefault="00695A85" w:rsidP="00E73460">
      <w:pPr>
        <w:pStyle w:val="StandardWeb"/>
        <w:shd w:val="clear" w:color="auto" w:fill="FFFFFF"/>
        <w:spacing w:before="0" w:beforeAutospacing="0" w:after="0" w:afterAutospacing="0"/>
        <w:rPr>
          <w:rFonts w:ascii="Arial" w:hAnsi="Arial" w:cs="Arial"/>
          <w:color w:val="363636"/>
          <w:shd w:val="clear" w:color="auto" w:fill="FFFFFF"/>
        </w:rPr>
      </w:pPr>
    </w:p>
    <w:p w:rsidR="0068627D" w:rsidRDefault="001F417A" w:rsidP="00E73460">
      <w:pPr>
        <w:pStyle w:val="StandardWeb"/>
        <w:shd w:val="clear" w:color="auto" w:fill="FFFFFF"/>
        <w:spacing w:before="0" w:beforeAutospacing="0" w:after="0" w:afterAutospacing="0"/>
        <w:rPr>
          <w:rFonts w:ascii="Arial" w:hAnsi="Arial" w:cs="Arial"/>
          <w:color w:val="363636"/>
          <w:shd w:val="clear" w:color="auto" w:fill="FFFFFF"/>
        </w:rPr>
      </w:pPr>
      <w:r w:rsidRPr="001C117E">
        <w:rPr>
          <w:rFonts w:ascii="Arial" w:hAnsi="Arial" w:cs="Arial"/>
          <w:color w:val="363636"/>
          <w:shd w:val="clear" w:color="auto" w:fill="FFFFFF"/>
        </w:rPr>
        <w:t xml:space="preserve">Die MwSt.-Eigenmittel beruhen auf einem einheitlichen Prozentsatz, der auf die harmonisierte </w:t>
      </w:r>
      <w:proofErr w:type="spellStart"/>
      <w:r w:rsidRPr="001C117E">
        <w:rPr>
          <w:rFonts w:ascii="Arial" w:hAnsi="Arial" w:cs="Arial"/>
          <w:color w:val="363636"/>
          <w:shd w:val="clear" w:color="auto" w:fill="FFFFFF"/>
        </w:rPr>
        <w:t>MwSt</w:t>
      </w:r>
      <w:proofErr w:type="spellEnd"/>
      <w:r w:rsidRPr="001C117E">
        <w:rPr>
          <w:rFonts w:ascii="Arial" w:hAnsi="Arial" w:cs="Arial"/>
          <w:color w:val="363636"/>
          <w:shd w:val="clear" w:color="auto" w:fill="FFFFFF"/>
        </w:rPr>
        <w:t>-Bemessungsgrundlage jedes Mitgliedstaates angewandt wird.</w:t>
      </w:r>
      <w:r w:rsidR="001C117E" w:rsidRPr="001C117E">
        <w:rPr>
          <w:rFonts w:ascii="Arial" w:hAnsi="Arial" w:cs="Arial"/>
          <w:color w:val="363636"/>
          <w:shd w:val="clear" w:color="auto" w:fill="FFFFFF"/>
        </w:rPr>
        <w:t xml:space="preserve"> D</w:t>
      </w:r>
      <w:r w:rsidRPr="0068627D">
        <w:rPr>
          <w:rFonts w:ascii="Arial" w:hAnsi="Arial" w:cs="Arial"/>
          <w:color w:val="363636"/>
          <w:shd w:val="clear" w:color="auto" w:fill="FFFFFF"/>
        </w:rPr>
        <w:t>ie MwSt.-Eigenmittel, die seit 1979 anfallen, wurden zunächst zur wichtigsten Finanzierungsquelle der Gemeinschaft, jedoch erwiesen auch sie sich ab Mitte der 1980er-Jahre als nicht ausreichend, um die Gemeinschaftsausgaben zu decken</w:t>
      </w:r>
      <w:r w:rsidR="00BE455D">
        <w:rPr>
          <w:rFonts w:ascii="Arial" w:hAnsi="Arial" w:cs="Arial"/>
          <w:color w:val="363636"/>
          <w:shd w:val="clear" w:color="auto" w:fill="FFFFFF"/>
        </w:rPr>
        <w:t>.</w:t>
      </w:r>
      <w:r w:rsidR="001C117E">
        <w:rPr>
          <w:rFonts w:ascii="Arial" w:hAnsi="Arial" w:cs="Arial"/>
          <w:color w:val="363636"/>
          <w:shd w:val="clear" w:color="auto" w:fill="FFFFFF"/>
        </w:rPr>
        <w:t xml:space="preserve"> </w:t>
      </w:r>
      <w:r w:rsidR="001C117E" w:rsidRPr="001C117E">
        <w:rPr>
          <w:rFonts w:ascii="Arial" w:hAnsi="Arial" w:cs="Arial"/>
          <w:color w:val="363636"/>
          <w:shd w:val="clear" w:color="auto" w:fill="FFFFFF"/>
        </w:rPr>
        <w:t>Im Zeitraum 200</w:t>
      </w:r>
      <w:r w:rsidR="00BE455D">
        <w:rPr>
          <w:rFonts w:ascii="Arial" w:hAnsi="Arial" w:cs="Arial"/>
          <w:color w:val="363636"/>
          <w:shd w:val="clear" w:color="auto" w:fill="FFFFFF"/>
        </w:rPr>
        <w:t>4</w:t>
      </w:r>
      <w:r w:rsidR="001C117E" w:rsidRPr="001C117E">
        <w:rPr>
          <w:rFonts w:ascii="Arial" w:hAnsi="Arial" w:cs="Arial"/>
          <w:color w:val="363636"/>
          <w:shd w:val="clear" w:color="auto" w:fill="FFFFFF"/>
        </w:rPr>
        <w:t xml:space="preserve"> bis 2017 lag ihr Anteil an den Gesamteinnahmen bei durchschnittlich 1</w:t>
      </w:r>
      <w:r w:rsidR="00BE455D">
        <w:rPr>
          <w:rFonts w:ascii="Arial" w:hAnsi="Arial" w:cs="Arial"/>
          <w:color w:val="363636"/>
          <w:shd w:val="clear" w:color="auto" w:fill="FFFFFF"/>
        </w:rPr>
        <w:t>2</w:t>
      </w:r>
      <w:r w:rsidR="001C117E" w:rsidRPr="001C117E">
        <w:rPr>
          <w:rFonts w:ascii="Arial" w:hAnsi="Arial" w:cs="Arial"/>
          <w:color w:val="363636"/>
          <w:shd w:val="clear" w:color="auto" w:fill="FFFFFF"/>
        </w:rPr>
        <w:t>,</w:t>
      </w:r>
      <w:r w:rsidR="00BE455D">
        <w:rPr>
          <w:rFonts w:ascii="Arial" w:hAnsi="Arial" w:cs="Arial"/>
          <w:color w:val="363636"/>
          <w:shd w:val="clear" w:color="auto" w:fill="FFFFFF"/>
        </w:rPr>
        <w:t>6</w:t>
      </w:r>
      <w:r w:rsidR="001C117E" w:rsidRPr="001C117E">
        <w:rPr>
          <w:rFonts w:ascii="Arial" w:hAnsi="Arial" w:cs="Arial"/>
          <w:color w:val="363636"/>
          <w:shd w:val="clear" w:color="auto" w:fill="FFFFFF"/>
        </w:rPr>
        <w:t xml:space="preserve"> Prozent. </w:t>
      </w:r>
      <w:r w:rsidR="001C117E">
        <w:rPr>
          <w:rFonts w:ascii="Arial" w:hAnsi="Arial" w:cs="Arial"/>
          <w:color w:val="363636"/>
          <w:shd w:val="clear" w:color="auto" w:fill="FFFFFF"/>
        </w:rPr>
        <w:t xml:space="preserve">Daher </w:t>
      </w:r>
      <w:r w:rsidR="001C117E" w:rsidRPr="0068627D">
        <w:rPr>
          <w:rFonts w:ascii="Arial" w:hAnsi="Arial" w:cs="Arial"/>
          <w:color w:val="363636"/>
          <w:shd w:val="clear" w:color="auto" w:fill="FFFFFF"/>
        </w:rPr>
        <w:t xml:space="preserve">wurde </w:t>
      </w:r>
      <w:r w:rsidRPr="0068627D">
        <w:rPr>
          <w:rFonts w:ascii="Arial" w:hAnsi="Arial" w:cs="Arial"/>
          <w:color w:val="363636"/>
          <w:shd w:val="clear" w:color="auto" w:fill="FFFFFF"/>
        </w:rPr>
        <w:t>1989 eine weitere, auf dem Wohlstand der Mitgliedstaaten beruhende Einnahmeart eingeführt</w:t>
      </w:r>
      <w:r w:rsidR="001C117E">
        <w:rPr>
          <w:rFonts w:ascii="Arial" w:hAnsi="Arial" w:cs="Arial"/>
          <w:color w:val="363636"/>
          <w:shd w:val="clear" w:color="auto" w:fill="FFFFFF"/>
        </w:rPr>
        <w:t>.</w:t>
      </w:r>
    </w:p>
    <w:p w:rsidR="00695A85" w:rsidRDefault="00695A85" w:rsidP="00E73460">
      <w:pPr>
        <w:pStyle w:val="StandardWeb"/>
        <w:shd w:val="clear" w:color="auto" w:fill="FFFFFF"/>
        <w:spacing w:before="0" w:beforeAutospacing="0" w:after="0" w:afterAutospacing="0"/>
        <w:rPr>
          <w:rFonts w:ascii="Arial" w:hAnsi="Arial" w:cs="Arial"/>
          <w:color w:val="363636"/>
          <w:shd w:val="clear" w:color="auto" w:fill="FFFFFF"/>
        </w:rPr>
      </w:pPr>
    </w:p>
    <w:p w:rsidR="001C117E" w:rsidRDefault="001F417A" w:rsidP="00E73460">
      <w:pPr>
        <w:pStyle w:val="StandardWeb"/>
        <w:shd w:val="clear" w:color="auto" w:fill="FFFFFF"/>
        <w:spacing w:before="0" w:beforeAutospacing="0" w:after="0" w:afterAutospacing="0"/>
        <w:rPr>
          <w:rFonts w:ascii="Arial" w:hAnsi="Arial" w:cs="Arial"/>
          <w:color w:val="363636"/>
          <w:shd w:val="clear" w:color="auto" w:fill="FFFFFF"/>
        </w:rPr>
      </w:pPr>
      <w:r w:rsidRPr="001C117E">
        <w:rPr>
          <w:rFonts w:ascii="Arial" w:hAnsi="Arial" w:cs="Arial"/>
          <w:color w:val="363636"/>
          <w:shd w:val="clear" w:color="auto" w:fill="FFFFFF"/>
        </w:rPr>
        <w:t xml:space="preserve">Die BNE-Eigenmittel basieren auf einem einheitlichen Prozentsatz, der auf das Bruttonationaleinkommen (BNE) jedes Mitgliedstaates angewandt wird. Mit ihnen wird der Teil der Ausgaben finanziert, der von anderen Einnahmequellen nicht abgedeckt ist. </w:t>
      </w:r>
      <w:r w:rsidR="001C117E" w:rsidRPr="001C117E">
        <w:rPr>
          <w:rFonts w:ascii="Arial" w:hAnsi="Arial" w:cs="Arial"/>
          <w:color w:val="363636"/>
          <w:shd w:val="clear" w:color="auto" w:fill="FFFFFF"/>
        </w:rPr>
        <w:t xml:space="preserve">Ursprünglich sollte die Abgabe nur erhoben werden, wenn die anderen Eigenmittel zur Ausgabendeckung nicht vollständig ausreichen, </w:t>
      </w:r>
      <w:r w:rsidR="00F81E40">
        <w:rPr>
          <w:rFonts w:ascii="Arial" w:hAnsi="Arial" w:cs="Arial"/>
          <w:color w:val="363636"/>
          <w:shd w:val="clear" w:color="auto" w:fill="FFFFFF"/>
        </w:rPr>
        <w:t>in</w:t>
      </w:r>
      <w:r w:rsidR="00E63C9F">
        <w:rPr>
          <w:rFonts w:ascii="Arial" w:hAnsi="Arial" w:cs="Arial"/>
          <w:color w:val="363636"/>
          <w:shd w:val="clear" w:color="auto" w:fill="FFFFFF"/>
        </w:rPr>
        <w:t>z</w:t>
      </w:r>
      <w:r w:rsidR="00F81E40">
        <w:rPr>
          <w:rFonts w:ascii="Arial" w:hAnsi="Arial" w:cs="Arial"/>
          <w:color w:val="363636"/>
          <w:shd w:val="clear" w:color="auto" w:fill="FFFFFF"/>
        </w:rPr>
        <w:t>wischen</w:t>
      </w:r>
      <w:r w:rsidR="001C117E" w:rsidRPr="001C117E">
        <w:rPr>
          <w:rFonts w:ascii="Arial" w:hAnsi="Arial" w:cs="Arial"/>
          <w:color w:val="363636"/>
          <w:shd w:val="clear" w:color="auto" w:fill="FFFFFF"/>
        </w:rPr>
        <w:t xml:space="preserve"> stammt jedoch ein Großteil des EU-Haushalts aus dieser Quelle</w:t>
      </w:r>
      <w:r w:rsidR="00F81E40">
        <w:rPr>
          <w:rFonts w:ascii="Arial" w:hAnsi="Arial" w:cs="Arial"/>
          <w:color w:val="363636"/>
          <w:shd w:val="clear" w:color="auto" w:fill="FFFFFF"/>
        </w:rPr>
        <w:t xml:space="preserve">: </w:t>
      </w:r>
      <w:r w:rsidR="00F81E40" w:rsidRPr="001C117E">
        <w:rPr>
          <w:rFonts w:ascii="Arial" w:hAnsi="Arial" w:cs="Arial"/>
          <w:color w:val="363636"/>
          <w:shd w:val="clear" w:color="auto" w:fill="FFFFFF"/>
        </w:rPr>
        <w:t>Im Zeitraum 200</w:t>
      </w:r>
      <w:r w:rsidR="00F81E40">
        <w:rPr>
          <w:rFonts w:ascii="Arial" w:hAnsi="Arial" w:cs="Arial"/>
          <w:color w:val="363636"/>
          <w:shd w:val="clear" w:color="auto" w:fill="FFFFFF"/>
        </w:rPr>
        <w:t>4</w:t>
      </w:r>
      <w:r w:rsidR="00F81E40" w:rsidRPr="001C117E">
        <w:rPr>
          <w:rFonts w:ascii="Arial" w:hAnsi="Arial" w:cs="Arial"/>
          <w:color w:val="363636"/>
          <w:shd w:val="clear" w:color="auto" w:fill="FFFFFF"/>
        </w:rPr>
        <w:t xml:space="preserve"> bis 2017 </w:t>
      </w:r>
      <w:r w:rsidR="00F81E40">
        <w:rPr>
          <w:rFonts w:ascii="Arial" w:hAnsi="Arial" w:cs="Arial"/>
          <w:color w:val="363636"/>
          <w:shd w:val="clear" w:color="auto" w:fill="FFFFFF"/>
        </w:rPr>
        <w:t xml:space="preserve">beruhten </w:t>
      </w:r>
      <w:r w:rsidR="00F81E40" w:rsidRPr="001C117E">
        <w:rPr>
          <w:rFonts w:ascii="Arial" w:hAnsi="Arial" w:cs="Arial"/>
          <w:color w:val="363636"/>
          <w:shd w:val="clear" w:color="auto" w:fill="FFFFFF"/>
        </w:rPr>
        <w:t xml:space="preserve">durchschnittlich </w:t>
      </w:r>
      <w:r w:rsidR="00F81E40">
        <w:rPr>
          <w:rFonts w:ascii="Arial" w:hAnsi="Arial" w:cs="Arial"/>
          <w:color w:val="363636"/>
          <w:shd w:val="clear" w:color="auto" w:fill="FFFFFF"/>
        </w:rPr>
        <w:t xml:space="preserve">zwei Drittel der </w:t>
      </w:r>
      <w:r w:rsidR="00F81E40" w:rsidRPr="001C117E">
        <w:rPr>
          <w:rFonts w:ascii="Arial" w:hAnsi="Arial" w:cs="Arial"/>
          <w:color w:val="363636"/>
          <w:shd w:val="clear" w:color="auto" w:fill="FFFFFF"/>
        </w:rPr>
        <w:t xml:space="preserve">Gesamteinnahmen </w:t>
      </w:r>
      <w:r w:rsidR="00F81E40">
        <w:rPr>
          <w:rFonts w:ascii="Arial" w:hAnsi="Arial" w:cs="Arial"/>
          <w:color w:val="363636"/>
          <w:shd w:val="clear" w:color="auto" w:fill="FFFFFF"/>
        </w:rPr>
        <w:t xml:space="preserve">auf den </w:t>
      </w:r>
      <w:r w:rsidR="00F81E40" w:rsidRPr="001C117E">
        <w:rPr>
          <w:rFonts w:ascii="Arial" w:hAnsi="Arial" w:cs="Arial"/>
          <w:color w:val="363636"/>
          <w:shd w:val="clear" w:color="auto" w:fill="FFFFFF"/>
        </w:rPr>
        <w:t>BNE-Eigenmittel</w:t>
      </w:r>
      <w:r w:rsidR="00F81E40">
        <w:rPr>
          <w:rFonts w:ascii="Arial" w:hAnsi="Arial" w:cs="Arial"/>
          <w:color w:val="363636"/>
          <w:shd w:val="clear" w:color="auto" w:fill="FFFFFF"/>
        </w:rPr>
        <w:t xml:space="preserve">n (66,8 </w:t>
      </w:r>
      <w:r w:rsidR="00F81E40" w:rsidRPr="001C117E">
        <w:rPr>
          <w:rFonts w:ascii="Arial" w:hAnsi="Arial" w:cs="Arial"/>
          <w:color w:val="363636"/>
          <w:shd w:val="clear" w:color="auto" w:fill="FFFFFF"/>
        </w:rPr>
        <w:t>Prozent</w:t>
      </w:r>
      <w:r w:rsidR="00F81E40">
        <w:rPr>
          <w:rFonts w:ascii="Arial" w:hAnsi="Arial" w:cs="Arial"/>
          <w:color w:val="363636"/>
          <w:shd w:val="clear" w:color="auto" w:fill="FFFFFF"/>
        </w:rPr>
        <w:t>)</w:t>
      </w:r>
      <w:r w:rsidR="00F81E40" w:rsidRPr="001C117E">
        <w:rPr>
          <w:rFonts w:ascii="Arial" w:hAnsi="Arial" w:cs="Arial"/>
          <w:color w:val="363636"/>
          <w:shd w:val="clear" w:color="auto" w:fill="FFFFFF"/>
        </w:rPr>
        <w:t>.</w:t>
      </w:r>
    </w:p>
    <w:p w:rsidR="00695A85" w:rsidRDefault="00695A85" w:rsidP="00E73460">
      <w:pPr>
        <w:pStyle w:val="StandardWeb"/>
        <w:shd w:val="clear" w:color="auto" w:fill="FFFFFF"/>
        <w:spacing w:before="0" w:beforeAutospacing="0" w:after="0" w:afterAutospacing="0"/>
        <w:rPr>
          <w:rFonts w:ascii="Arial" w:hAnsi="Arial" w:cs="Arial"/>
          <w:color w:val="363636"/>
          <w:shd w:val="clear" w:color="auto" w:fill="FFFFFF"/>
        </w:rPr>
      </w:pPr>
    </w:p>
    <w:p w:rsidR="00A9490A" w:rsidRDefault="003E67FE" w:rsidP="00E73460">
      <w:pPr>
        <w:pStyle w:val="StandardWeb"/>
        <w:shd w:val="clear" w:color="auto" w:fill="FFFFFF"/>
        <w:spacing w:before="0" w:beforeAutospacing="0" w:after="0" w:afterAutospacing="0"/>
        <w:rPr>
          <w:rFonts w:ascii="Arial" w:hAnsi="Arial" w:cs="Arial"/>
          <w:color w:val="363636"/>
          <w:shd w:val="clear" w:color="auto" w:fill="FFFFFF"/>
        </w:rPr>
      </w:pPr>
      <w:r>
        <w:rPr>
          <w:rFonts w:ascii="Arial" w:hAnsi="Arial" w:cs="Arial"/>
          <w:color w:val="363636"/>
          <w:shd w:val="clear" w:color="auto" w:fill="FFFFFF"/>
        </w:rPr>
        <w:lastRenderedPageBreak/>
        <w:t xml:space="preserve">Neben den </w:t>
      </w:r>
      <w:r w:rsidR="001F417A" w:rsidRPr="003E67FE">
        <w:rPr>
          <w:rFonts w:ascii="Arial" w:hAnsi="Arial" w:cs="Arial"/>
          <w:color w:val="363636"/>
          <w:shd w:val="clear" w:color="auto" w:fill="FFFFFF"/>
        </w:rPr>
        <w:t xml:space="preserve">Eigenmitteln fließen in den Haushalt der EU auch andere Einnahmen wie </w:t>
      </w:r>
      <w:r w:rsidR="00A9490A" w:rsidRPr="003E67FE">
        <w:rPr>
          <w:rFonts w:ascii="Arial" w:hAnsi="Arial" w:cs="Arial"/>
          <w:color w:val="363636"/>
          <w:shd w:val="clear" w:color="auto" w:fill="FFFFFF"/>
        </w:rPr>
        <w:t xml:space="preserve">zum Beispiel </w:t>
      </w:r>
      <w:r w:rsidR="001F417A" w:rsidRPr="003E67FE">
        <w:rPr>
          <w:rFonts w:ascii="Arial" w:hAnsi="Arial" w:cs="Arial"/>
          <w:color w:val="363636"/>
          <w:shd w:val="clear" w:color="auto" w:fill="FFFFFF"/>
        </w:rPr>
        <w:t xml:space="preserve">die </w:t>
      </w:r>
      <w:r w:rsidR="00523B09" w:rsidRPr="00CE747E">
        <w:rPr>
          <w:rFonts w:ascii="Arial" w:hAnsi="Arial" w:cs="Arial"/>
          <w:color w:val="363636"/>
          <w:shd w:val="clear" w:color="auto" w:fill="FFFFFF"/>
        </w:rPr>
        <w:t>Steuern auf die Bezüge der EU-Bediensteten</w:t>
      </w:r>
      <w:r w:rsidR="001F417A" w:rsidRPr="003E67FE">
        <w:rPr>
          <w:rFonts w:ascii="Arial" w:hAnsi="Arial" w:cs="Arial"/>
          <w:color w:val="363636"/>
          <w:shd w:val="clear" w:color="auto" w:fill="FFFFFF"/>
        </w:rPr>
        <w:t>, Beiträge von Nicht-</w:t>
      </w:r>
      <w:r w:rsidR="00523B09">
        <w:rPr>
          <w:rFonts w:ascii="Arial" w:hAnsi="Arial" w:cs="Arial"/>
          <w:color w:val="363636"/>
          <w:shd w:val="clear" w:color="auto" w:fill="FFFFFF"/>
        </w:rPr>
        <w:t>EU-S</w:t>
      </w:r>
      <w:r w:rsidR="001F417A" w:rsidRPr="003E67FE">
        <w:rPr>
          <w:rFonts w:ascii="Arial" w:hAnsi="Arial" w:cs="Arial"/>
          <w:color w:val="363636"/>
          <w:shd w:val="clear" w:color="auto" w:fill="FFFFFF"/>
        </w:rPr>
        <w:t xml:space="preserve">taaten zu bestimmten </w:t>
      </w:r>
      <w:r w:rsidR="006D79F1">
        <w:rPr>
          <w:rFonts w:ascii="Arial" w:hAnsi="Arial" w:cs="Arial"/>
          <w:color w:val="363636"/>
          <w:shd w:val="clear" w:color="auto" w:fill="FFFFFF"/>
        </w:rPr>
        <w:t>EU-</w:t>
      </w:r>
      <w:r w:rsidR="001F417A" w:rsidRPr="003E67FE">
        <w:rPr>
          <w:rFonts w:ascii="Arial" w:hAnsi="Arial" w:cs="Arial"/>
          <w:color w:val="363636"/>
          <w:shd w:val="clear" w:color="auto" w:fill="FFFFFF"/>
        </w:rPr>
        <w:t>Programmen</w:t>
      </w:r>
      <w:r w:rsidR="00CE747E">
        <w:rPr>
          <w:rFonts w:ascii="Arial" w:hAnsi="Arial" w:cs="Arial"/>
          <w:color w:val="363636"/>
          <w:shd w:val="clear" w:color="auto" w:fill="FFFFFF"/>
        </w:rPr>
        <w:t xml:space="preserve"> oder</w:t>
      </w:r>
      <w:r w:rsidR="00523B09">
        <w:rPr>
          <w:rFonts w:ascii="Arial" w:hAnsi="Arial" w:cs="Arial"/>
          <w:color w:val="363636"/>
          <w:shd w:val="clear" w:color="auto" w:fill="FFFFFF"/>
        </w:rPr>
        <w:t xml:space="preserve"> </w:t>
      </w:r>
      <w:r w:rsidR="001F417A" w:rsidRPr="003E67FE">
        <w:rPr>
          <w:rFonts w:ascii="Arial" w:hAnsi="Arial" w:cs="Arial"/>
          <w:color w:val="363636"/>
          <w:shd w:val="clear" w:color="auto" w:fill="FFFFFF"/>
        </w:rPr>
        <w:t>Bußgelder von Unternehmen</w:t>
      </w:r>
      <w:r w:rsidR="00837457">
        <w:rPr>
          <w:rFonts w:ascii="Arial" w:hAnsi="Arial" w:cs="Arial"/>
          <w:color w:val="363636"/>
          <w:shd w:val="clear" w:color="auto" w:fill="FFFFFF"/>
        </w:rPr>
        <w:t xml:space="preserve">, </w:t>
      </w:r>
      <w:r w:rsidR="00837457" w:rsidRPr="00AB6A63">
        <w:rPr>
          <w:rFonts w:ascii="Arial" w:hAnsi="Arial" w:cs="Arial"/>
          <w:color w:val="363636"/>
          <w:shd w:val="clear" w:color="auto" w:fill="FFFFFF"/>
        </w:rPr>
        <w:t>die nachweislich gegen das Wettbewerbsrecht oder andere Rechtsvorschriften verstoßen haben. H</w:t>
      </w:r>
      <w:r w:rsidR="00CE747E">
        <w:rPr>
          <w:rFonts w:ascii="Arial" w:hAnsi="Arial" w:cs="Arial"/>
          <w:color w:val="363636"/>
          <w:shd w:val="clear" w:color="auto" w:fill="FFFFFF"/>
        </w:rPr>
        <w:t>inzu kommt der H</w:t>
      </w:r>
      <w:r w:rsidR="00CE747E" w:rsidRPr="00CE747E">
        <w:rPr>
          <w:rFonts w:ascii="Arial" w:hAnsi="Arial" w:cs="Arial"/>
          <w:color w:val="363636"/>
          <w:shd w:val="clear" w:color="auto" w:fill="FFFFFF"/>
        </w:rPr>
        <w:t xml:space="preserve">aushaltsüberschuss </w:t>
      </w:r>
      <w:r w:rsidR="00CE747E">
        <w:rPr>
          <w:rFonts w:ascii="Arial" w:hAnsi="Arial" w:cs="Arial"/>
          <w:color w:val="363636"/>
          <w:shd w:val="clear" w:color="auto" w:fill="FFFFFF"/>
        </w:rPr>
        <w:t xml:space="preserve">des </w:t>
      </w:r>
      <w:r w:rsidR="00CE747E" w:rsidRPr="00CE747E">
        <w:rPr>
          <w:rFonts w:ascii="Arial" w:hAnsi="Arial" w:cs="Arial"/>
          <w:color w:val="363636"/>
          <w:shd w:val="clear" w:color="auto" w:fill="FFFFFF"/>
        </w:rPr>
        <w:t>Vorjahr</w:t>
      </w:r>
      <w:r w:rsidR="00CE747E">
        <w:rPr>
          <w:rFonts w:ascii="Arial" w:hAnsi="Arial" w:cs="Arial"/>
          <w:color w:val="363636"/>
          <w:shd w:val="clear" w:color="auto" w:fill="FFFFFF"/>
        </w:rPr>
        <w:t>es.</w:t>
      </w:r>
      <w:r w:rsidR="00BE455D">
        <w:rPr>
          <w:rFonts w:ascii="Arial" w:hAnsi="Arial" w:cs="Arial"/>
          <w:color w:val="363636"/>
          <w:shd w:val="clear" w:color="auto" w:fill="FFFFFF"/>
        </w:rPr>
        <w:t xml:space="preserve"> Im Jahr 2017 lagen die Einnahmen der EU bei insgesamt 139 </w:t>
      </w:r>
      <w:r w:rsidR="00BE455D" w:rsidRPr="00FC7383">
        <w:rPr>
          <w:rFonts w:ascii="Arial" w:hAnsi="Arial" w:cs="Arial"/>
          <w:color w:val="363636"/>
          <w:shd w:val="clear" w:color="auto" w:fill="FFFFFF"/>
        </w:rPr>
        <w:t>Milliarden Euro</w:t>
      </w:r>
      <w:r w:rsidR="00BE455D">
        <w:rPr>
          <w:rFonts w:ascii="Arial" w:hAnsi="Arial" w:cs="Arial"/>
          <w:color w:val="363636"/>
          <w:shd w:val="clear" w:color="auto" w:fill="FFFFFF"/>
        </w:rPr>
        <w:t>.</w:t>
      </w:r>
    </w:p>
    <w:p w:rsidR="00695A85" w:rsidRDefault="00695A85" w:rsidP="00E73460">
      <w:pPr>
        <w:pStyle w:val="StandardWeb"/>
        <w:shd w:val="clear" w:color="auto" w:fill="FFFFFF"/>
        <w:spacing w:before="0" w:beforeAutospacing="0" w:after="0" w:afterAutospacing="0"/>
        <w:rPr>
          <w:rFonts w:ascii="Arial" w:hAnsi="Arial" w:cs="Arial"/>
          <w:color w:val="363636"/>
          <w:shd w:val="clear" w:color="auto" w:fill="FFFFFF"/>
        </w:rPr>
      </w:pPr>
    </w:p>
    <w:p w:rsidR="00E73460" w:rsidRDefault="001F417A" w:rsidP="00E73460">
      <w:pPr>
        <w:pStyle w:val="StandardWeb"/>
        <w:shd w:val="clear" w:color="auto" w:fill="FFFFFF"/>
        <w:spacing w:before="0" w:beforeAutospacing="0" w:after="0" w:afterAutospacing="0"/>
        <w:rPr>
          <w:rFonts w:ascii="Arial" w:hAnsi="Arial" w:cs="Arial"/>
          <w:color w:val="363636"/>
          <w:shd w:val="clear" w:color="auto" w:fill="FFFFFF"/>
        </w:rPr>
      </w:pPr>
      <w:r w:rsidRPr="00AE4800">
        <w:rPr>
          <w:rFonts w:ascii="Arial" w:hAnsi="Arial" w:cs="Arial"/>
          <w:color w:val="363636"/>
          <w:shd w:val="clear" w:color="auto" w:fill="FFFFFF"/>
        </w:rPr>
        <w:t xml:space="preserve">Die Beiträge zum Haushalt werden in etwa proportional zur wirtschaftlichen Leistungskraft des jeweiligen Mitgliedstaates berechnet. Bei der Berechnung der Beiträge für </w:t>
      </w:r>
      <w:r w:rsidR="00AE4800" w:rsidRPr="00AE4800">
        <w:rPr>
          <w:rFonts w:ascii="Arial" w:hAnsi="Arial" w:cs="Arial"/>
          <w:color w:val="363636"/>
          <w:shd w:val="clear" w:color="auto" w:fill="FFFFFF"/>
        </w:rPr>
        <w:t xml:space="preserve">das Vereinigte Königreich ("VK-Ausgleich"), Deutschland, die Niederlande, Österreich, Schweden und Dänemark </w:t>
      </w:r>
      <w:r w:rsidRPr="00AE4800">
        <w:rPr>
          <w:rFonts w:ascii="Arial" w:hAnsi="Arial" w:cs="Arial"/>
          <w:color w:val="363636"/>
          <w:shd w:val="clear" w:color="auto" w:fill="FFFFFF"/>
        </w:rPr>
        <w:t>werden jedoch Anpassungen vorgenommen, um die von diesen Staaten als zu hoch angesehenen Nettobeiträge zu begrenzen.</w:t>
      </w:r>
      <w:r w:rsidR="00695A85">
        <w:rPr>
          <w:rFonts w:ascii="Arial" w:hAnsi="Arial" w:cs="Arial"/>
          <w:color w:val="363636"/>
          <w:shd w:val="clear" w:color="auto" w:fill="FFFFFF"/>
        </w:rPr>
        <w:t xml:space="preserve"> </w:t>
      </w:r>
      <w:r w:rsidRPr="00BB5520">
        <w:rPr>
          <w:rFonts w:ascii="Arial" w:hAnsi="Arial" w:cs="Arial"/>
          <w:color w:val="363636"/>
          <w:shd w:val="clear" w:color="auto" w:fill="FFFFFF"/>
        </w:rPr>
        <w:t>Bei den Zahlungen an die Empfänger in den Mitgliedstaaten und in Drittstaaten sind hingegen die von der EU festgelegten Prioritäten ausschlaggebend.</w:t>
      </w:r>
    </w:p>
    <w:p w:rsidR="00E73460" w:rsidRDefault="00E73460" w:rsidP="00E73460">
      <w:pPr>
        <w:pStyle w:val="StandardWeb"/>
        <w:shd w:val="clear" w:color="auto" w:fill="FFFFFF"/>
        <w:spacing w:before="0" w:beforeAutospacing="0" w:after="0" w:afterAutospacing="0"/>
        <w:rPr>
          <w:rFonts w:ascii="Arial" w:hAnsi="Arial" w:cs="Arial"/>
          <w:color w:val="363636"/>
          <w:shd w:val="clear" w:color="auto" w:fill="FFFFFF"/>
        </w:rPr>
      </w:pPr>
    </w:p>
    <w:p w:rsidR="004146CC" w:rsidRDefault="001F417A" w:rsidP="00695A85">
      <w:pPr>
        <w:pStyle w:val="StandardWeb"/>
        <w:shd w:val="clear" w:color="auto" w:fill="FFFFFF"/>
        <w:spacing w:before="0" w:beforeAutospacing="0" w:after="0" w:afterAutospacing="0"/>
        <w:rPr>
          <w:rFonts w:ascii="Arial" w:hAnsi="Arial" w:cs="Arial"/>
          <w:color w:val="363636"/>
          <w:shd w:val="clear" w:color="auto" w:fill="FFFFFF"/>
        </w:rPr>
      </w:pPr>
      <w:r w:rsidRPr="004146CC">
        <w:rPr>
          <w:rFonts w:ascii="Arial" w:hAnsi="Arial" w:cs="Arial"/>
          <w:color w:val="363636"/>
          <w:shd w:val="clear" w:color="auto" w:fill="FFFFFF"/>
        </w:rPr>
        <w:t xml:space="preserve">Die EU hat nicht die Möglichkeit ihre Ausgaben über Schulden zu finanzieren, denn gemäß den Verträgen darf der EU-Haushalt kein Defizit aufweisen – die Einnahmen müssen </w:t>
      </w:r>
      <w:r w:rsidR="004146CC" w:rsidRPr="004146CC">
        <w:rPr>
          <w:rFonts w:ascii="Arial" w:hAnsi="Arial" w:cs="Arial"/>
          <w:color w:val="363636"/>
          <w:shd w:val="clear" w:color="auto" w:fill="FFFFFF"/>
        </w:rPr>
        <w:t>also sämtliche Ausgaben decken.</w:t>
      </w:r>
      <w:r w:rsidR="00695A85">
        <w:rPr>
          <w:rFonts w:ascii="Arial" w:hAnsi="Arial" w:cs="Arial"/>
          <w:color w:val="363636"/>
          <w:shd w:val="clear" w:color="auto" w:fill="FFFFFF"/>
        </w:rPr>
        <w:t xml:space="preserve"> </w:t>
      </w:r>
      <w:r w:rsidRPr="004146CC">
        <w:rPr>
          <w:rFonts w:ascii="Arial" w:hAnsi="Arial" w:cs="Arial"/>
          <w:color w:val="363636"/>
          <w:shd w:val="clear" w:color="auto" w:fill="FFFFFF"/>
        </w:rPr>
        <w:t xml:space="preserve">Zudem </w:t>
      </w:r>
      <w:r w:rsidR="004146CC" w:rsidRPr="004146CC">
        <w:rPr>
          <w:rFonts w:ascii="Arial" w:hAnsi="Arial" w:cs="Arial"/>
          <w:color w:val="363636"/>
          <w:shd w:val="clear" w:color="auto" w:fill="FFFFFF"/>
        </w:rPr>
        <w:t>ist der Eigenmittelanteil zur Deckung der jährlichen Mittel für Zahlungen derzeit auf höchstens 1,20 Prozent des Bruttonationaleinkommens (BNE) der EU begrenzt. Im aktuellen mehrjährigen Finanzrahmen (MFR) 2014-2020 wird die Obergrenze in der Praxis auf rund 1 Prozent des BNE der EU festgelegt. Da ein ausgeglichener Haushalt vorgelegt werden muss, gilt für die Ausgaben dieselbe Obergrenze</w:t>
      </w:r>
      <w:r w:rsidR="00837457">
        <w:rPr>
          <w:rFonts w:ascii="Arial" w:hAnsi="Arial" w:cs="Arial"/>
          <w:color w:val="363636"/>
          <w:shd w:val="clear" w:color="auto" w:fill="FFFFFF"/>
        </w:rPr>
        <w:t>.</w:t>
      </w:r>
    </w:p>
    <w:p w:rsidR="00695A85" w:rsidRDefault="00695A85" w:rsidP="00695A85">
      <w:pPr>
        <w:pStyle w:val="StandardWeb"/>
        <w:shd w:val="clear" w:color="auto" w:fill="FFFFFF"/>
        <w:spacing w:before="0" w:beforeAutospacing="0" w:after="0" w:afterAutospacing="0"/>
        <w:rPr>
          <w:rFonts w:ascii="Arial" w:hAnsi="Arial" w:cs="Arial"/>
          <w:color w:val="363636"/>
          <w:shd w:val="clear" w:color="auto" w:fill="FFFFFF"/>
        </w:rPr>
      </w:pPr>
    </w:p>
    <w:p w:rsidR="004F0DB5" w:rsidRPr="001F417A" w:rsidRDefault="004F0DB5" w:rsidP="00BB5520">
      <w:pPr>
        <w:autoSpaceDE w:val="0"/>
        <w:autoSpaceDN w:val="0"/>
        <w:adjustRightInd w:val="0"/>
        <w:rPr>
          <w:rFonts w:ascii="Arial" w:hAnsi="Arial"/>
          <w:color w:val="FF0000"/>
        </w:rPr>
      </w:pPr>
      <w:r w:rsidRPr="001F417A">
        <w:rPr>
          <w:rFonts w:ascii="Arial" w:hAnsi="Arial"/>
          <w:color w:val="FF0000"/>
        </w:rPr>
        <w:t>Datenquelle</w:t>
      </w:r>
    </w:p>
    <w:p w:rsidR="004F0DB5" w:rsidRPr="001F417A" w:rsidRDefault="004F0DB5" w:rsidP="00BB5520">
      <w:pPr>
        <w:rPr>
          <w:rFonts w:ascii="Arial" w:hAnsi="Arial" w:cs="Arial"/>
          <w:color w:val="000000"/>
        </w:rPr>
      </w:pPr>
    </w:p>
    <w:p w:rsidR="0055353A" w:rsidRDefault="00DB434B" w:rsidP="00BB5520">
      <w:pPr>
        <w:rPr>
          <w:rFonts w:ascii="Arial" w:hAnsi="Arial" w:cs="Arial"/>
          <w:color w:val="000000"/>
        </w:rPr>
      </w:pPr>
      <w:r w:rsidRPr="00DB434B">
        <w:rPr>
          <w:rFonts w:ascii="Arial" w:hAnsi="Arial" w:cs="Arial"/>
          <w:color w:val="000000"/>
        </w:rPr>
        <w:t>Europäische Kommission: EU-Haushalt 2017 – Finanzbericht</w:t>
      </w:r>
    </w:p>
    <w:p w:rsidR="00DB434B" w:rsidRPr="00DB434B" w:rsidRDefault="00DB434B" w:rsidP="00BB5520">
      <w:pPr>
        <w:rPr>
          <w:rFonts w:ascii="Arial" w:hAnsi="Arial" w:cs="Arial"/>
          <w:color w:val="000000"/>
        </w:rPr>
      </w:pPr>
    </w:p>
    <w:p w:rsidR="004F0DB5" w:rsidRPr="00CD4617" w:rsidRDefault="004F0DB5" w:rsidP="00BB5520">
      <w:pPr>
        <w:autoSpaceDE w:val="0"/>
        <w:autoSpaceDN w:val="0"/>
        <w:adjustRightInd w:val="0"/>
        <w:rPr>
          <w:rFonts w:ascii="Arial" w:hAnsi="Arial"/>
          <w:color w:val="FF0000"/>
        </w:rPr>
      </w:pPr>
      <w:r w:rsidRPr="00CD4617">
        <w:rPr>
          <w:rFonts w:ascii="Arial" w:hAnsi="Arial"/>
          <w:color w:val="FF0000"/>
        </w:rPr>
        <w:t>Begriffe, methodische Anmerkungen oder Lesehilfen</w:t>
      </w:r>
    </w:p>
    <w:p w:rsidR="004F0DB5" w:rsidRPr="006B2781" w:rsidRDefault="004F0DB5" w:rsidP="00BB5520">
      <w:pPr>
        <w:rPr>
          <w:rFonts w:ascii="Arial" w:hAnsi="Arial" w:cs="Arial"/>
          <w:color w:val="363636"/>
          <w:shd w:val="clear" w:color="auto" w:fill="FFFFFF"/>
        </w:rPr>
      </w:pPr>
    </w:p>
    <w:p w:rsidR="00D82FE8" w:rsidRPr="004146CC" w:rsidRDefault="001F417A" w:rsidP="00BB5520">
      <w:pPr>
        <w:rPr>
          <w:rFonts w:ascii="Arial" w:hAnsi="Arial" w:cs="Arial"/>
          <w:color w:val="363636"/>
          <w:shd w:val="clear" w:color="auto" w:fill="FFFFFF"/>
        </w:rPr>
      </w:pPr>
      <w:r>
        <w:rPr>
          <w:rFonts w:ascii="Arial" w:hAnsi="Arial" w:cs="Arial"/>
          <w:color w:val="363636"/>
          <w:shd w:val="clear" w:color="auto" w:fill="FFFFFF"/>
        </w:rPr>
        <w:t>Das </w:t>
      </w:r>
      <w:r>
        <w:rPr>
          <w:rStyle w:val="Fett"/>
          <w:rFonts w:ascii="Arial" w:hAnsi="Arial" w:cs="Arial"/>
          <w:color w:val="363636"/>
          <w:shd w:val="clear" w:color="auto" w:fill="FFFFFF"/>
        </w:rPr>
        <w:t>Bruttonationaleinkommen (BNE)</w:t>
      </w:r>
      <w:r>
        <w:rPr>
          <w:rFonts w:ascii="Arial" w:hAnsi="Arial" w:cs="Arial"/>
          <w:color w:val="363636"/>
          <w:shd w:val="clear" w:color="auto" w:fill="FFFFFF"/>
        </w:rPr>
        <w:t xml:space="preserve">, bis 1999 als Bruttosozialprodukt bezeichnet, ist der Wertmaßstab für die gesamte wirtschaftliche Leistung einer Volkswirtschaft in einem </w:t>
      </w:r>
      <w:r w:rsidRPr="004146CC">
        <w:rPr>
          <w:rFonts w:ascii="Arial" w:hAnsi="Arial" w:cs="Arial"/>
          <w:color w:val="363636"/>
          <w:shd w:val="clear" w:color="auto" w:fill="FFFFFF"/>
        </w:rPr>
        <w:t>bestimmten Zeitraum. Das Bruttonationaleinkommen stellt im Gegensatz zum Bruttoinlandsprodukt aber nicht auf die im Inland produzierten Güter und Dienstleistungen ab, sondern auf die von Inländern (natürliche und juristische Personen mit ständigem Wohnsitz im Inland) im In- und Ausland erstellten Leistungen (Inländerkonzept). Rein rechnerisch ergibt sich das Bruttonationaleinkommen, indem zum Bruttoinlandsprodukt der Saldo der Erwerbs- und Vermögenseinkommen zwischen Inländern und dem Ausland addiert wird.</w:t>
      </w:r>
    </w:p>
    <w:p w:rsidR="001F417A" w:rsidRPr="004146CC" w:rsidRDefault="001F417A" w:rsidP="00BB5520">
      <w:pPr>
        <w:rPr>
          <w:rFonts w:ascii="Arial" w:hAnsi="Arial" w:cs="Arial"/>
          <w:color w:val="000000"/>
        </w:rPr>
      </w:pPr>
    </w:p>
    <w:p w:rsidR="004F0DB5" w:rsidRPr="004146CC" w:rsidRDefault="00D82FE8" w:rsidP="00BB5520">
      <w:pPr>
        <w:rPr>
          <w:rFonts w:ascii="Arial" w:hAnsi="Arial" w:cs="Arial"/>
          <w:color w:val="000000"/>
        </w:rPr>
      </w:pPr>
      <w:r w:rsidRPr="004146CC">
        <w:rPr>
          <w:rFonts w:ascii="Arial" w:hAnsi="Arial" w:cs="Arial"/>
          <w:color w:val="000000"/>
        </w:rPr>
        <w:t>D</w:t>
      </w:r>
      <w:r w:rsidR="000D22EB" w:rsidRPr="004146CC">
        <w:rPr>
          <w:rFonts w:ascii="Arial" w:hAnsi="Arial" w:cs="Arial"/>
          <w:color w:val="000000"/>
        </w:rPr>
        <w:t xml:space="preserve">as </w:t>
      </w:r>
      <w:r w:rsidR="000D22EB" w:rsidRPr="004146CC">
        <w:rPr>
          <w:rFonts w:ascii="Arial" w:hAnsi="Arial" w:cs="Arial"/>
          <w:b/>
          <w:color w:val="000000"/>
        </w:rPr>
        <w:t>Bruttoinlandsprodukt (BIP)</w:t>
      </w:r>
      <w:r w:rsidR="000D22EB" w:rsidRPr="004146CC">
        <w:rPr>
          <w:rFonts w:ascii="Arial" w:hAnsi="Arial" w:cs="Arial"/>
          <w:color w:val="000000"/>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4162AB" w:rsidRPr="004146CC" w:rsidRDefault="004162AB" w:rsidP="00BB5520">
      <w:pPr>
        <w:rPr>
          <w:rFonts w:ascii="Arial" w:hAnsi="Arial" w:cs="Arial"/>
          <w:color w:val="000000"/>
        </w:rPr>
      </w:pPr>
    </w:p>
    <w:p w:rsidR="004162AB" w:rsidRPr="00CD4617" w:rsidRDefault="004162AB" w:rsidP="00BB5520">
      <w:pPr>
        <w:rPr>
          <w:rFonts w:ascii="Arial" w:hAnsi="Arial"/>
          <w:sz w:val="20"/>
          <w:szCs w:val="20"/>
        </w:rPr>
      </w:pPr>
      <w:r w:rsidRPr="00CD4617">
        <w:rPr>
          <w:rFonts w:ascii="Arial" w:hAnsi="Arial"/>
          <w:sz w:val="20"/>
          <w:szCs w:val="20"/>
        </w:rPr>
        <w:t xml:space="preserve">Dieser Text ist unter der Creative </w:t>
      </w:r>
      <w:proofErr w:type="spellStart"/>
      <w:r w:rsidRPr="00CD4617">
        <w:rPr>
          <w:rFonts w:ascii="Arial" w:hAnsi="Arial"/>
          <w:sz w:val="20"/>
          <w:szCs w:val="20"/>
        </w:rPr>
        <w:t>Commons</w:t>
      </w:r>
      <w:proofErr w:type="spellEnd"/>
      <w:r w:rsidRPr="00CD4617">
        <w:rPr>
          <w:rFonts w:ascii="Arial" w:hAnsi="Arial"/>
          <w:sz w:val="20"/>
          <w:szCs w:val="20"/>
        </w:rPr>
        <w:t xml:space="preserve"> Lizenz </w:t>
      </w:r>
      <w:hyperlink r:id="rId6" w:tgtFrame="extern" w:history="1">
        <w:proofErr w:type="spellStart"/>
        <w:r w:rsidRPr="00CD4617">
          <w:rPr>
            <w:rFonts w:ascii="Arial" w:hAnsi="Arial"/>
            <w:sz w:val="20"/>
            <w:szCs w:val="20"/>
          </w:rPr>
          <w:t>by-nc-nd</w:t>
        </w:r>
        <w:proofErr w:type="spellEnd"/>
        <w:r w:rsidRPr="00CD4617">
          <w:rPr>
            <w:rFonts w:ascii="Arial" w:hAnsi="Arial"/>
            <w:sz w:val="20"/>
            <w:szCs w:val="20"/>
          </w:rPr>
          <w:t>/3.0/de/</w:t>
        </w:r>
      </w:hyperlink>
      <w:r w:rsidRPr="00CD4617">
        <w:rPr>
          <w:rFonts w:ascii="Arial" w:hAnsi="Arial"/>
          <w:sz w:val="20"/>
          <w:szCs w:val="20"/>
        </w:rPr>
        <w:t xml:space="preserve"> veröffentlicht. </w:t>
      </w:r>
    </w:p>
    <w:p w:rsidR="004162AB" w:rsidRPr="00CD4617" w:rsidRDefault="004162AB" w:rsidP="00BB5520">
      <w:pPr>
        <w:rPr>
          <w:rFonts w:ascii="Arial" w:hAnsi="Arial" w:cs="Arial"/>
          <w:i/>
          <w:color w:val="000000"/>
        </w:rPr>
      </w:pPr>
      <w:r w:rsidRPr="00CD4617">
        <w:rPr>
          <w:rFonts w:ascii="Arial" w:hAnsi="Arial"/>
          <w:sz w:val="20"/>
          <w:szCs w:val="20"/>
        </w:rPr>
        <w:t>Bundeszentrale für politische Bildung 201</w:t>
      </w:r>
      <w:r w:rsidR="00CD4617" w:rsidRPr="00CD4617">
        <w:rPr>
          <w:rFonts w:ascii="Arial" w:hAnsi="Arial"/>
          <w:sz w:val="20"/>
          <w:szCs w:val="20"/>
        </w:rPr>
        <w:t>9</w:t>
      </w:r>
      <w:r w:rsidRPr="00CD4617">
        <w:rPr>
          <w:rFonts w:ascii="Arial" w:hAnsi="Arial"/>
          <w:sz w:val="20"/>
          <w:szCs w:val="20"/>
        </w:rPr>
        <w:t xml:space="preserve"> | </w:t>
      </w:r>
      <w:hyperlink r:id="rId7" w:history="1">
        <w:r w:rsidRPr="00CD4617">
          <w:rPr>
            <w:rFonts w:ascii="Arial" w:hAnsi="Arial"/>
            <w:sz w:val="20"/>
            <w:szCs w:val="20"/>
          </w:rPr>
          <w:t>www.bpb.de</w:t>
        </w:r>
      </w:hyperlink>
    </w:p>
    <w:sectPr w:rsidR="004162AB" w:rsidRPr="00CD46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8"/>
    <w:rsid w:val="00024585"/>
    <w:rsid w:val="00041A52"/>
    <w:rsid w:val="00092CEA"/>
    <w:rsid w:val="000B0FF9"/>
    <w:rsid w:val="000D22EB"/>
    <w:rsid w:val="000D29B5"/>
    <w:rsid w:val="000E0331"/>
    <w:rsid w:val="0011728D"/>
    <w:rsid w:val="00123689"/>
    <w:rsid w:val="00132F90"/>
    <w:rsid w:val="0019385C"/>
    <w:rsid w:val="001973C8"/>
    <w:rsid w:val="001B315E"/>
    <w:rsid w:val="001C117E"/>
    <w:rsid w:val="001C47F8"/>
    <w:rsid w:val="001F417A"/>
    <w:rsid w:val="001F451E"/>
    <w:rsid w:val="0021311A"/>
    <w:rsid w:val="00277542"/>
    <w:rsid w:val="002924AD"/>
    <w:rsid w:val="002F3083"/>
    <w:rsid w:val="00335609"/>
    <w:rsid w:val="00340A67"/>
    <w:rsid w:val="00355CD6"/>
    <w:rsid w:val="00356A17"/>
    <w:rsid w:val="00361CDE"/>
    <w:rsid w:val="003667E9"/>
    <w:rsid w:val="003A07D4"/>
    <w:rsid w:val="003C4C9D"/>
    <w:rsid w:val="003E5F6C"/>
    <w:rsid w:val="003E67FE"/>
    <w:rsid w:val="004064B9"/>
    <w:rsid w:val="004146CC"/>
    <w:rsid w:val="004162AB"/>
    <w:rsid w:val="00423040"/>
    <w:rsid w:val="004657F5"/>
    <w:rsid w:val="004F0DB5"/>
    <w:rsid w:val="00523B09"/>
    <w:rsid w:val="00525006"/>
    <w:rsid w:val="0055353A"/>
    <w:rsid w:val="00583925"/>
    <w:rsid w:val="005D5184"/>
    <w:rsid w:val="00604726"/>
    <w:rsid w:val="0061200A"/>
    <w:rsid w:val="0061537D"/>
    <w:rsid w:val="00662A3C"/>
    <w:rsid w:val="00664746"/>
    <w:rsid w:val="0068627D"/>
    <w:rsid w:val="00695A85"/>
    <w:rsid w:val="006B2781"/>
    <w:rsid w:val="006D5C61"/>
    <w:rsid w:val="006D79F1"/>
    <w:rsid w:val="006F5348"/>
    <w:rsid w:val="006F5F77"/>
    <w:rsid w:val="007B1EA3"/>
    <w:rsid w:val="007C0C5E"/>
    <w:rsid w:val="007F0AC0"/>
    <w:rsid w:val="00836FDF"/>
    <w:rsid w:val="00837457"/>
    <w:rsid w:val="0086272C"/>
    <w:rsid w:val="00876F09"/>
    <w:rsid w:val="008B5FC2"/>
    <w:rsid w:val="008C31B3"/>
    <w:rsid w:val="008D1DAD"/>
    <w:rsid w:val="008D3646"/>
    <w:rsid w:val="009117C1"/>
    <w:rsid w:val="009230E2"/>
    <w:rsid w:val="00993E1F"/>
    <w:rsid w:val="009C18F4"/>
    <w:rsid w:val="009C3C4E"/>
    <w:rsid w:val="009E5B6D"/>
    <w:rsid w:val="009E6A02"/>
    <w:rsid w:val="009F18F6"/>
    <w:rsid w:val="009F60E8"/>
    <w:rsid w:val="009F666A"/>
    <w:rsid w:val="00A55DC5"/>
    <w:rsid w:val="00A866D6"/>
    <w:rsid w:val="00A9490A"/>
    <w:rsid w:val="00AB6A63"/>
    <w:rsid w:val="00AE4800"/>
    <w:rsid w:val="00AF6514"/>
    <w:rsid w:val="00B510F0"/>
    <w:rsid w:val="00B6124C"/>
    <w:rsid w:val="00B743BD"/>
    <w:rsid w:val="00B7611F"/>
    <w:rsid w:val="00B91700"/>
    <w:rsid w:val="00BB5520"/>
    <w:rsid w:val="00BD7D16"/>
    <w:rsid w:val="00BE455D"/>
    <w:rsid w:val="00BE590B"/>
    <w:rsid w:val="00C0651D"/>
    <w:rsid w:val="00C1241F"/>
    <w:rsid w:val="00C57CF9"/>
    <w:rsid w:val="00C82D68"/>
    <w:rsid w:val="00C95192"/>
    <w:rsid w:val="00CB597B"/>
    <w:rsid w:val="00CC5643"/>
    <w:rsid w:val="00CD4617"/>
    <w:rsid w:val="00CE5C8E"/>
    <w:rsid w:val="00CE747E"/>
    <w:rsid w:val="00D348D2"/>
    <w:rsid w:val="00D61C4E"/>
    <w:rsid w:val="00D82FE8"/>
    <w:rsid w:val="00DA69E0"/>
    <w:rsid w:val="00DB0346"/>
    <w:rsid w:val="00DB434B"/>
    <w:rsid w:val="00DC1F07"/>
    <w:rsid w:val="00E0180D"/>
    <w:rsid w:val="00E63C9F"/>
    <w:rsid w:val="00E73460"/>
    <w:rsid w:val="00E75771"/>
    <w:rsid w:val="00E925FF"/>
    <w:rsid w:val="00EF42D4"/>
    <w:rsid w:val="00F05FFA"/>
    <w:rsid w:val="00F06E14"/>
    <w:rsid w:val="00F26F5F"/>
    <w:rsid w:val="00F371C5"/>
    <w:rsid w:val="00F63A65"/>
    <w:rsid w:val="00F701AA"/>
    <w:rsid w:val="00F81E40"/>
    <w:rsid w:val="00F829C8"/>
    <w:rsid w:val="00F949C3"/>
    <w:rsid w:val="00FC0382"/>
    <w:rsid w:val="00FC7383"/>
    <w:rsid w:val="00FD4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0B0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 w:type="character" w:customStyle="1" w:styleId="berschrift2Zchn">
    <w:name w:val="Überschrift 2 Zchn"/>
    <w:basedOn w:val="Absatz-Standardschriftart"/>
    <w:link w:val="berschrift2"/>
    <w:uiPriority w:val="9"/>
    <w:semiHidden/>
    <w:rsid w:val="000B0FF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1F41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0B0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 w:type="character" w:customStyle="1" w:styleId="berschrift2Zchn">
    <w:name w:val="Überschrift 2 Zchn"/>
    <w:basedOn w:val="Absatz-Standardschriftart"/>
    <w:link w:val="berschrift2"/>
    <w:uiPriority w:val="9"/>
    <w:semiHidden/>
    <w:rsid w:val="000B0FF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1F4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8297">
      <w:bodyDiv w:val="1"/>
      <w:marLeft w:val="0"/>
      <w:marRight w:val="0"/>
      <w:marTop w:val="0"/>
      <w:marBottom w:val="0"/>
      <w:divBdr>
        <w:top w:val="none" w:sz="0" w:space="0" w:color="auto"/>
        <w:left w:val="none" w:sz="0" w:space="0" w:color="auto"/>
        <w:bottom w:val="none" w:sz="0" w:space="0" w:color="auto"/>
        <w:right w:val="none" w:sz="0" w:space="0" w:color="auto"/>
      </w:divBdr>
    </w:div>
    <w:div w:id="1652903236">
      <w:bodyDiv w:val="1"/>
      <w:marLeft w:val="0"/>
      <w:marRight w:val="0"/>
      <w:marTop w:val="0"/>
      <w:marBottom w:val="0"/>
      <w:divBdr>
        <w:top w:val="none" w:sz="0" w:space="0" w:color="auto"/>
        <w:left w:val="none" w:sz="0" w:space="0" w:color="auto"/>
        <w:bottom w:val="none" w:sz="0" w:space="0" w:color="auto"/>
        <w:right w:val="none" w:sz="0" w:space="0" w:color="auto"/>
      </w:divBdr>
    </w:div>
    <w:div w:id="2019380043">
      <w:bodyDiv w:val="1"/>
      <w:marLeft w:val="0"/>
      <w:marRight w:val="0"/>
      <w:marTop w:val="0"/>
      <w:marBottom w:val="0"/>
      <w:divBdr>
        <w:top w:val="none" w:sz="0" w:space="0" w:color="auto"/>
        <w:left w:val="none" w:sz="0" w:space="0" w:color="auto"/>
        <w:bottom w:val="none" w:sz="0" w:space="0" w:color="auto"/>
        <w:right w:val="none" w:sz="0" w:space="0" w:color="auto"/>
      </w:divBdr>
    </w:div>
    <w:div w:id="21473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7CFB-D727-4B78-B619-EAB4D094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6008</CharactersWithSpaces>
  <SharedDoc>false</SharedDoc>
  <HLinks>
    <vt:vector size="12" baseType="variant">
      <vt:variant>
        <vt:i4>6291563</vt:i4>
      </vt:variant>
      <vt:variant>
        <vt:i4>3</vt:i4>
      </vt:variant>
      <vt:variant>
        <vt:i4>0</vt:i4>
      </vt:variant>
      <vt:variant>
        <vt:i4>5</vt:i4>
      </vt:variant>
      <vt:variant>
        <vt:lpwstr>http://www.bpb.de/</vt:lpwstr>
      </vt:variant>
      <vt:variant>
        <vt:lpwstr/>
      </vt:variant>
      <vt:variant>
        <vt:i4>524300</vt:i4>
      </vt:variant>
      <vt:variant>
        <vt:i4>0</vt:i4>
      </vt:variant>
      <vt:variant>
        <vt:i4>0</vt:i4>
      </vt:variant>
      <vt:variant>
        <vt:i4>5</vt:i4>
      </vt:variant>
      <vt:variant>
        <vt:lpwstr>http://creativecommons.org/licenses/by-nc-nd/3.0/de/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3</cp:revision>
  <cp:lastPrinted>2006-05-26T22:48:00Z</cp:lastPrinted>
  <dcterms:created xsi:type="dcterms:W3CDTF">2019-10-16T12:05:00Z</dcterms:created>
  <dcterms:modified xsi:type="dcterms:W3CDTF">2019-10-16T12:06:00Z</dcterms:modified>
</cp:coreProperties>
</file>