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FECDB" w14:textId="09A2A5BC" w:rsidR="005977CE" w:rsidRPr="005977CE" w:rsidRDefault="005977CE" w:rsidP="005977CE">
      <w:pPr>
        <w:rPr>
          <w:rFonts w:ascii="Arial" w:hAnsi="Arial" w:cs="Arial"/>
          <w:b/>
          <w:color w:val="363636"/>
          <w:shd w:val="clear" w:color="auto" w:fill="FFFFFF"/>
        </w:rPr>
      </w:pPr>
      <w:r>
        <w:rPr>
          <w:rFonts w:ascii="Arial" w:hAnsi="Arial" w:cs="Arial"/>
          <w:b/>
          <w:color w:val="363636"/>
          <w:shd w:val="clear" w:color="auto" w:fill="FFFFFF"/>
        </w:rPr>
        <w:t>In der Europäischen Union sind immer mehr Menschen erwerbstätig</w:t>
      </w:r>
      <w:r w:rsidR="00800521">
        <w:rPr>
          <w:rFonts w:ascii="Arial" w:hAnsi="Arial" w:cs="Arial"/>
          <w:b/>
          <w:color w:val="363636"/>
          <w:shd w:val="clear" w:color="auto" w:fill="FFFFFF"/>
        </w:rPr>
        <w:t>, s</w:t>
      </w:r>
      <w:r>
        <w:rPr>
          <w:rFonts w:ascii="Arial" w:hAnsi="Arial" w:cs="Arial"/>
          <w:b/>
          <w:color w:val="363636"/>
          <w:shd w:val="clear" w:color="auto" w:fill="FFFFFF"/>
        </w:rPr>
        <w:t xml:space="preserve">eit Mitte der 1990er-Jahre hat ihr Anteil an der Bevölkerung deutlich zugenommen. </w:t>
      </w:r>
      <w:r w:rsidRPr="005977CE">
        <w:rPr>
          <w:rFonts w:ascii="Arial" w:hAnsi="Arial" w:cs="Arial"/>
          <w:b/>
          <w:color w:val="363636"/>
          <w:shd w:val="clear" w:color="auto" w:fill="FFFFFF"/>
        </w:rPr>
        <w:t xml:space="preserve">Im Jahr 2017 lag die Erwerbstätigenquote </w:t>
      </w:r>
      <w:r w:rsidR="00E5348F">
        <w:rPr>
          <w:rFonts w:ascii="Arial" w:hAnsi="Arial" w:cs="Arial"/>
          <w:b/>
          <w:color w:val="363636"/>
          <w:shd w:val="clear" w:color="auto" w:fill="FFFFFF"/>
        </w:rPr>
        <w:t xml:space="preserve">der </w:t>
      </w:r>
      <w:r w:rsidR="00E5348F" w:rsidRPr="00E5348F">
        <w:rPr>
          <w:rFonts w:ascii="Arial" w:hAnsi="Arial" w:cs="Arial"/>
          <w:b/>
          <w:color w:val="363636"/>
          <w:shd w:val="clear" w:color="auto" w:fill="FFFFFF"/>
        </w:rPr>
        <w:t xml:space="preserve">20- bis unter 65-Jährigen in </w:t>
      </w:r>
      <w:r w:rsidRPr="005977CE">
        <w:rPr>
          <w:rFonts w:ascii="Arial" w:hAnsi="Arial" w:cs="Arial"/>
          <w:b/>
          <w:color w:val="363636"/>
          <w:shd w:val="clear" w:color="auto" w:fill="FFFFFF"/>
        </w:rPr>
        <w:t xml:space="preserve">der EU-28 bei 72,2 Prozent – der höchste je in der EU </w:t>
      </w:r>
      <w:r>
        <w:rPr>
          <w:rFonts w:ascii="Arial" w:hAnsi="Arial" w:cs="Arial"/>
          <w:b/>
          <w:color w:val="363636"/>
          <w:shd w:val="clear" w:color="auto" w:fill="FFFFFF"/>
        </w:rPr>
        <w:t>verzeichnete Wert</w:t>
      </w:r>
      <w:r w:rsidRPr="005977CE">
        <w:rPr>
          <w:rFonts w:ascii="Arial" w:hAnsi="Arial" w:cs="Arial"/>
          <w:b/>
          <w:color w:val="363636"/>
          <w:shd w:val="clear" w:color="auto" w:fill="FFFFFF"/>
        </w:rPr>
        <w:t>.</w:t>
      </w:r>
      <w:r>
        <w:rPr>
          <w:rFonts w:ascii="Arial" w:hAnsi="Arial" w:cs="Arial"/>
          <w:b/>
          <w:color w:val="363636"/>
          <w:shd w:val="clear" w:color="auto" w:fill="FFFFFF"/>
        </w:rPr>
        <w:t xml:space="preserve"> Auffällig ist, dass </w:t>
      </w:r>
      <w:r w:rsidRPr="005977CE">
        <w:rPr>
          <w:rFonts w:ascii="Arial" w:hAnsi="Arial" w:cs="Arial"/>
          <w:b/>
          <w:color w:val="363636"/>
          <w:shd w:val="clear" w:color="auto" w:fill="FFFFFF"/>
        </w:rPr>
        <w:t>sich die Quoten der einzelnen EU-Mitglieder häufig in dieselbe Richtung</w:t>
      </w:r>
      <w:r>
        <w:rPr>
          <w:rFonts w:ascii="Arial" w:hAnsi="Arial" w:cs="Arial"/>
          <w:b/>
          <w:color w:val="363636"/>
          <w:shd w:val="clear" w:color="auto" w:fill="FFFFFF"/>
        </w:rPr>
        <w:t xml:space="preserve"> </w:t>
      </w:r>
      <w:r w:rsidRPr="005977CE">
        <w:rPr>
          <w:rFonts w:ascii="Arial" w:hAnsi="Arial" w:cs="Arial"/>
          <w:b/>
          <w:color w:val="363636"/>
          <w:shd w:val="clear" w:color="auto" w:fill="FFFFFF"/>
        </w:rPr>
        <w:t>entwickeln</w:t>
      </w:r>
      <w:r>
        <w:rPr>
          <w:rFonts w:ascii="Arial" w:hAnsi="Arial" w:cs="Arial"/>
          <w:b/>
          <w:color w:val="363636"/>
          <w:shd w:val="clear" w:color="auto" w:fill="FFFFFF"/>
        </w:rPr>
        <w:t xml:space="preserve"> – beispielsweise </w:t>
      </w:r>
      <w:r w:rsidRPr="005977CE">
        <w:rPr>
          <w:rFonts w:ascii="Arial" w:hAnsi="Arial" w:cs="Arial"/>
          <w:b/>
          <w:color w:val="363636"/>
          <w:shd w:val="clear" w:color="auto" w:fill="FFFFFF"/>
        </w:rPr>
        <w:t>erhöhte sich die Erwerbstätigenquote zwischen 2010 und 2017</w:t>
      </w:r>
      <w:r>
        <w:rPr>
          <w:rFonts w:ascii="Arial" w:hAnsi="Arial" w:cs="Arial"/>
          <w:b/>
          <w:color w:val="363636"/>
          <w:shd w:val="clear" w:color="auto" w:fill="FFFFFF"/>
        </w:rPr>
        <w:t xml:space="preserve"> i</w:t>
      </w:r>
      <w:r w:rsidRPr="005977CE">
        <w:rPr>
          <w:rFonts w:ascii="Arial" w:hAnsi="Arial" w:cs="Arial"/>
          <w:b/>
          <w:color w:val="363636"/>
          <w:shd w:val="clear" w:color="auto" w:fill="FFFFFF"/>
        </w:rPr>
        <w:t xml:space="preserve">n 26 der 28 </w:t>
      </w:r>
      <w:r>
        <w:rPr>
          <w:rFonts w:ascii="Arial" w:hAnsi="Arial" w:cs="Arial"/>
          <w:b/>
          <w:color w:val="363636"/>
          <w:shd w:val="clear" w:color="auto" w:fill="FFFFFF"/>
        </w:rPr>
        <w:t>S</w:t>
      </w:r>
      <w:r w:rsidRPr="005977CE">
        <w:rPr>
          <w:rFonts w:ascii="Arial" w:hAnsi="Arial" w:cs="Arial"/>
          <w:b/>
          <w:color w:val="363636"/>
          <w:shd w:val="clear" w:color="auto" w:fill="FFFFFF"/>
        </w:rPr>
        <w:t>taaten</w:t>
      </w:r>
      <w:r>
        <w:rPr>
          <w:rFonts w:ascii="Arial" w:hAnsi="Arial" w:cs="Arial"/>
          <w:b/>
          <w:color w:val="363636"/>
          <w:shd w:val="clear" w:color="auto" w:fill="FFFFFF"/>
        </w:rPr>
        <w:t xml:space="preserve">. </w:t>
      </w:r>
      <w:r w:rsidRPr="005977CE">
        <w:rPr>
          <w:rFonts w:ascii="Arial" w:hAnsi="Arial" w:cs="Arial"/>
          <w:b/>
          <w:color w:val="363636"/>
          <w:shd w:val="clear" w:color="auto" w:fill="FFFFFF"/>
        </w:rPr>
        <w:t xml:space="preserve">Allerdings </w:t>
      </w:r>
      <w:r>
        <w:rPr>
          <w:rFonts w:ascii="Arial" w:hAnsi="Arial" w:cs="Arial"/>
          <w:b/>
          <w:color w:val="363636"/>
          <w:shd w:val="clear" w:color="auto" w:fill="FFFFFF"/>
        </w:rPr>
        <w:t xml:space="preserve">gibt es dabei zwei Einschränkungen. Zum einen </w:t>
      </w:r>
      <w:r w:rsidR="00BE5400">
        <w:rPr>
          <w:rFonts w:ascii="Arial" w:hAnsi="Arial" w:cs="Arial"/>
          <w:b/>
          <w:color w:val="363636"/>
          <w:shd w:val="clear" w:color="auto" w:fill="FFFFFF"/>
        </w:rPr>
        <w:t>bewegen sich die Quoten auf unterschiedlichem Niveau</w:t>
      </w:r>
      <w:r w:rsidR="00800521">
        <w:rPr>
          <w:rFonts w:ascii="Arial" w:hAnsi="Arial" w:cs="Arial"/>
          <w:b/>
          <w:color w:val="363636"/>
          <w:shd w:val="clear" w:color="auto" w:fill="FFFFFF"/>
        </w:rPr>
        <w:t xml:space="preserve"> – 2017 lagen sie b</w:t>
      </w:r>
      <w:r w:rsidR="00BE5400">
        <w:rPr>
          <w:rFonts w:ascii="Arial" w:hAnsi="Arial" w:cs="Arial"/>
          <w:b/>
          <w:color w:val="363636"/>
          <w:shd w:val="clear" w:color="auto" w:fill="FFFFFF"/>
        </w:rPr>
        <w:t>is zu 20 Prozentpunkte</w:t>
      </w:r>
      <w:r w:rsidR="00800521">
        <w:rPr>
          <w:rFonts w:ascii="Arial" w:hAnsi="Arial" w:cs="Arial"/>
          <w:b/>
          <w:color w:val="363636"/>
          <w:shd w:val="clear" w:color="auto" w:fill="FFFFFF"/>
        </w:rPr>
        <w:t xml:space="preserve"> auseinander</w:t>
      </w:r>
      <w:r w:rsidR="00BE5400">
        <w:rPr>
          <w:rFonts w:ascii="Arial" w:hAnsi="Arial" w:cs="Arial"/>
          <w:b/>
          <w:color w:val="363636"/>
          <w:shd w:val="clear" w:color="auto" w:fill="FFFFFF"/>
        </w:rPr>
        <w:t>. Zum anderen u</w:t>
      </w:r>
      <w:r w:rsidRPr="005977CE">
        <w:rPr>
          <w:rFonts w:ascii="Arial" w:hAnsi="Arial" w:cs="Arial"/>
          <w:b/>
          <w:color w:val="363636"/>
          <w:shd w:val="clear" w:color="auto" w:fill="FFFFFF"/>
        </w:rPr>
        <w:t>nterscheide</w:t>
      </w:r>
      <w:r w:rsidR="00BE5400">
        <w:rPr>
          <w:rFonts w:ascii="Arial" w:hAnsi="Arial" w:cs="Arial"/>
          <w:b/>
          <w:color w:val="363636"/>
          <w:shd w:val="clear" w:color="auto" w:fill="FFFFFF"/>
        </w:rPr>
        <w:t>t</w:t>
      </w:r>
      <w:r w:rsidRPr="005977CE">
        <w:rPr>
          <w:rFonts w:ascii="Arial" w:hAnsi="Arial" w:cs="Arial"/>
          <w:b/>
          <w:color w:val="363636"/>
          <w:shd w:val="clear" w:color="auto" w:fill="FFFFFF"/>
        </w:rPr>
        <w:t xml:space="preserve"> </w:t>
      </w:r>
      <w:r w:rsidR="00BE5400">
        <w:rPr>
          <w:rFonts w:ascii="Arial" w:hAnsi="Arial" w:cs="Arial"/>
          <w:b/>
          <w:color w:val="363636"/>
          <w:shd w:val="clear" w:color="auto" w:fill="FFFFFF"/>
        </w:rPr>
        <w:t xml:space="preserve">sich </w:t>
      </w:r>
      <w:r w:rsidRPr="005977CE">
        <w:rPr>
          <w:rFonts w:ascii="Arial" w:hAnsi="Arial" w:cs="Arial"/>
          <w:b/>
          <w:color w:val="363636"/>
          <w:shd w:val="clear" w:color="auto" w:fill="FFFFFF"/>
        </w:rPr>
        <w:t>auch die Schwankungsbreite</w:t>
      </w:r>
      <w:r w:rsidR="00BE5400">
        <w:rPr>
          <w:rFonts w:ascii="Arial" w:hAnsi="Arial" w:cs="Arial"/>
          <w:b/>
          <w:color w:val="363636"/>
          <w:shd w:val="clear" w:color="auto" w:fill="FFFFFF"/>
        </w:rPr>
        <w:t xml:space="preserve"> – </w:t>
      </w:r>
      <w:r w:rsidR="00800521">
        <w:rPr>
          <w:rFonts w:ascii="Arial" w:hAnsi="Arial" w:cs="Arial"/>
          <w:b/>
          <w:color w:val="363636"/>
          <w:shd w:val="clear" w:color="auto" w:fill="FFFFFF"/>
        </w:rPr>
        <w:t xml:space="preserve">beispielsweise </w:t>
      </w:r>
      <w:r w:rsidR="00BE5400">
        <w:rPr>
          <w:rFonts w:ascii="Arial" w:hAnsi="Arial" w:cs="Arial"/>
          <w:b/>
          <w:color w:val="363636"/>
          <w:shd w:val="clear" w:color="auto" w:fill="FFFFFF"/>
        </w:rPr>
        <w:t xml:space="preserve">sind in Estland und Lettland die </w:t>
      </w:r>
      <w:r w:rsidR="00BE5400" w:rsidRPr="005977CE">
        <w:rPr>
          <w:rFonts w:ascii="Arial" w:hAnsi="Arial" w:cs="Arial"/>
          <w:b/>
          <w:color w:val="363636"/>
          <w:shd w:val="clear" w:color="auto" w:fill="FFFFFF"/>
        </w:rPr>
        <w:t>Erwerbstätigenquote</w:t>
      </w:r>
      <w:r w:rsidR="00BE5400">
        <w:rPr>
          <w:rFonts w:ascii="Arial" w:hAnsi="Arial" w:cs="Arial"/>
          <w:b/>
          <w:color w:val="363636"/>
          <w:shd w:val="clear" w:color="auto" w:fill="FFFFFF"/>
        </w:rPr>
        <w:t xml:space="preserve">n im Zuge der Krise </w:t>
      </w:r>
      <w:r w:rsidRPr="005977CE">
        <w:rPr>
          <w:rFonts w:ascii="Arial" w:hAnsi="Arial" w:cs="Arial"/>
          <w:b/>
          <w:color w:val="363636"/>
          <w:shd w:val="clear" w:color="auto" w:fill="FFFFFF"/>
        </w:rPr>
        <w:t>2008</w:t>
      </w:r>
      <w:r w:rsidR="00BE5400">
        <w:rPr>
          <w:rFonts w:ascii="Arial" w:hAnsi="Arial" w:cs="Arial"/>
          <w:b/>
          <w:color w:val="363636"/>
          <w:shd w:val="clear" w:color="auto" w:fill="FFFFFF"/>
        </w:rPr>
        <w:t xml:space="preserve">/2009 </w:t>
      </w:r>
      <w:r w:rsidRPr="005977CE">
        <w:rPr>
          <w:rFonts w:ascii="Arial" w:hAnsi="Arial" w:cs="Arial"/>
          <w:b/>
          <w:color w:val="363636"/>
          <w:shd w:val="clear" w:color="auto" w:fill="FFFFFF"/>
        </w:rPr>
        <w:t xml:space="preserve">um </w:t>
      </w:r>
      <w:r w:rsidR="00BE5400">
        <w:rPr>
          <w:rFonts w:ascii="Arial" w:hAnsi="Arial" w:cs="Arial"/>
          <w:b/>
          <w:color w:val="363636"/>
          <w:shd w:val="clear" w:color="auto" w:fill="FFFFFF"/>
        </w:rPr>
        <w:t>mehr als 10 Prozentpunkte gesunken und bis 2017 genauso stark wieder gestiegen</w:t>
      </w:r>
      <w:r w:rsidR="0095751B">
        <w:rPr>
          <w:rFonts w:ascii="Arial" w:hAnsi="Arial" w:cs="Arial"/>
          <w:b/>
          <w:color w:val="363636"/>
          <w:shd w:val="clear" w:color="auto" w:fill="FFFFFF"/>
        </w:rPr>
        <w:t>, in der E</w:t>
      </w:r>
      <w:r w:rsidR="00800521" w:rsidRPr="00800521">
        <w:rPr>
          <w:rFonts w:ascii="Arial" w:hAnsi="Arial" w:cs="Arial"/>
          <w:b/>
          <w:color w:val="363636"/>
          <w:shd w:val="clear" w:color="auto" w:fill="FFFFFF"/>
        </w:rPr>
        <w:t>U-28</w:t>
      </w:r>
      <w:r w:rsidR="0095751B">
        <w:rPr>
          <w:rFonts w:ascii="Arial" w:hAnsi="Arial" w:cs="Arial"/>
          <w:b/>
          <w:color w:val="363636"/>
          <w:shd w:val="clear" w:color="auto" w:fill="FFFFFF"/>
        </w:rPr>
        <w:t xml:space="preserve"> lagen die Werte bei </w:t>
      </w:r>
      <w:r w:rsidR="00800521" w:rsidRPr="00800521">
        <w:rPr>
          <w:rFonts w:ascii="Arial" w:hAnsi="Arial" w:cs="Arial"/>
          <w:b/>
          <w:color w:val="363636"/>
          <w:shd w:val="clear" w:color="auto" w:fill="FFFFFF"/>
        </w:rPr>
        <w:t>minus 1,7 bzw. plus 3,6 Prozent</w:t>
      </w:r>
      <w:r w:rsidR="0095751B">
        <w:rPr>
          <w:rFonts w:ascii="Arial" w:hAnsi="Arial" w:cs="Arial"/>
          <w:b/>
          <w:color w:val="363636"/>
          <w:shd w:val="clear" w:color="auto" w:fill="FFFFFF"/>
        </w:rPr>
        <w:t>punkten</w:t>
      </w:r>
      <w:r w:rsidRPr="005977CE">
        <w:rPr>
          <w:rFonts w:ascii="Arial" w:hAnsi="Arial" w:cs="Arial"/>
          <w:b/>
          <w:color w:val="363636"/>
          <w:shd w:val="clear" w:color="auto" w:fill="FFFFFF"/>
        </w:rPr>
        <w:t>.</w:t>
      </w:r>
    </w:p>
    <w:p w14:paraId="70A69CBB" w14:textId="77777777" w:rsidR="005B11AC" w:rsidRPr="005977CE" w:rsidRDefault="005B11AC">
      <w:pPr>
        <w:rPr>
          <w:rStyle w:val="Absatz-Standardschriftart1"/>
          <w:rFonts w:ascii="Arial" w:hAnsi="Arial"/>
          <w:b/>
          <w:color w:val="FF0000"/>
        </w:rPr>
      </w:pPr>
    </w:p>
    <w:p w14:paraId="2E19F284" w14:textId="34798340" w:rsidR="00192110" w:rsidRPr="00192110" w:rsidRDefault="005E1DB7">
      <w:r w:rsidRPr="00345F0E">
        <w:rPr>
          <w:rStyle w:val="Absatz-Standardschriftart1"/>
          <w:rFonts w:ascii="Arial" w:hAnsi="Arial"/>
          <w:color w:val="FF0000"/>
        </w:rPr>
        <w:t>Fakten</w:t>
      </w:r>
    </w:p>
    <w:p w14:paraId="34AD0B29" w14:textId="77777777" w:rsidR="00192110" w:rsidRDefault="00192110" w:rsidP="000276F6">
      <w:pPr>
        <w:rPr>
          <w:rFonts w:ascii="Arial" w:hAnsi="Arial" w:cs="Arial"/>
          <w:color w:val="363636"/>
          <w:shd w:val="clear" w:color="auto" w:fill="FFFFFF"/>
        </w:rPr>
      </w:pPr>
    </w:p>
    <w:p w14:paraId="026DD024" w14:textId="1486053A" w:rsidR="004A7A49" w:rsidRPr="005C4460" w:rsidRDefault="004A7A49" w:rsidP="002C4087">
      <w:pPr>
        <w:rPr>
          <w:rFonts w:ascii="Arial" w:hAnsi="Arial" w:cs="Arial"/>
          <w:color w:val="363636"/>
          <w:shd w:val="clear" w:color="auto" w:fill="FFFFFF"/>
        </w:rPr>
      </w:pPr>
      <w:r w:rsidRPr="004A7A49">
        <w:rPr>
          <w:rFonts w:ascii="Arial" w:hAnsi="Arial" w:cs="Arial"/>
          <w:color w:val="363636"/>
          <w:shd w:val="clear" w:color="auto" w:fill="FFFFFF"/>
        </w:rPr>
        <w:t>Bis zur globale</w:t>
      </w:r>
      <w:r>
        <w:rPr>
          <w:rFonts w:ascii="Arial" w:hAnsi="Arial" w:cs="Arial"/>
          <w:color w:val="363636"/>
          <w:shd w:val="clear" w:color="auto" w:fill="FFFFFF"/>
        </w:rPr>
        <w:t>n</w:t>
      </w:r>
      <w:r w:rsidRPr="004A7A49">
        <w:rPr>
          <w:rFonts w:ascii="Arial" w:hAnsi="Arial" w:cs="Arial"/>
          <w:color w:val="363636"/>
          <w:shd w:val="clear" w:color="auto" w:fill="FFFFFF"/>
        </w:rPr>
        <w:t xml:space="preserve"> Finanz- und Wirtschaftskrise 2008/2009 war die </w:t>
      </w:r>
      <w:r w:rsidR="002402A0" w:rsidRPr="004A7A49">
        <w:rPr>
          <w:rFonts w:ascii="Arial" w:hAnsi="Arial" w:cs="Arial"/>
          <w:color w:val="363636"/>
          <w:shd w:val="clear" w:color="auto" w:fill="FFFFFF"/>
        </w:rPr>
        <w:t>Erwerbstätigenquote</w:t>
      </w:r>
      <w:r w:rsidRPr="004A7A49">
        <w:rPr>
          <w:rFonts w:ascii="Arial" w:hAnsi="Arial" w:cs="Arial"/>
          <w:color w:val="363636"/>
          <w:shd w:val="clear" w:color="auto" w:fill="FFFFFF"/>
        </w:rPr>
        <w:t xml:space="preserve"> </w:t>
      </w:r>
      <w:r w:rsidR="00E5348F">
        <w:rPr>
          <w:rFonts w:ascii="Arial" w:hAnsi="Arial" w:cs="Arial"/>
          <w:color w:val="363636"/>
          <w:shd w:val="clear" w:color="auto" w:fill="FFFFFF"/>
        </w:rPr>
        <w:t xml:space="preserve">der </w:t>
      </w:r>
      <w:r w:rsidR="00E5348F" w:rsidRPr="002B7E12">
        <w:rPr>
          <w:rFonts w:ascii="Arial" w:hAnsi="Arial" w:cs="Arial"/>
          <w:color w:val="363636"/>
          <w:shd w:val="clear" w:color="auto" w:fill="FFFFFF"/>
        </w:rPr>
        <w:t xml:space="preserve">20- bis unter 65-Jährigen </w:t>
      </w:r>
      <w:r w:rsidR="00E5348F">
        <w:rPr>
          <w:rFonts w:ascii="Arial" w:hAnsi="Arial" w:cs="Arial"/>
          <w:color w:val="363636"/>
          <w:shd w:val="clear" w:color="auto" w:fill="FFFFFF"/>
        </w:rPr>
        <w:t xml:space="preserve">in </w:t>
      </w:r>
      <w:r w:rsidRPr="004A7A49">
        <w:rPr>
          <w:rFonts w:ascii="Arial" w:hAnsi="Arial" w:cs="Arial"/>
          <w:color w:val="363636"/>
          <w:shd w:val="clear" w:color="auto" w:fill="FFFFFF"/>
        </w:rPr>
        <w:t>der Europäischen Union (EU) zehn Jahre lang gestiegen. Zwischen 2008 und 2013 fiel die Quote der 28 EU-Mitgliedstaaten jedoch von 70,3 auf 68,4 Prozent.</w:t>
      </w:r>
      <w:r w:rsidR="00085B81">
        <w:rPr>
          <w:rFonts w:ascii="Arial" w:hAnsi="Arial" w:cs="Arial"/>
          <w:color w:val="363636"/>
          <w:shd w:val="clear" w:color="auto" w:fill="FFFFFF"/>
        </w:rPr>
        <w:t xml:space="preserve"> </w:t>
      </w:r>
      <w:r w:rsidR="002F3779" w:rsidRPr="005C4460">
        <w:rPr>
          <w:rFonts w:ascii="Arial" w:hAnsi="Arial" w:cs="Arial"/>
          <w:color w:val="363636"/>
          <w:shd w:val="clear" w:color="auto" w:fill="FFFFFF"/>
        </w:rPr>
        <w:t>Im Jahr 201</w:t>
      </w:r>
      <w:r w:rsidRPr="005C4460">
        <w:rPr>
          <w:rFonts w:ascii="Arial" w:hAnsi="Arial" w:cs="Arial"/>
          <w:color w:val="363636"/>
          <w:shd w:val="clear" w:color="auto" w:fill="FFFFFF"/>
        </w:rPr>
        <w:t>7</w:t>
      </w:r>
      <w:r w:rsidR="002F3779" w:rsidRPr="005C4460">
        <w:rPr>
          <w:rFonts w:ascii="Arial" w:hAnsi="Arial" w:cs="Arial"/>
          <w:color w:val="363636"/>
          <w:shd w:val="clear" w:color="auto" w:fill="FFFFFF"/>
        </w:rPr>
        <w:t xml:space="preserve"> </w:t>
      </w:r>
      <w:r w:rsidRPr="005C4460">
        <w:rPr>
          <w:rFonts w:ascii="Arial" w:hAnsi="Arial" w:cs="Arial"/>
          <w:color w:val="363636"/>
          <w:shd w:val="clear" w:color="auto" w:fill="FFFFFF"/>
        </w:rPr>
        <w:t xml:space="preserve">lag die </w:t>
      </w:r>
      <w:r w:rsidRPr="004A7A49">
        <w:rPr>
          <w:rFonts w:ascii="Arial" w:hAnsi="Arial" w:cs="Arial"/>
          <w:color w:val="363636"/>
          <w:shd w:val="clear" w:color="auto" w:fill="FFFFFF"/>
        </w:rPr>
        <w:t xml:space="preserve">Erwerbstätigenquote </w:t>
      </w:r>
      <w:r>
        <w:rPr>
          <w:rFonts w:ascii="Arial" w:hAnsi="Arial" w:cs="Arial"/>
          <w:color w:val="363636"/>
          <w:shd w:val="clear" w:color="auto" w:fill="FFFFFF"/>
        </w:rPr>
        <w:t>der EU-28 bei 72,</w:t>
      </w:r>
      <w:r w:rsidR="009713C5">
        <w:rPr>
          <w:rFonts w:ascii="Arial" w:hAnsi="Arial" w:cs="Arial"/>
          <w:color w:val="363636"/>
          <w:shd w:val="clear" w:color="auto" w:fill="FFFFFF"/>
        </w:rPr>
        <w:t>2</w:t>
      </w:r>
      <w:r>
        <w:rPr>
          <w:rFonts w:ascii="Arial" w:hAnsi="Arial" w:cs="Arial"/>
          <w:color w:val="363636"/>
          <w:shd w:val="clear" w:color="auto" w:fill="FFFFFF"/>
        </w:rPr>
        <w:t xml:space="preserve"> Prozent </w:t>
      </w:r>
      <w:r w:rsidR="005C4460" w:rsidRPr="005C4460">
        <w:rPr>
          <w:rFonts w:ascii="Arial" w:hAnsi="Arial" w:cs="Arial"/>
          <w:color w:val="363636"/>
          <w:shd w:val="clear" w:color="auto" w:fill="FFFFFF"/>
        </w:rPr>
        <w:t xml:space="preserve">– der </w:t>
      </w:r>
      <w:r w:rsidR="002F3779" w:rsidRPr="005C4460">
        <w:rPr>
          <w:rFonts w:ascii="Arial" w:hAnsi="Arial" w:cs="Arial"/>
          <w:color w:val="363636"/>
          <w:shd w:val="clear" w:color="auto" w:fill="FFFFFF"/>
        </w:rPr>
        <w:t>höchste je in der EU verzeichnete jährliche Durchschnitt.</w:t>
      </w:r>
    </w:p>
    <w:p w14:paraId="43B8A8C3" w14:textId="77777777" w:rsidR="004A7A49" w:rsidRPr="00C970B8" w:rsidRDefault="004A7A49" w:rsidP="002C4087">
      <w:pPr>
        <w:rPr>
          <w:rFonts w:ascii="Arial" w:hAnsi="Arial" w:cs="Arial"/>
          <w:color w:val="363636"/>
          <w:shd w:val="clear" w:color="auto" w:fill="FFFFFF"/>
        </w:rPr>
      </w:pPr>
    </w:p>
    <w:p w14:paraId="72A96BD4" w14:textId="230EE99D" w:rsidR="00C970B8" w:rsidRDefault="00F60AC2" w:rsidP="002C4087">
      <w:pPr>
        <w:rPr>
          <w:rFonts w:ascii="Arial" w:hAnsi="Arial" w:cs="Arial"/>
          <w:color w:val="363636"/>
          <w:shd w:val="clear" w:color="auto" w:fill="FFFFFF"/>
        </w:rPr>
      </w:pPr>
      <w:r>
        <w:rPr>
          <w:rFonts w:ascii="Arial" w:hAnsi="Arial" w:cs="Arial"/>
          <w:color w:val="363636"/>
          <w:shd w:val="clear" w:color="auto" w:fill="FFFFFF"/>
        </w:rPr>
        <w:t>Allerdings weichen s</w:t>
      </w:r>
      <w:r w:rsidR="00C970B8" w:rsidRPr="00C970B8">
        <w:rPr>
          <w:rFonts w:ascii="Arial" w:hAnsi="Arial" w:cs="Arial"/>
          <w:color w:val="363636"/>
          <w:shd w:val="clear" w:color="auto" w:fill="FFFFFF"/>
        </w:rPr>
        <w:t>owohl die Werte der einzelnen EU-Mitgliedstaaten als auch die der weiteren europäischen Staaten, für die Eurostat Daten zur Verfügung stellt,</w:t>
      </w:r>
      <w:r>
        <w:rPr>
          <w:rFonts w:ascii="Arial" w:hAnsi="Arial" w:cs="Arial"/>
          <w:color w:val="363636"/>
          <w:shd w:val="clear" w:color="auto" w:fill="FFFFFF"/>
        </w:rPr>
        <w:t xml:space="preserve"> zum Teil </w:t>
      </w:r>
      <w:r w:rsidR="00C970B8" w:rsidRPr="00C970B8">
        <w:rPr>
          <w:rFonts w:ascii="Arial" w:hAnsi="Arial" w:cs="Arial"/>
          <w:color w:val="363636"/>
          <w:shd w:val="clear" w:color="auto" w:fill="FFFFFF"/>
        </w:rPr>
        <w:t>erheblich vo</w:t>
      </w:r>
      <w:r>
        <w:rPr>
          <w:rFonts w:ascii="Arial" w:hAnsi="Arial" w:cs="Arial"/>
          <w:color w:val="363636"/>
          <w:shd w:val="clear" w:color="auto" w:fill="FFFFFF"/>
        </w:rPr>
        <w:t>m EU-Durchschnitt</w:t>
      </w:r>
      <w:r w:rsidR="00C970B8" w:rsidRPr="00C970B8">
        <w:rPr>
          <w:rFonts w:ascii="Arial" w:hAnsi="Arial" w:cs="Arial"/>
          <w:color w:val="363636"/>
          <w:shd w:val="clear" w:color="auto" w:fill="FFFFFF"/>
        </w:rPr>
        <w:t xml:space="preserve"> ab</w:t>
      </w:r>
      <w:r>
        <w:rPr>
          <w:rFonts w:ascii="Arial" w:hAnsi="Arial" w:cs="Arial"/>
          <w:color w:val="363636"/>
          <w:shd w:val="clear" w:color="auto" w:fill="FFFFFF"/>
        </w:rPr>
        <w:t>:</w:t>
      </w:r>
      <w:r w:rsidR="00C970B8">
        <w:rPr>
          <w:rFonts w:ascii="Arial" w:hAnsi="Arial" w:cs="Arial"/>
          <w:color w:val="363636"/>
          <w:shd w:val="clear" w:color="auto" w:fill="FFFFFF"/>
        </w:rPr>
        <w:t xml:space="preserve"> </w:t>
      </w:r>
      <w:r w:rsidR="00C970B8" w:rsidRPr="00C970B8">
        <w:rPr>
          <w:rFonts w:ascii="Arial" w:hAnsi="Arial" w:cs="Arial"/>
          <w:color w:val="363636"/>
          <w:shd w:val="clear" w:color="auto" w:fill="FFFFFF"/>
        </w:rPr>
        <w:t xml:space="preserve">In drei Staaten lag die </w:t>
      </w:r>
      <w:r w:rsidR="00C970B8" w:rsidRPr="004A7A49">
        <w:rPr>
          <w:rFonts w:ascii="Arial" w:hAnsi="Arial" w:cs="Arial"/>
          <w:color w:val="363636"/>
          <w:shd w:val="clear" w:color="auto" w:fill="FFFFFF"/>
        </w:rPr>
        <w:t>Erwerbstätigenquote</w:t>
      </w:r>
      <w:r w:rsidR="00E5348F">
        <w:rPr>
          <w:rFonts w:ascii="Arial" w:hAnsi="Arial" w:cs="Arial"/>
          <w:color w:val="363636"/>
          <w:shd w:val="clear" w:color="auto" w:fill="FFFFFF"/>
        </w:rPr>
        <w:t xml:space="preserve"> der </w:t>
      </w:r>
      <w:r w:rsidR="00E5348F" w:rsidRPr="002B7E12">
        <w:rPr>
          <w:rFonts w:ascii="Arial" w:hAnsi="Arial" w:cs="Arial"/>
          <w:color w:val="363636"/>
          <w:shd w:val="clear" w:color="auto" w:fill="FFFFFF"/>
        </w:rPr>
        <w:t xml:space="preserve">20- bis unter 65-Jährigen </w:t>
      </w:r>
      <w:r w:rsidR="00C970B8" w:rsidRPr="00C970B8">
        <w:rPr>
          <w:rFonts w:ascii="Arial" w:hAnsi="Arial" w:cs="Arial"/>
          <w:color w:val="363636"/>
          <w:shd w:val="clear" w:color="auto" w:fill="FFFFFF"/>
        </w:rPr>
        <w:t>im Jahr 2017 bei mehr als 80 Prozent</w:t>
      </w:r>
      <w:r>
        <w:rPr>
          <w:rFonts w:ascii="Arial" w:hAnsi="Arial" w:cs="Arial"/>
          <w:color w:val="363636"/>
          <w:shd w:val="clear" w:color="auto" w:fill="FFFFFF"/>
        </w:rPr>
        <w:t xml:space="preserve"> – i</w:t>
      </w:r>
      <w:r w:rsidR="00C970B8" w:rsidRPr="00C970B8">
        <w:rPr>
          <w:rFonts w:ascii="Arial" w:hAnsi="Arial" w:cs="Arial"/>
          <w:color w:val="363636"/>
          <w:shd w:val="clear" w:color="auto" w:fill="FFFFFF"/>
        </w:rPr>
        <w:t>n dem EU-Mitglied Schweden (81,8 Prozent) sowie in Island (87,6 Prozent) und der Schweiz (82,1 Prozent).</w:t>
      </w:r>
      <w:r w:rsidR="00C970B8">
        <w:rPr>
          <w:rFonts w:ascii="Arial" w:hAnsi="Arial" w:cs="Arial"/>
          <w:color w:val="363636"/>
          <w:shd w:val="clear" w:color="auto" w:fill="FFFFFF"/>
        </w:rPr>
        <w:t xml:space="preserve"> </w:t>
      </w:r>
      <w:r w:rsidR="000D2D97">
        <w:rPr>
          <w:rFonts w:ascii="Arial" w:hAnsi="Arial" w:cs="Arial"/>
          <w:color w:val="363636"/>
          <w:shd w:val="clear" w:color="auto" w:fill="FFFFFF"/>
        </w:rPr>
        <w:t xml:space="preserve">Darauf folgten </w:t>
      </w:r>
      <w:r w:rsidR="00C970B8" w:rsidRPr="00C970B8">
        <w:rPr>
          <w:rFonts w:ascii="Arial" w:hAnsi="Arial" w:cs="Arial"/>
          <w:color w:val="363636"/>
          <w:shd w:val="clear" w:color="auto" w:fill="FFFFFF"/>
        </w:rPr>
        <w:t>Deutschland (79,2 Prozent), Estland (78,7 Prozent), Tschechien (78,5 Prozent), Norwegen (78,3 Prozent), d</w:t>
      </w:r>
      <w:r w:rsidR="00123C03">
        <w:rPr>
          <w:rFonts w:ascii="Arial" w:hAnsi="Arial" w:cs="Arial"/>
          <w:color w:val="363636"/>
          <w:shd w:val="clear" w:color="auto" w:fill="FFFFFF"/>
        </w:rPr>
        <w:t>as V</w:t>
      </w:r>
      <w:r w:rsidR="00C970B8" w:rsidRPr="00C970B8">
        <w:rPr>
          <w:rFonts w:ascii="Arial" w:hAnsi="Arial" w:cs="Arial"/>
          <w:color w:val="363636"/>
          <w:shd w:val="clear" w:color="auto" w:fill="FFFFFF"/>
        </w:rPr>
        <w:t>ereinigte Königreich (78,2 Prozent) und d</w:t>
      </w:r>
      <w:r w:rsidR="00123C03">
        <w:rPr>
          <w:rFonts w:ascii="Arial" w:hAnsi="Arial" w:cs="Arial"/>
          <w:color w:val="363636"/>
          <w:shd w:val="clear" w:color="auto" w:fill="FFFFFF"/>
        </w:rPr>
        <w:t>ie</w:t>
      </w:r>
      <w:r w:rsidR="00C970B8" w:rsidRPr="00C970B8">
        <w:rPr>
          <w:rFonts w:ascii="Arial" w:hAnsi="Arial" w:cs="Arial"/>
          <w:color w:val="363636"/>
          <w:shd w:val="clear" w:color="auto" w:fill="FFFFFF"/>
        </w:rPr>
        <w:t xml:space="preserve"> Niederlande (78,0 Prozent).</w:t>
      </w:r>
      <w:r w:rsidR="00085B81">
        <w:rPr>
          <w:rFonts w:ascii="Arial" w:hAnsi="Arial" w:cs="Arial"/>
          <w:color w:val="363636"/>
          <w:shd w:val="clear" w:color="auto" w:fill="FFFFFF"/>
        </w:rPr>
        <w:t xml:space="preserve"> </w:t>
      </w:r>
      <w:r w:rsidR="00C970B8" w:rsidRPr="008D01FA">
        <w:rPr>
          <w:rFonts w:ascii="Arial" w:hAnsi="Arial" w:cs="Arial"/>
          <w:color w:val="363636"/>
          <w:shd w:val="clear" w:color="auto" w:fill="FFFFFF"/>
        </w:rPr>
        <w:t>Auf der anderen Seite der Skala standen 201</w:t>
      </w:r>
      <w:r w:rsidR="008D01FA" w:rsidRPr="008D01FA">
        <w:rPr>
          <w:rFonts w:ascii="Arial" w:hAnsi="Arial" w:cs="Arial"/>
          <w:color w:val="363636"/>
          <w:shd w:val="clear" w:color="auto" w:fill="FFFFFF"/>
        </w:rPr>
        <w:t>7</w:t>
      </w:r>
      <w:r w:rsidR="00C970B8" w:rsidRPr="008D01FA">
        <w:rPr>
          <w:rFonts w:ascii="Arial" w:hAnsi="Arial" w:cs="Arial"/>
          <w:color w:val="363636"/>
          <w:shd w:val="clear" w:color="auto" w:fill="FFFFFF"/>
        </w:rPr>
        <w:t xml:space="preserve"> </w:t>
      </w:r>
      <w:r w:rsidR="008D01FA">
        <w:rPr>
          <w:rFonts w:ascii="Arial" w:hAnsi="Arial" w:cs="Arial"/>
          <w:color w:val="363636"/>
          <w:shd w:val="clear" w:color="auto" w:fill="FFFFFF"/>
        </w:rPr>
        <w:t xml:space="preserve">neben </w:t>
      </w:r>
      <w:r w:rsidR="00C970B8" w:rsidRPr="008D01FA">
        <w:rPr>
          <w:rFonts w:ascii="Arial" w:hAnsi="Arial" w:cs="Arial"/>
          <w:color w:val="363636"/>
          <w:shd w:val="clear" w:color="auto" w:fill="FFFFFF"/>
        </w:rPr>
        <w:t>Mazedonien (</w:t>
      </w:r>
      <w:r w:rsidR="008D01FA" w:rsidRPr="008D01FA">
        <w:rPr>
          <w:rFonts w:ascii="Arial" w:hAnsi="Arial" w:cs="Arial"/>
          <w:color w:val="363636"/>
          <w:shd w:val="clear" w:color="auto" w:fill="FFFFFF"/>
        </w:rPr>
        <w:t>54</w:t>
      </w:r>
      <w:r w:rsidR="00C970B8" w:rsidRPr="008D01FA">
        <w:rPr>
          <w:rFonts w:ascii="Arial" w:hAnsi="Arial" w:cs="Arial"/>
          <w:color w:val="363636"/>
          <w:shd w:val="clear" w:color="auto" w:fill="FFFFFF"/>
        </w:rPr>
        <w:t>,</w:t>
      </w:r>
      <w:r w:rsidR="008D01FA" w:rsidRPr="008D01FA">
        <w:rPr>
          <w:rFonts w:ascii="Arial" w:hAnsi="Arial" w:cs="Arial"/>
          <w:color w:val="363636"/>
          <w:shd w:val="clear" w:color="auto" w:fill="FFFFFF"/>
        </w:rPr>
        <w:t>8</w:t>
      </w:r>
      <w:r w:rsidR="00C970B8" w:rsidRPr="008D01FA">
        <w:rPr>
          <w:rFonts w:ascii="Arial" w:hAnsi="Arial" w:cs="Arial"/>
          <w:color w:val="363636"/>
          <w:shd w:val="clear" w:color="auto" w:fill="FFFFFF"/>
        </w:rPr>
        <w:t xml:space="preserve"> Prozent</w:t>
      </w:r>
      <w:r w:rsidR="008D01FA">
        <w:rPr>
          <w:rFonts w:ascii="Arial" w:hAnsi="Arial" w:cs="Arial"/>
          <w:color w:val="363636"/>
          <w:shd w:val="clear" w:color="auto" w:fill="FFFFFF"/>
        </w:rPr>
        <w:t>)</w:t>
      </w:r>
      <w:r w:rsidR="00C970B8" w:rsidRPr="008D01FA">
        <w:rPr>
          <w:rFonts w:ascii="Arial" w:hAnsi="Arial" w:cs="Arial"/>
          <w:color w:val="363636"/>
          <w:shd w:val="clear" w:color="auto" w:fill="FFFFFF"/>
        </w:rPr>
        <w:t>,</w:t>
      </w:r>
      <w:r w:rsidR="008D01FA">
        <w:rPr>
          <w:rFonts w:ascii="Arial" w:hAnsi="Arial" w:cs="Arial"/>
          <w:color w:val="363636"/>
          <w:shd w:val="clear" w:color="auto" w:fill="FFFFFF"/>
        </w:rPr>
        <w:t xml:space="preserve"> der </w:t>
      </w:r>
      <w:r w:rsidR="00C970B8" w:rsidRPr="008D01FA">
        <w:rPr>
          <w:rFonts w:ascii="Arial" w:hAnsi="Arial" w:cs="Arial"/>
          <w:color w:val="363636"/>
          <w:shd w:val="clear" w:color="auto" w:fill="FFFFFF"/>
        </w:rPr>
        <w:t>Türkei (</w:t>
      </w:r>
      <w:r w:rsidR="008D01FA" w:rsidRPr="008D01FA">
        <w:rPr>
          <w:rFonts w:ascii="Arial" w:hAnsi="Arial" w:cs="Arial"/>
          <w:color w:val="363636"/>
          <w:shd w:val="clear" w:color="auto" w:fill="FFFFFF"/>
        </w:rPr>
        <w:t>55</w:t>
      </w:r>
      <w:r w:rsidR="00C970B8" w:rsidRPr="008D01FA">
        <w:rPr>
          <w:rFonts w:ascii="Arial" w:hAnsi="Arial" w:cs="Arial"/>
          <w:color w:val="363636"/>
          <w:shd w:val="clear" w:color="auto" w:fill="FFFFFF"/>
        </w:rPr>
        <w:t>,3 Prozent)</w:t>
      </w:r>
      <w:r w:rsidR="008D01FA">
        <w:rPr>
          <w:rFonts w:ascii="Arial" w:hAnsi="Arial" w:cs="Arial"/>
          <w:color w:val="363636"/>
          <w:shd w:val="clear" w:color="auto" w:fill="FFFFFF"/>
        </w:rPr>
        <w:t xml:space="preserve"> </w:t>
      </w:r>
      <w:r w:rsidR="008D01FA" w:rsidRPr="008D01FA">
        <w:rPr>
          <w:rFonts w:ascii="Arial" w:hAnsi="Arial" w:cs="Arial"/>
          <w:color w:val="363636"/>
          <w:shd w:val="clear" w:color="auto" w:fill="FFFFFF"/>
        </w:rPr>
        <w:t>und Montenegro (</w:t>
      </w:r>
      <w:r w:rsidR="00C970B8" w:rsidRPr="008D01FA">
        <w:rPr>
          <w:rFonts w:ascii="Arial" w:hAnsi="Arial" w:cs="Arial"/>
          <w:color w:val="363636"/>
          <w:shd w:val="clear" w:color="auto" w:fill="FFFFFF"/>
        </w:rPr>
        <w:t>5</w:t>
      </w:r>
      <w:r w:rsidR="008D01FA" w:rsidRPr="008D01FA">
        <w:rPr>
          <w:rFonts w:ascii="Arial" w:hAnsi="Arial" w:cs="Arial"/>
          <w:color w:val="363636"/>
          <w:shd w:val="clear" w:color="auto" w:fill="FFFFFF"/>
        </w:rPr>
        <w:t>8</w:t>
      </w:r>
      <w:r w:rsidR="00C970B8" w:rsidRPr="008D01FA">
        <w:rPr>
          <w:rFonts w:ascii="Arial" w:hAnsi="Arial" w:cs="Arial"/>
          <w:color w:val="363636"/>
          <w:shd w:val="clear" w:color="auto" w:fill="FFFFFF"/>
        </w:rPr>
        <w:t>,</w:t>
      </w:r>
      <w:r w:rsidR="008D01FA" w:rsidRPr="008D01FA">
        <w:rPr>
          <w:rFonts w:ascii="Arial" w:hAnsi="Arial" w:cs="Arial"/>
          <w:color w:val="363636"/>
          <w:shd w:val="clear" w:color="auto" w:fill="FFFFFF"/>
        </w:rPr>
        <w:t>2</w:t>
      </w:r>
      <w:r w:rsidR="00C970B8" w:rsidRPr="008D01FA">
        <w:rPr>
          <w:rFonts w:ascii="Arial" w:hAnsi="Arial" w:cs="Arial"/>
          <w:color w:val="363636"/>
          <w:shd w:val="clear" w:color="auto" w:fill="FFFFFF"/>
        </w:rPr>
        <w:t xml:space="preserve"> Prozent)</w:t>
      </w:r>
      <w:r w:rsidR="008D01FA">
        <w:rPr>
          <w:rFonts w:ascii="Arial" w:hAnsi="Arial" w:cs="Arial"/>
          <w:color w:val="363636"/>
          <w:shd w:val="clear" w:color="auto" w:fill="FFFFFF"/>
        </w:rPr>
        <w:t xml:space="preserve"> die EU-Staaten G</w:t>
      </w:r>
      <w:r w:rsidR="008D01FA" w:rsidRPr="008D01FA">
        <w:rPr>
          <w:rFonts w:ascii="Arial" w:hAnsi="Arial" w:cs="Arial"/>
          <w:color w:val="363636"/>
          <w:shd w:val="clear" w:color="auto" w:fill="FFFFFF"/>
        </w:rPr>
        <w:t>riechenland (57,8 Prozen</w:t>
      </w:r>
      <w:r w:rsidR="008D01FA">
        <w:rPr>
          <w:rFonts w:ascii="Arial" w:hAnsi="Arial" w:cs="Arial"/>
          <w:color w:val="363636"/>
          <w:shd w:val="clear" w:color="auto" w:fill="FFFFFF"/>
        </w:rPr>
        <w:t>t</w:t>
      </w:r>
      <w:r w:rsidR="008D01FA" w:rsidRPr="008D01FA">
        <w:rPr>
          <w:rFonts w:ascii="Arial" w:hAnsi="Arial" w:cs="Arial"/>
          <w:color w:val="363636"/>
          <w:shd w:val="clear" w:color="auto" w:fill="FFFFFF"/>
        </w:rPr>
        <w:t>)</w:t>
      </w:r>
      <w:r w:rsidR="008D01FA">
        <w:rPr>
          <w:rFonts w:ascii="Arial" w:hAnsi="Arial" w:cs="Arial"/>
          <w:color w:val="363636"/>
          <w:shd w:val="clear" w:color="auto" w:fill="FFFFFF"/>
        </w:rPr>
        <w:t xml:space="preserve">, Italien (62,3 Prozent) und Kroatien (63,6 Prozent). In </w:t>
      </w:r>
      <w:r w:rsidR="008D01FA" w:rsidRPr="008D01FA">
        <w:rPr>
          <w:rFonts w:ascii="Arial" w:hAnsi="Arial" w:cs="Arial"/>
          <w:color w:val="363636"/>
          <w:shd w:val="clear" w:color="auto" w:fill="FFFFFF"/>
        </w:rPr>
        <w:t>Spanien, Belgien</w:t>
      </w:r>
      <w:r w:rsidR="008D01FA">
        <w:rPr>
          <w:rFonts w:ascii="Arial" w:hAnsi="Arial" w:cs="Arial"/>
          <w:color w:val="363636"/>
          <w:shd w:val="clear" w:color="auto" w:fill="FFFFFF"/>
        </w:rPr>
        <w:t xml:space="preserve"> sowie </w:t>
      </w:r>
      <w:r w:rsidR="008D01FA" w:rsidRPr="008D01FA">
        <w:rPr>
          <w:rFonts w:ascii="Arial" w:hAnsi="Arial" w:cs="Arial"/>
          <w:color w:val="363636"/>
          <w:shd w:val="clear" w:color="auto" w:fill="FFFFFF"/>
        </w:rPr>
        <w:t>Rumänien</w:t>
      </w:r>
      <w:r w:rsidR="008D01FA">
        <w:rPr>
          <w:rFonts w:ascii="Arial" w:hAnsi="Arial" w:cs="Arial"/>
          <w:color w:val="363636"/>
          <w:shd w:val="clear" w:color="auto" w:fill="FFFFFF"/>
        </w:rPr>
        <w:t xml:space="preserve"> lagen die </w:t>
      </w:r>
      <w:r w:rsidR="00C970B8" w:rsidRPr="008D01FA">
        <w:rPr>
          <w:rFonts w:ascii="Arial" w:hAnsi="Arial" w:cs="Arial"/>
          <w:color w:val="363636"/>
          <w:shd w:val="clear" w:color="auto" w:fill="FFFFFF"/>
        </w:rPr>
        <w:t>Erwerbstätigenquote</w:t>
      </w:r>
      <w:r w:rsidR="008D01FA">
        <w:rPr>
          <w:rFonts w:ascii="Arial" w:hAnsi="Arial" w:cs="Arial"/>
          <w:color w:val="363636"/>
          <w:shd w:val="clear" w:color="auto" w:fill="FFFFFF"/>
        </w:rPr>
        <w:t>n</w:t>
      </w:r>
      <w:r w:rsidR="00C970B8" w:rsidRPr="008D01FA">
        <w:rPr>
          <w:rFonts w:ascii="Arial" w:hAnsi="Arial" w:cs="Arial"/>
          <w:color w:val="363636"/>
          <w:shd w:val="clear" w:color="auto" w:fill="FFFFFF"/>
        </w:rPr>
        <w:t xml:space="preserve"> ebenfalls unter </w:t>
      </w:r>
      <w:r w:rsidR="008D01FA">
        <w:rPr>
          <w:rFonts w:ascii="Arial" w:hAnsi="Arial" w:cs="Arial"/>
          <w:color w:val="363636"/>
          <w:shd w:val="clear" w:color="auto" w:fill="FFFFFF"/>
        </w:rPr>
        <w:t>70</w:t>
      </w:r>
      <w:r w:rsidR="00C970B8" w:rsidRPr="008D01FA">
        <w:rPr>
          <w:rFonts w:ascii="Arial" w:hAnsi="Arial" w:cs="Arial"/>
          <w:color w:val="363636"/>
          <w:shd w:val="clear" w:color="auto" w:fill="FFFFFF"/>
        </w:rPr>
        <w:t xml:space="preserve"> Prozent.</w:t>
      </w:r>
      <w:r w:rsidR="00C970B8" w:rsidRPr="008D01FA">
        <w:rPr>
          <w:rFonts w:ascii="Arial" w:hAnsi="Arial" w:cs="Arial"/>
          <w:color w:val="363636"/>
          <w:shd w:val="clear" w:color="auto" w:fill="FFFFFF"/>
        </w:rPr>
        <w:br/>
      </w:r>
    </w:p>
    <w:p w14:paraId="74324362" w14:textId="5E4DEE9F" w:rsidR="00B5712A" w:rsidRDefault="00B359A1" w:rsidP="002C4087">
      <w:pPr>
        <w:rPr>
          <w:rFonts w:ascii="Arial" w:hAnsi="Arial" w:cs="Arial"/>
          <w:color w:val="363636"/>
          <w:shd w:val="clear" w:color="auto" w:fill="FFFFFF"/>
        </w:rPr>
      </w:pPr>
      <w:r>
        <w:rPr>
          <w:rFonts w:ascii="Arial" w:hAnsi="Arial" w:cs="Arial"/>
          <w:color w:val="363636"/>
          <w:shd w:val="clear" w:color="auto" w:fill="FFFFFF"/>
        </w:rPr>
        <w:t xml:space="preserve">Trotz der Niveauunterschiede entwickeln sich die Quoten der einzelnen EU-Mitglieder häufig in dieselbe Richtung. So ist die </w:t>
      </w:r>
      <w:r w:rsidRPr="008D01FA">
        <w:rPr>
          <w:rFonts w:ascii="Arial" w:hAnsi="Arial" w:cs="Arial"/>
          <w:color w:val="363636"/>
          <w:shd w:val="clear" w:color="auto" w:fill="FFFFFF"/>
        </w:rPr>
        <w:t>Erwerbstätigenquote</w:t>
      </w:r>
      <w:r>
        <w:rPr>
          <w:rFonts w:ascii="Arial" w:hAnsi="Arial" w:cs="Arial"/>
          <w:color w:val="363636"/>
          <w:shd w:val="clear" w:color="auto" w:fill="FFFFFF"/>
        </w:rPr>
        <w:t xml:space="preserve"> </w:t>
      </w:r>
      <w:r w:rsidR="00E5348F">
        <w:rPr>
          <w:rFonts w:ascii="Arial" w:hAnsi="Arial" w:cs="Arial"/>
          <w:color w:val="363636"/>
          <w:shd w:val="clear" w:color="auto" w:fill="FFFFFF"/>
        </w:rPr>
        <w:t xml:space="preserve">der </w:t>
      </w:r>
      <w:r w:rsidR="00E5348F" w:rsidRPr="002B7E12">
        <w:rPr>
          <w:rFonts w:ascii="Arial" w:hAnsi="Arial" w:cs="Arial"/>
          <w:color w:val="363636"/>
          <w:shd w:val="clear" w:color="auto" w:fill="FFFFFF"/>
        </w:rPr>
        <w:t xml:space="preserve">20- bis unter 65-Jährigen </w:t>
      </w:r>
      <w:r>
        <w:rPr>
          <w:rFonts w:ascii="Arial" w:hAnsi="Arial" w:cs="Arial"/>
          <w:color w:val="363636"/>
          <w:shd w:val="clear" w:color="auto" w:fill="FFFFFF"/>
        </w:rPr>
        <w:t xml:space="preserve">zwischen 2002 und 2008 in 27 der 28 Staaten gestiegen – die einzige Ausnahme war Portugal (-0,5 Prozentpunkte). Zwischen 2008 und 2010 </w:t>
      </w:r>
      <w:r w:rsidR="00971C66">
        <w:rPr>
          <w:rFonts w:ascii="Arial" w:hAnsi="Arial" w:cs="Arial"/>
          <w:color w:val="363636"/>
          <w:shd w:val="clear" w:color="auto" w:fill="FFFFFF"/>
        </w:rPr>
        <w:t xml:space="preserve">sank die Quote </w:t>
      </w:r>
      <w:r>
        <w:rPr>
          <w:rFonts w:ascii="Arial" w:hAnsi="Arial" w:cs="Arial"/>
          <w:color w:val="363636"/>
          <w:shd w:val="clear" w:color="auto" w:fill="FFFFFF"/>
        </w:rPr>
        <w:t>in 23 der 28 Staaten (</w:t>
      </w:r>
      <w:r w:rsidR="00971C66">
        <w:rPr>
          <w:rFonts w:ascii="Arial" w:hAnsi="Arial" w:cs="Arial"/>
          <w:color w:val="363636"/>
          <w:shd w:val="clear" w:color="auto" w:fill="FFFFFF"/>
        </w:rPr>
        <w:t xml:space="preserve">davon abweichend stieg sie in </w:t>
      </w:r>
      <w:r>
        <w:rPr>
          <w:rFonts w:ascii="Arial" w:hAnsi="Arial" w:cs="Arial"/>
          <w:color w:val="363636"/>
          <w:shd w:val="clear" w:color="auto" w:fill="FFFFFF"/>
        </w:rPr>
        <w:t xml:space="preserve">Österreich und Rumänien leicht, in Malta, Deutschland und Luxemburg deutlicher). Schließlich erhöhte sich die </w:t>
      </w:r>
      <w:r w:rsidRPr="008D01FA">
        <w:rPr>
          <w:rFonts w:ascii="Arial" w:hAnsi="Arial" w:cs="Arial"/>
          <w:color w:val="363636"/>
          <w:shd w:val="clear" w:color="auto" w:fill="FFFFFF"/>
        </w:rPr>
        <w:t>Erwerbstätigenquote</w:t>
      </w:r>
      <w:r>
        <w:rPr>
          <w:rFonts w:ascii="Arial" w:hAnsi="Arial" w:cs="Arial"/>
          <w:color w:val="363636"/>
          <w:shd w:val="clear" w:color="auto" w:fill="FFFFFF"/>
        </w:rPr>
        <w:t xml:space="preserve"> zwischen 2010 und 2017 wiederum in 26 der 28 EU-Mitgliedstaaten – lediglich in Griechenland und Zypern war sie in diesem Zeitraum rückläufig (-6,0 bzw. -4,2 Prozentpunkte).</w:t>
      </w:r>
    </w:p>
    <w:p w14:paraId="6047EADD" w14:textId="77777777" w:rsidR="00B5712A" w:rsidRDefault="00B5712A" w:rsidP="002C4087">
      <w:pPr>
        <w:rPr>
          <w:rFonts w:ascii="Arial" w:hAnsi="Arial" w:cs="Arial"/>
          <w:color w:val="363636"/>
          <w:shd w:val="clear" w:color="auto" w:fill="FFFFFF"/>
        </w:rPr>
      </w:pPr>
    </w:p>
    <w:p w14:paraId="0731C0BA" w14:textId="0FFC788B" w:rsidR="00773E2A" w:rsidRDefault="008139F1" w:rsidP="002C4087">
      <w:pPr>
        <w:rPr>
          <w:rFonts w:ascii="Arial" w:hAnsi="Arial" w:cs="Arial"/>
          <w:color w:val="363636"/>
          <w:shd w:val="clear" w:color="auto" w:fill="FFFFFF"/>
        </w:rPr>
      </w:pPr>
      <w:r w:rsidRPr="00C712BC">
        <w:rPr>
          <w:rFonts w:ascii="Arial" w:hAnsi="Arial" w:cs="Arial"/>
          <w:color w:val="363636"/>
          <w:shd w:val="clear" w:color="auto" w:fill="FFFFFF"/>
        </w:rPr>
        <w:t xml:space="preserve">Dabei ist beachten, dass sich – trotz dieser Gemeinsamkeiten – nicht nur das Niveau der </w:t>
      </w:r>
      <w:r w:rsidRPr="008D01FA">
        <w:rPr>
          <w:rFonts w:ascii="Arial" w:hAnsi="Arial" w:cs="Arial"/>
          <w:color w:val="363636"/>
          <w:shd w:val="clear" w:color="auto" w:fill="FFFFFF"/>
        </w:rPr>
        <w:t>Erwerbstätigenquote</w:t>
      </w:r>
      <w:r>
        <w:rPr>
          <w:rFonts w:ascii="Arial" w:hAnsi="Arial" w:cs="Arial"/>
          <w:color w:val="363636"/>
          <w:shd w:val="clear" w:color="auto" w:fill="FFFFFF"/>
        </w:rPr>
        <w:t xml:space="preserve">n der EU-Mitglieder unterscheidet, sondern auch die Schwankungsbreite. Beispielsweise stieg die </w:t>
      </w:r>
      <w:r w:rsidRPr="008D01FA">
        <w:rPr>
          <w:rFonts w:ascii="Arial" w:hAnsi="Arial" w:cs="Arial"/>
          <w:color w:val="363636"/>
          <w:shd w:val="clear" w:color="auto" w:fill="FFFFFF"/>
        </w:rPr>
        <w:t>Erwerbstätigenquote</w:t>
      </w:r>
      <w:r>
        <w:rPr>
          <w:rFonts w:ascii="Arial" w:hAnsi="Arial" w:cs="Arial"/>
          <w:color w:val="363636"/>
          <w:shd w:val="clear" w:color="auto" w:fill="FFFFFF"/>
        </w:rPr>
        <w:t xml:space="preserve"> </w:t>
      </w:r>
      <w:r w:rsidR="00C712BC">
        <w:rPr>
          <w:rFonts w:ascii="Arial" w:hAnsi="Arial" w:cs="Arial"/>
          <w:color w:val="363636"/>
          <w:shd w:val="clear" w:color="auto" w:fill="FFFFFF"/>
        </w:rPr>
        <w:t xml:space="preserve">Estlands zwischen 2002 und </w:t>
      </w:r>
      <w:r w:rsidR="00E35899">
        <w:rPr>
          <w:rFonts w:ascii="Arial" w:hAnsi="Arial" w:cs="Arial"/>
          <w:color w:val="363636"/>
          <w:shd w:val="clear" w:color="auto" w:fill="FFFFFF"/>
        </w:rPr>
        <w:t>2008 um 9,1 Prozent</w:t>
      </w:r>
      <w:r w:rsidR="0095751B">
        <w:rPr>
          <w:rFonts w:ascii="Arial" w:hAnsi="Arial" w:cs="Arial"/>
          <w:color w:val="363636"/>
          <w:shd w:val="clear" w:color="auto" w:fill="FFFFFF"/>
        </w:rPr>
        <w:t>punkte</w:t>
      </w:r>
      <w:r w:rsidR="00E35899">
        <w:rPr>
          <w:rFonts w:ascii="Arial" w:hAnsi="Arial" w:cs="Arial"/>
          <w:color w:val="363636"/>
          <w:shd w:val="clear" w:color="auto" w:fill="FFFFFF"/>
        </w:rPr>
        <w:t xml:space="preserve"> (EU-28: 3,5</w:t>
      </w:r>
      <w:r w:rsidR="00C712BC">
        <w:rPr>
          <w:rFonts w:ascii="Arial" w:hAnsi="Arial" w:cs="Arial"/>
          <w:color w:val="363636"/>
          <w:shd w:val="clear" w:color="auto" w:fill="FFFFFF"/>
        </w:rPr>
        <w:t xml:space="preserve">), zwischen 2008 und 2010 ging </w:t>
      </w:r>
      <w:r w:rsidR="00C712BC">
        <w:rPr>
          <w:rFonts w:ascii="Arial" w:hAnsi="Arial" w:cs="Arial"/>
          <w:color w:val="363636"/>
          <w:shd w:val="clear" w:color="auto" w:fill="FFFFFF"/>
        </w:rPr>
        <w:lastRenderedPageBreak/>
        <w:t>sie um 10,3 Prozent</w:t>
      </w:r>
      <w:r w:rsidR="0095751B">
        <w:rPr>
          <w:rFonts w:ascii="Arial" w:hAnsi="Arial" w:cs="Arial"/>
          <w:color w:val="363636"/>
          <w:shd w:val="clear" w:color="auto" w:fill="FFFFFF"/>
        </w:rPr>
        <w:t>punkte</w:t>
      </w:r>
      <w:r w:rsidR="00C712BC">
        <w:rPr>
          <w:rFonts w:ascii="Arial" w:hAnsi="Arial" w:cs="Arial"/>
          <w:color w:val="363636"/>
          <w:shd w:val="clear" w:color="auto" w:fill="FFFFFF"/>
        </w:rPr>
        <w:t xml:space="preserve"> zurück (EU-28: -1,7</w:t>
      </w:r>
      <w:r w:rsidR="0095751B">
        <w:rPr>
          <w:rFonts w:ascii="Arial" w:hAnsi="Arial" w:cs="Arial"/>
          <w:color w:val="363636"/>
          <w:shd w:val="clear" w:color="auto" w:fill="FFFFFF"/>
        </w:rPr>
        <w:t>)</w:t>
      </w:r>
      <w:r w:rsidR="00C712BC">
        <w:rPr>
          <w:rFonts w:ascii="Arial" w:hAnsi="Arial" w:cs="Arial"/>
          <w:color w:val="363636"/>
          <w:shd w:val="clear" w:color="auto" w:fill="FFFFFF"/>
        </w:rPr>
        <w:t xml:space="preserve"> und bis 2017 nahm sie wiederum</w:t>
      </w:r>
      <w:r w:rsidR="00E35899">
        <w:rPr>
          <w:rFonts w:ascii="Arial" w:hAnsi="Arial" w:cs="Arial"/>
          <w:color w:val="363636"/>
          <w:shd w:val="clear" w:color="auto" w:fill="FFFFFF"/>
        </w:rPr>
        <w:t xml:space="preserve"> um 11,9 Prozent</w:t>
      </w:r>
      <w:r w:rsidR="0095751B">
        <w:rPr>
          <w:rFonts w:ascii="Arial" w:hAnsi="Arial" w:cs="Arial"/>
          <w:color w:val="363636"/>
          <w:shd w:val="clear" w:color="auto" w:fill="FFFFFF"/>
        </w:rPr>
        <w:t>punkte</w:t>
      </w:r>
      <w:r w:rsidR="00E35899">
        <w:rPr>
          <w:rFonts w:ascii="Arial" w:hAnsi="Arial" w:cs="Arial"/>
          <w:color w:val="363636"/>
          <w:shd w:val="clear" w:color="auto" w:fill="FFFFFF"/>
        </w:rPr>
        <w:t xml:space="preserve"> zu (EU-28: 3,6</w:t>
      </w:r>
      <w:r w:rsidR="00C712BC">
        <w:rPr>
          <w:rFonts w:ascii="Arial" w:hAnsi="Arial" w:cs="Arial"/>
          <w:color w:val="363636"/>
          <w:shd w:val="clear" w:color="auto" w:fill="FFFFFF"/>
        </w:rPr>
        <w:t>).</w:t>
      </w:r>
      <w:r w:rsidR="00D558DB">
        <w:rPr>
          <w:rFonts w:ascii="Arial" w:hAnsi="Arial" w:cs="Arial"/>
          <w:color w:val="363636"/>
          <w:shd w:val="clear" w:color="auto" w:fill="FFFFFF"/>
        </w:rPr>
        <w:t xml:space="preserve"> Auffallend hoch waren die Schwankungen auch in Lettland, Bulgarien, Litauen und Irland.</w:t>
      </w:r>
    </w:p>
    <w:p w14:paraId="1BE36217" w14:textId="77777777" w:rsidR="002F3779" w:rsidRPr="002C4087" w:rsidRDefault="002F3779" w:rsidP="002C4087">
      <w:pPr>
        <w:rPr>
          <w:rFonts w:ascii="Arial" w:hAnsi="Arial" w:cs="Arial"/>
          <w:color w:val="363636"/>
          <w:shd w:val="clear" w:color="auto" w:fill="FFFFFF"/>
        </w:rPr>
      </w:pPr>
    </w:p>
    <w:p w14:paraId="71B66094" w14:textId="1F1D6FC4" w:rsidR="00FE2C7A" w:rsidRDefault="005F330B" w:rsidP="000276F6">
      <w:pPr>
        <w:rPr>
          <w:rFonts w:ascii="Arial" w:hAnsi="Arial" w:cs="Arial"/>
          <w:color w:val="363636"/>
          <w:shd w:val="clear" w:color="auto" w:fill="FFFFFF"/>
        </w:rPr>
      </w:pPr>
      <w:r w:rsidRPr="002B7E12">
        <w:rPr>
          <w:rFonts w:ascii="Arial" w:hAnsi="Arial" w:cs="Arial"/>
          <w:color w:val="363636"/>
          <w:shd w:val="clear" w:color="auto" w:fill="FFFFFF"/>
        </w:rPr>
        <w:t xml:space="preserve">Um die Arbeitsmarktstatistik zu vervollständigen, ist es sinnvoll, neben der Erwerbstätigenquote auch die Erwerbsquote zu betrachten. Die Erwerbsquote entspricht </w:t>
      </w:r>
      <w:r w:rsidR="002B7E12" w:rsidRPr="002B7E12">
        <w:rPr>
          <w:rFonts w:ascii="Arial" w:hAnsi="Arial" w:cs="Arial"/>
          <w:color w:val="363636"/>
          <w:shd w:val="clear" w:color="auto" w:fill="FFFFFF"/>
        </w:rPr>
        <w:t xml:space="preserve">hier </w:t>
      </w:r>
      <w:r w:rsidRPr="002B7E12">
        <w:rPr>
          <w:rFonts w:ascii="Arial" w:hAnsi="Arial" w:cs="Arial"/>
          <w:color w:val="363636"/>
          <w:shd w:val="clear" w:color="auto" w:fill="FFFFFF"/>
        </w:rPr>
        <w:t xml:space="preserve">dem Anteil der </w:t>
      </w:r>
      <w:r w:rsidR="002B7E12" w:rsidRPr="002B7E12">
        <w:rPr>
          <w:rFonts w:ascii="Arial" w:hAnsi="Arial" w:cs="Arial"/>
          <w:color w:val="363636"/>
          <w:shd w:val="clear" w:color="auto" w:fill="FFFFFF"/>
        </w:rPr>
        <w:t>20</w:t>
      </w:r>
      <w:r w:rsidRPr="002B7E12">
        <w:rPr>
          <w:rFonts w:ascii="Arial" w:hAnsi="Arial" w:cs="Arial"/>
          <w:color w:val="363636"/>
          <w:shd w:val="clear" w:color="auto" w:fill="FFFFFF"/>
        </w:rPr>
        <w:t xml:space="preserve">- bis unter 65-jährigen Erwerbspersonen – also nicht nur der Erwerbstätigen, sondern auch der Arbeitslosen – an der gleichaltrigen Bevölkerungsgruppe. Die Erwerbsquote gibt zusätzlich Auskunft über das Arbeitskräftepotenzial, weil sie auch die </w:t>
      </w:r>
      <w:r w:rsidR="002B7E12" w:rsidRPr="002B7E12">
        <w:rPr>
          <w:rFonts w:ascii="Arial" w:hAnsi="Arial" w:cs="Arial"/>
          <w:color w:val="363636"/>
          <w:shd w:val="clear" w:color="auto" w:fill="FFFFFF"/>
        </w:rPr>
        <w:t>20</w:t>
      </w:r>
      <w:r w:rsidRPr="002B7E12">
        <w:rPr>
          <w:rFonts w:ascii="Arial" w:hAnsi="Arial" w:cs="Arial"/>
          <w:color w:val="363636"/>
          <w:shd w:val="clear" w:color="auto" w:fill="FFFFFF"/>
        </w:rPr>
        <w:t xml:space="preserve">- bis unter 65-Jährigen berücksichtigt, die aktiv nach Arbeit suchen, aber keine Arbeit finden. Ein Beispiel: </w:t>
      </w:r>
      <w:r w:rsidR="002B7E12" w:rsidRPr="002B7E12">
        <w:rPr>
          <w:rFonts w:ascii="Arial" w:hAnsi="Arial" w:cs="Arial"/>
          <w:color w:val="363636"/>
          <w:shd w:val="clear" w:color="auto" w:fill="FFFFFF"/>
        </w:rPr>
        <w:t xml:space="preserve">In Spanien </w:t>
      </w:r>
      <w:r w:rsidRPr="002B7E12">
        <w:rPr>
          <w:rFonts w:ascii="Arial" w:hAnsi="Arial" w:cs="Arial"/>
          <w:color w:val="363636"/>
          <w:shd w:val="clear" w:color="auto" w:fill="FFFFFF"/>
        </w:rPr>
        <w:t>lag die Erwerbstätigenquote im Jahr 201</w:t>
      </w:r>
      <w:r w:rsidR="002B7E12" w:rsidRPr="002B7E12">
        <w:rPr>
          <w:rFonts w:ascii="Arial" w:hAnsi="Arial" w:cs="Arial"/>
          <w:color w:val="363636"/>
          <w:shd w:val="clear" w:color="auto" w:fill="FFFFFF"/>
        </w:rPr>
        <w:t>7</w:t>
      </w:r>
      <w:r w:rsidRPr="002B7E12">
        <w:rPr>
          <w:rFonts w:ascii="Arial" w:hAnsi="Arial" w:cs="Arial"/>
          <w:color w:val="363636"/>
          <w:shd w:val="clear" w:color="auto" w:fill="FFFFFF"/>
        </w:rPr>
        <w:t xml:space="preserve"> bei </w:t>
      </w:r>
      <w:r w:rsidR="002B7E12" w:rsidRPr="002B7E12">
        <w:rPr>
          <w:rFonts w:ascii="Arial" w:hAnsi="Arial" w:cs="Arial"/>
          <w:color w:val="363636"/>
          <w:shd w:val="clear" w:color="auto" w:fill="FFFFFF"/>
        </w:rPr>
        <w:t xml:space="preserve">65,5 </w:t>
      </w:r>
      <w:r w:rsidRPr="002B7E12">
        <w:rPr>
          <w:rFonts w:ascii="Arial" w:hAnsi="Arial" w:cs="Arial"/>
          <w:color w:val="363636"/>
          <w:shd w:val="clear" w:color="auto" w:fill="FFFFFF"/>
        </w:rPr>
        <w:t>Prozent</w:t>
      </w:r>
      <w:r w:rsidR="002B7E12" w:rsidRPr="002B7E12">
        <w:rPr>
          <w:rFonts w:ascii="Arial" w:hAnsi="Arial" w:cs="Arial"/>
          <w:color w:val="363636"/>
          <w:shd w:val="clear" w:color="auto" w:fill="FFFFFF"/>
        </w:rPr>
        <w:t xml:space="preserve"> und damit 3,0 Prozentpunkte</w:t>
      </w:r>
      <w:r w:rsidR="00D41913">
        <w:rPr>
          <w:rFonts w:ascii="Arial" w:hAnsi="Arial" w:cs="Arial"/>
          <w:color w:val="363636"/>
          <w:shd w:val="clear" w:color="auto" w:fill="FFFFFF"/>
        </w:rPr>
        <w:t xml:space="preserve"> unter der </w:t>
      </w:r>
      <w:r w:rsidR="002B7E12" w:rsidRPr="002B7E12">
        <w:rPr>
          <w:rFonts w:ascii="Arial" w:hAnsi="Arial" w:cs="Arial"/>
          <w:color w:val="363636"/>
          <w:shd w:val="clear" w:color="auto" w:fill="FFFFFF"/>
        </w:rPr>
        <w:t>Erwerbstätigenquote Belgiens</w:t>
      </w:r>
      <w:r w:rsidR="008647E5">
        <w:rPr>
          <w:rFonts w:ascii="Arial" w:hAnsi="Arial" w:cs="Arial"/>
          <w:color w:val="363636"/>
          <w:shd w:val="clear" w:color="auto" w:fill="FFFFFF"/>
        </w:rPr>
        <w:t xml:space="preserve"> (68,5 Prozent)</w:t>
      </w:r>
      <w:r w:rsidR="002B7E12" w:rsidRPr="002B7E12">
        <w:rPr>
          <w:rFonts w:ascii="Arial" w:hAnsi="Arial" w:cs="Arial"/>
          <w:color w:val="363636"/>
          <w:shd w:val="clear" w:color="auto" w:fill="FFFFFF"/>
        </w:rPr>
        <w:t>.</w:t>
      </w:r>
      <w:r w:rsidRPr="002B7E12">
        <w:rPr>
          <w:rFonts w:ascii="Arial" w:hAnsi="Arial" w:cs="Arial"/>
          <w:color w:val="363636"/>
          <w:shd w:val="clear" w:color="auto" w:fill="FFFFFF"/>
        </w:rPr>
        <w:t xml:space="preserve"> Die Erwerbsquote lag jedoch bei 7</w:t>
      </w:r>
      <w:r w:rsidR="002B7E12" w:rsidRPr="002B7E12">
        <w:rPr>
          <w:rFonts w:ascii="Arial" w:hAnsi="Arial" w:cs="Arial"/>
          <w:color w:val="363636"/>
          <w:shd w:val="clear" w:color="auto" w:fill="FFFFFF"/>
        </w:rPr>
        <w:t>8</w:t>
      </w:r>
      <w:r w:rsidRPr="002B7E12">
        <w:rPr>
          <w:rFonts w:ascii="Arial" w:hAnsi="Arial" w:cs="Arial"/>
          <w:color w:val="363636"/>
          <w:shd w:val="clear" w:color="auto" w:fill="FFFFFF"/>
        </w:rPr>
        <w:t>,</w:t>
      </w:r>
      <w:r w:rsidR="002B7E12" w:rsidRPr="002B7E12">
        <w:rPr>
          <w:rFonts w:ascii="Arial" w:hAnsi="Arial" w:cs="Arial"/>
          <w:color w:val="363636"/>
          <w:shd w:val="clear" w:color="auto" w:fill="FFFFFF"/>
        </w:rPr>
        <w:t>9</w:t>
      </w:r>
      <w:r w:rsidRPr="002B7E12">
        <w:rPr>
          <w:rFonts w:ascii="Arial" w:hAnsi="Arial" w:cs="Arial"/>
          <w:color w:val="363636"/>
          <w:shd w:val="clear" w:color="auto" w:fill="FFFFFF"/>
        </w:rPr>
        <w:t xml:space="preserve"> Prozent und damit </w:t>
      </w:r>
      <w:r w:rsidR="002B7E12" w:rsidRPr="002B7E12">
        <w:rPr>
          <w:rFonts w:ascii="Arial" w:hAnsi="Arial" w:cs="Arial"/>
          <w:color w:val="363636"/>
          <w:shd w:val="clear" w:color="auto" w:fill="FFFFFF"/>
        </w:rPr>
        <w:t>5</w:t>
      </w:r>
      <w:r w:rsidRPr="002B7E12">
        <w:rPr>
          <w:rFonts w:ascii="Arial" w:hAnsi="Arial" w:cs="Arial"/>
          <w:color w:val="363636"/>
          <w:shd w:val="clear" w:color="auto" w:fill="FFFFFF"/>
        </w:rPr>
        <w:t>,</w:t>
      </w:r>
      <w:r w:rsidR="002B7E12" w:rsidRPr="002B7E12">
        <w:rPr>
          <w:rFonts w:ascii="Arial" w:hAnsi="Arial" w:cs="Arial"/>
          <w:color w:val="363636"/>
          <w:shd w:val="clear" w:color="auto" w:fill="FFFFFF"/>
        </w:rPr>
        <w:t>2</w:t>
      </w:r>
      <w:r w:rsidRPr="002B7E12">
        <w:rPr>
          <w:rFonts w:ascii="Arial" w:hAnsi="Arial" w:cs="Arial"/>
          <w:color w:val="363636"/>
          <w:shd w:val="clear" w:color="auto" w:fill="FFFFFF"/>
        </w:rPr>
        <w:t xml:space="preserve"> Prozentpunkte höher als in </w:t>
      </w:r>
      <w:r w:rsidR="002B7E12" w:rsidRPr="002B7E12">
        <w:rPr>
          <w:rFonts w:ascii="Arial" w:hAnsi="Arial" w:cs="Arial"/>
          <w:color w:val="363636"/>
          <w:shd w:val="clear" w:color="auto" w:fill="FFFFFF"/>
        </w:rPr>
        <w:t>Belgien</w:t>
      </w:r>
      <w:r w:rsidRPr="002B7E12">
        <w:rPr>
          <w:rFonts w:ascii="Arial" w:hAnsi="Arial" w:cs="Arial"/>
          <w:color w:val="363636"/>
          <w:shd w:val="clear" w:color="auto" w:fill="FFFFFF"/>
        </w:rPr>
        <w:t xml:space="preserve"> (</w:t>
      </w:r>
      <w:r w:rsidR="002B7E12" w:rsidRPr="002B7E12">
        <w:rPr>
          <w:rFonts w:ascii="Arial" w:hAnsi="Arial" w:cs="Arial"/>
          <w:color w:val="363636"/>
          <w:shd w:val="clear" w:color="auto" w:fill="FFFFFF"/>
        </w:rPr>
        <w:t>73</w:t>
      </w:r>
      <w:r w:rsidRPr="002B7E12">
        <w:rPr>
          <w:rFonts w:ascii="Arial" w:hAnsi="Arial" w:cs="Arial"/>
          <w:color w:val="363636"/>
          <w:shd w:val="clear" w:color="auto" w:fill="FFFFFF"/>
        </w:rPr>
        <w:t>,</w:t>
      </w:r>
      <w:r w:rsidR="002B7E12" w:rsidRPr="002B7E12">
        <w:rPr>
          <w:rFonts w:ascii="Arial" w:hAnsi="Arial" w:cs="Arial"/>
          <w:color w:val="363636"/>
          <w:shd w:val="clear" w:color="auto" w:fill="FFFFFF"/>
        </w:rPr>
        <w:t>7</w:t>
      </w:r>
      <w:r w:rsidRPr="002B7E12">
        <w:rPr>
          <w:rFonts w:ascii="Arial" w:hAnsi="Arial" w:cs="Arial"/>
          <w:color w:val="363636"/>
          <w:shd w:val="clear" w:color="auto" w:fill="FFFFFF"/>
        </w:rPr>
        <w:t xml:space="preserve"> Prozent).</w:t>
      </w:r>
      <w:r w:rsidR="00B5712A">
        <w:rPr>
          <w:rFonts w:ascii="Arial" w:hAnsi="Arial" w:cs="Arial"/>
          <w:color w:val="363636"/>
          <w:shd w:val="clear" w:color="auto" w:fill="FFFFFF"/>
        </w:rPr>
        <w:t xml:space="preserve"> D</w:t>
      </w:r>
      <w:r w:rsidRPr="002B7E12">
        <w:rPr>
          <w:rFonts w:ascii="Arial" w:hAnsi="Arial" w:cs="Arial"/>
          <w:color w:val="363636"/>
          <w:shd w:val="clear" w:color="auto" w:fill="FFFFFF"/>
        </w:rPr>
        <w:t xml:space="preserve">er Grund hierfür ist die deutlich höhere Arbeitslosenquote </w:t>
      </w:r>
      <w:r w:rsidR="00D41913">
        <w:rPr>
          <w:rFonts w:ascii="Arial" w:hAnsi="Arial" w:cs="Arial"/>
          <w:color w:val="363636"/>
          <w:shd w:val="clear" w:color="auto" w:fill="FFFFFF"/>
        </w:rPr>
        <w:t xml:space="preserve">der </w:t>
      </w:r>
      <w:r w:rsidR="00D41913" w:rsidRPr="002B7E12">
        <w:rPr>
          <w:rFonts w:ascii="Arial" w:hAnsi="Arial" w:cs="Arial"/>
          <w:color w:val="363636"/>
          <w:shd w:val="clear" w:color="auto" w:fill="FFFFFF"/>
        </w:rPr>
        <w:t>20- bis unter 65-Jährigen</w:t>
      </w:r>
      <w:r w:rsidR="00D41913">
        <w:rPr>
          <w:rFonts w:ascii="Arial" w:hAnsi="Arial" w:cs="Arial"/>
          <w:color w:val="363636"/>
          <w:shd w:val="clear" w:color="auto" w:fill="FFFFFF"/>
        </w:rPr>
        <w:t xml:space="preserve"> </w:t>
      </w:r>
      <w:r w:rsidRPr="002B7E12">
        <w:rPr>
          <w:rFonts w:ascii="Arial" w:hAnsi="Arial" w:cs="Arial"/>
          <w:color w:val="363636"/>
          <w:shd w:val="clear" w:color="auto" w:fill="FFFFFF"/>
        </w:rPr>
        <w:t xml:space="preserve">in </w:t>
      </w:r>
      <w:r w:rsidR="002B7E12" w:rsidRPr="002B7E12">
        <w:rPr>
          <w:rFonts w:ascii="Arial" w:hAnsi="Arial" w:cs="Arial"/>
          <w:color w:val="363636"/>
          <w:shd w:val="clear" w:color="auto" w:fill="FFFFFF"/>
        </w:rPr>
        <w:t xml:space="preserve">Spanien </w:t>
      </w:r>
      <w:r w:rsidRPr="002B7E12">
        <w:rPr>
          <w:rFonts w:ascii="Arial" w:hAnsi="Arial" w:cs="Arial"/>
          <w:color w:val="363636"/>
          <w:shd w:val="clear" w:color="auto" w:fill="FFFFFF"/>
        </w:rPr>
        <w:t>(201</w:t>
      </w:r>
      <w:r w:rsidR="002B7E12" w:rsidRPr="002B7E12">
        <w:rPr>
          <w:rFonts w:ascii="Arial" w:hAnsi="Arial" w:cs="Arial"/>
          <w:color w:val="363636"/>
          <w:shd w:val="clear" w:color="auto" w:fill="FFFFFF"/>
        </w:rPr>
        <w:t>7</w:t>
      </w:r>
      <w:r w:rsidRPr="002B7E12">
        <w:rPr>
          <w:rFonts w:ascii="Arial" w:hAnsi="Arial" w:cs="Arial"/>
          <w:color w:val="363636"/>
          <w:shd w:val="clear" w:color="auto" w:fill="FFFFFF"/>
        </w:rPr>
        <w:t>: 1</w:t>
      </w:r>
      <w:r w:rsidR="0009208A">
        <w:rPr>
          <w:rFonts w:ascii="Arial" w:hAnsi="Arial" w:cs="Arial"/>
          <w:color w:val="363636"/>
          <w:shd w:val="clear" w:color="auto" w:fill="FFFFFF"/>
        </w:rPr>
        <w:t>6</w:t>
      </w:r>
      <w:r w:rsidRPr="002B7E12">
        <w:rPr>
          <w:rFonts w:ascii="Arial" w:hAnsi="Arial" w:cs="Arial"/>
          <w:color w:val="363636"/>
          <w:shd w:val="clear" w:color="auto" w:fill="FFFFFF"/>
        </w:rPr>
        <w:t>,</w:t>
      </w:r>
      <w:r w:rsidR="0009208A">
        <w:rPr>
          <w:rFonts w:ascii="Arial" w:hAnsi="Arial" w:cs="Arial"/>
          <w:color w:val="363636"/>
          <w:shd w:val="clear" w:color="auto" w:fill="FFFFFF"/>
        </w:rPr>
        <w:t>9</w:t>
      </w:r>
      <w:r w:rsidRPr="002B7E12">
        <w:rPr>
          <w:rFonts w:ascii="Arial" w:hAnsi="Arial" w:cs="Arial"/>
          <w:color w:val="363636"/>
          <w:shd w:val="clear" w:color="auto" w:fill="FFFFFF"/>
        </w:rPr>
        <w:t xml:space="preserve"> Prozent, </w:t>
      </w:r>
      <w:r w:rsidR="00934566">
        <w:rPr>
          <w:rFonts w:ascii="Arial" w:hAnsi="Arial" w:cs="Arial"/>
          <w:color w:val="363636"/>
          <w:shd w:val="clear" w:color="auto" w:fill="FFFFFF"/>
        </w:rPr>
        <w:t>Belgien</w:t>
      </w:r>
      <w:r w:rsidRPr="002B7E12">
        <w:rPr>
          <w:rFonts w:ascii="Arial" w:hAnsi="Arial" w:cs="Arial"/>
          <w:color w:val="363636"/>
          <w:shd w:val="clear" w:color="auto" w:fill="FFFFFF"/>
        </w:rPr>
        <w:t xml:space="preserve">: </w:t>
      </w:r>
      <w:r w:rsidR="0009208A">
        <w:rPr>
          <w:rFonts w:ascii="Arial" w:hAnsi="Arial" w:cs="Arial"/>
          <w:color w:val="363636"/>
          <w:shd w:val="clear" w:color="auto" w:fill="FFFFFF"/>
        </w:rPr>
        <w:t>7</w:t>
      </w:r>
      <w:r w:rsidR="00934566">
        <w:rPr>
          <w:rFonts w:ascii="Arial" w:hAnsi="Arial" w:cs="Arial"/>
          <w:color w:val="363636"/>
          <w:shd w:val="clear" w:color="auto" w:fill="FFFFFF"/>
        </w:rPr>
        <w:t>,</w:t>
      </w:r>
      <w:r w:rsidR="0009208A">
        <w:rPr>
          <w:rFonts w:ascii="Arial" w:hAnsi="Arial" w:cs="Arial"/>
          <w:color w:val="363636"/>
          <w:shd w:val="clear" w:color="auto" w:fill="FFFFFF"/>
        </w:rPr>
        <w:t>0</w:t>
      </w:r>
      <w:r w:rsidRPr="002B7E12">
        <w:rPr>
          <w:rFonts w:ascii="Arial" w:hAnsi="Arial" w:cs="Arial"/>
          <w:color w:val="363636"/>
          <w:shd w:val="clear" w:color="auto" w:fill="FFFFFF"/>
        </w:rPr>
        <w:t xml:space="preserve"> Prozent). Gerade mit Blick auf die Arbeitsmarktpolitik macht es </w:t>
      </w:r>
      <w:r w:rsidR="00D41913">
        <w:rPr>
          <w:rFonts w:ascii="Arial" w:hAnsi="Arial" w:cs="Arial"/>
          <w:color w:val="363636"/>
          <w:shd w:val="clear" w:color="auto" w:fill="FFFFFF"/>
        </w:rPr>
        <w:t xml:space="preserve">aber </w:t>
      </w:r>
      <w:r w:rsidRPr="002B7E12">
        <w:rPr>
          <w:rFonts w:ascii="Arial" w:hAnsi="Arial" w:cs="Arial"/>
          <w:color w:val="363636"/>
          <w:shd w:val="clear" w:color="auto" w:fill="FFFFFF"/>
        </w:rPr>
        <w:t>einen großen Unterschied, ob Arbeitsplätze für Arbeitslose oder für Nichterwerbspersonen (zum Beispiel Personen, die voll durch die Betreuung ihrer Kinder eingebunden sind) ge</w:t>
      </w:r>
      <w:r w:rsidR="00FE2C7A" w:rsidRPr="002B7E12">
        <w:rPr>
          <w:rFonts w:ascii="Arial" w:hAnsi="Arial" w:cs="Arial"/>
          <w:color w:val="363636"/>
          <w:shd w:val="clear" w:color="auto" w:fill="FFFFFF"/>
        </w:rPr>
        <w:t>schaffen werden sollen.</w:t>
      </w:r>
    </w:p>
    <w:p w14:paraId="38CD820D" w14:textId="77777777" w:rsidR="00FE2C7A" w:rsidRPr="000F6D73" w:rsidRDefault="00FE2C7A" w:rsidP="000276F6">
      <w:pPr>
        <w:rPr>
          <w:rFonts w:ascii="Arial" w:hAnsi="Arial" w:cs="Arial"/>
          <w:color w:val="363636"/>
          <w:shd w:val="clear" w:color="auto" w:fill="FFFFFF"/>
        </w:rPr>
      </w:pPr>
    </w:p>
    <w:p w14:paraId="0F5054DE" w14:textId="7BEB2D17" w:rsidR="006602E6" w:rsidRPr="006602E6" w:rsidRDefault="006602E6" w:rsidP="000276F6">
      <w:pPr>
        <w:rPr>
          <w:rFonts w:ascii="Arial" w:hAnsi="Arial" w:cs="Arial"/>
          <w:color w:val="363636"/>
          <w:shd w:val="clear" w:color="auto" w:fill="FFFFFF"/>
        </w:rPr>
      </w:pPr>
      <w:r w:rsidRPr="000F6D73">
        <w:rPr>
          <w:rFonts w:ascii="Arial" w:hAnsi="Arial" w:cs="Arial"/>
          <w:color w:val="363636"/>
          <w:shd w:val="clear" w:color="auto" w:fill="FFFFFF"/>
        </w:rPr>
        <w:t>Von den 34 hier betrachteten Staaten hatte 2017 Island mit 89,7 Prozent die höchste Erwerbsquote bei den 20- bis unter 65-Jährigen. Darauf folgten Schweden (87,1 Prozent), die Schweiz (86,3 Prozent), Estland (83,5 Prozent), Deutschland (82,3 Prozent), Lettland (82,0 Prozent) und Litauen (81,9 Prozent). Die niedrigsten Erwerbsquoten hatten die Türkei (61,9 Prozent), Montenegro (69,3 Prozent), Italien (70,1 Prozent), die ehemalige jugoslawische Republik Mazedonien (70,3 Prozent), Kroatien (71,2 Prozent), Rumänien (72,3 Prozent) sowie Griechenland (73,5 Prozent).</w:t>
      </w:r>
      <w:r w:rsidR="000F6D73">
        <w:rPr>
          <w:rFonts w:ascii="Arial" w:hAnsi="Arial" w:cs="Arial"/>
          <w:color w:val="363636"/>
          <w:shd w:val="clear" w:color="auto" w:fill="FFFFFF"/>
        </w:rPr>
        <w:t xml:space="preserve"> </w:t>
      </w:r>
      <w:r w:rsidRPr="006602E6">
        <w:rPr>
          <w:rFonts w:ascii="Arial" w:hAnsi="Arial" w:cs="Arial"/>
          <w:color w:val="363636"/>
          <w:shd w:val="clear" w:color="auto" w:fill="FFFFFF"/>
        </w:rPr>
        <w:t>Die sieben Staaten mit den niedrigsten Erwerbsquoten gehören alle zu den neun Staaten mit der niedrigsten Erwerbsbeteiligung von Frauen (</w:t>
      </w:r>
      <w:r w:rsidR="001B131C">
        <w:rPr>
          <w:rFonts w:ascii="Arial" w:hAnsi="Arial" w:cs="Arial"/>
          <w:color w:val="363636"/>
          <w:shd w:val="clear" w:color="auto" w:fill="FFFFFF"/>
        </w:rPr>
        <w:t xml:space="preserve">bezogen auf die </w:t>
      </w:r>
      <w:r w:rsidRPr="006602E6">
        <w:rPr>
          <w:rFonts w:ascii="Arial" w:hAnsi="Arial" w:cs="Arial"/>
          <w:color w:val="363636"/>
          <w:shd w:val="clear" w:color="auto" w:fill="FFFFFF"/>
        </w:rPr>
        <w:t xml:space="preserve">Erwerbsquote und </w:t>
      </w:r>
      <w:r w:rsidR="001B131C">
        <w:rPr>
          <w:rFonts w:ascii="Arial" w:hAnsi="Arial" w:cs="Arial"/>
          <w:color w:val="363636"/>
          <w:shd w:val="clear" w:color="auto" w:fill="FFFFFF"/>
        </w:rPr>
        <w:t xml:space="preserve">die </w:t>
      </w:r>
      <w:r w:rsidRPr="006602E6">
        <w:rPr>
          <w:rFonts w:ascii="Arial" w:hAnsi="Arial" w:cs="Arial"/>
          <w:color w:val="363636"/>
          <w:shd w:val="clear" w:color="auto" w:fill="FFFFFF"/>
        </w:rPr>
        <w:t>Erwerbstätigenquote)</w:t>
      </w:r>
      <w:r w:rsidR="00C54C7D">
        <w:rPr>
          <w:rFonts w:ascii="Arial" w:hAnsi="Arial" w:cs="Arial"/>
          <w:color w:val="363636"/>
          <w:shd w:val="clear" w:color="auto" w:fill="FFFFFF"/>
        </w:rPr>
        <w:t>.</w:t>
      </w:r>
      <w:bookmarkStart w:id="0" w:name="_GoBack"/>
      <w:bookmarkEnd w:id="0"/>
    </w:p>
    <w:p w14:paraId="5BF6D3FC" w14:textId="77777777" w:rsidR="006602E6" w:rsidRPr="002C4087" w:rsidRDefault="006602E6" w:rsidP="000276F6">
      <w:pPr>
        <w:rPr>
          <w:rFonts w:ascii="Arial" w:hAnsi="Arial" w:cs="Arial"/>
          <w:color w:val="363636"/>
          <w:shd w:val="clear" w:color="auto" w:fill="FFFFFF"/>
        </w:rPr>
      </w:pPr>
    </w:p>
    <w:p w14:paraId="3DDBB3A3" w14:textId="77777777" w:rsidR="00DA4DE2" w:rsidRPr="00274006" w:rsidRDefault="00DA4DE2">
      <w:pPr>
        <w:rPr>
          <w:rFonts w:ascii="Arial" w:hAnsi="Arial"/>
        </w:rPr>
      </w:pPr>
      <w:r w:rsidRPr="00274006">
        <w:rPr>
          <w:rStyle w:val="Absatz-Standardschriftart1"/>
          <w:rFonts w:ascii="Arial" w:hAnsi="Arial"/>
          <w:color w:val="FF0000"/>
        </w:rPr>
        <w:t>Datenquelle</w:t>
      </w:r>
    </w:p>
    <w:p w14:paraId="30873A0D" w14:textId="77777777" w:rsidR="00DA4DE2" w:rsidRPr="00130273" w:rsidRDefault="00DA4DE2">
      <w:pPr>
        <w:rPr>
          <w:rFonts w:ascii="Arial" w:hAnsi="Arial" w:cs="Arial"/>
          <w:color w:val="363636"/>
          <w:shd w:val="clear" w:color="auto" w:fill="FFFFFF"/>
        </w:rPr>
      </w:pPr>
    </w:p>
    <w:p w14:paraId="1D8D118C" w14:textId="1D97BADA" w:rsidR="00992CA9" w:rsidRDefault="001D7394">
      <w:pPr>
        <w:rPr>
          <w:rFonts w:ascii="Arial" w:hAnsi="Arial" w:cs="Arial"/>
          <w:color w:val="363636"/>
          <w:shd w:val="clear" w:color="auto" w:fill="FFFFFF"/>
        </w:rPr>
      </w:pPr>
      <w:r w:rsidRPr="001D7394">
        <w:rPr>
          <w:rFonts w:ascii="Arial" w:hAnsi="Arial" w:cs="Arial"/>
          <w:color w:val="363636"/>
          <w:shd w:val="clear" w:color="auto" w:fill="FFFFFF"/>
        </w:rPr>
        <w:t>Eurostat: Online-Datenbank: Beschäftigte und Erwerbspersonen nach Alter und Geschlecht (Stand: 07/2018)</w:t>
      </w:r>
    </w:p>
    <w:p w14:paraId="60E80D11" w14:textId="77777777" w:rsidR="001D7394" w:rsidRPr="00130273" w:rsidRDefault="001D7394">
      <w:pPr>
        <w:rPr>
          <w:rFonts w:ascii="Arial" w:hAnsi="Arial" w:cs="Arial"/>
          <w:color w:val="363636"/>
          <w:shd w:val="clear" w:color="auto" w:fill="FFFFFF"/>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Pr="00E016EE" w:rsidRDefault="00ED04A8">
      <w:pPr>
        <w:rPr>
          <w:rFonts w:ascii="Arial" w:hAnsi="Arial" w:cs="Arial"/>
          <w:color w:val="363636"/>
          <w:shd w:val="clear" w:color="auto" w:fill="FFFFFF"/>
        </w:rPr>
      </w:pPr>
    </w:p>
    <w:p w14:paraId="4541F5F3" w14:textId="78A06B13" w:rsidR="005F5C8C" w:rsidRPr="00E016EE" w:rsidRDefault="005F5C8C">
      <w:pPr>
        <w:rPr>
          <w:rFonts w:ascii="Arial" w:hAnsi="Arial" w:cs="Arial"/>
          <w:color w:val="363636"/>
          <w:shd w:val="clear" w:color="auto" w:fill="FFFFFF"/>
        </w:rPr>
      </w:pPr>
      <w:r w:rsidRPr="00E016EE">
        <w:rPr>
          <w:rFonts w:ascii="Arial" w:hAnsi="Arial" w:cs="Arial"/>
          <w:color w:val="363636"/>
          <w:shd w:val="clear" w:color="auto" w:fill="FFFFFF"/>
        </w:rPr>
        <w:t xml:space="preserve">Weitere Informationen zu den </w:t>
      </w:r>
      <w:r w:rsidRPr="00E016EE">
        <w:rPr>
          <w:rFonts w:ascii="Arial" w:hAnsi="Arial" w:cs="Arial"/>
          <w:b/>
          <w:color w:val="363636"/>
          <w:shd w:val="clear" w:color="auto" w:fill="FFFFFF"/>
        </w:rPr>
        <w:t>Erwerbstätigenquoten von Frauen und Männern</w:t>
      </w:r>
      <w:r w:rsidRPr="00E016EE">
        <w:rPr>
          <w:rFonts w:ascii="Arial" w:hAnsi="Arial" w:cs="Arial"/>
          <w:color w:val="363636"/>
          <w:shd w:val="clear" w:color="auto" w:fill="FFFFFF"/>
        </w:rPr>
        <w:t xml:space="preserve"> finden Sie hier</w:t>
      </w:r>
      <w:r w:rsidR="00FE23DD">
        <w:rPr>
          <w:rFonts w:ascii="Arial" w:hAnsi="Arial" w:cs="Arial"/>
          <w:color w:val="363636"/>
          <w:shd w:val="clear" w:color="auto" w:fill="FFFFFF"/>
        </w:rPr>
        <w:t xml:space="preserve">: </w:t>
      </w:r>
      <w:hyperlink r:id="rId7" w:history="1">
        <w:r w:rsidRPr="00E016EE">
          <w:rPr>
            <w:rStyle w:val="Hyperlink"/>
            <w:rFonts w:ascii="Arial" w:hAnsi="Arial" w:cs="Arial"/>
            <w:shd w:val="clear" w:color="auto" w:fill="FFFFFF"/>
          </w:rPr>
          <w:t>http://www.bpb.de/70593</w:t>
        </w:r>
      </w:hyperlink>
    </w:p>
    <w:p w14:paraId="6CD57A7B" w14:textId="77777777" w:rsidR="005F5C8C" w:rsidRPr="00E016EE" w:rsidRDefault="005F5C8C">
      <w:pPr>
        <w:rPr>
          <w:rFonts w:ascii="Arial" w:hAnsi="Arial" w:cs="Arial"/>
          <w:color w:val="363636"/>
          <w:shd w:val="clear" w:color="auto" w:fill="FFFFFF"/>
        </w:rPr>
      </w:pPr>
    </w:p>
    <w:p w14:paraId="5EA77FA1" w14:textId="77777777" w:rsidR="00B5712A" w:rsidRDefault="00B5712A" w:rsidP="00B5712A">
      <w:pPr>
        <w:rPr>
          <w:rFonts w:ascii="Arial" w:hAnsi="Arial" w:cs="Arial"/>
          <w:color w:val="363636"/>
          <w:shd w:val="clear" w:color="auto" w:fill="FFFFFF"/>
        </w:rPr>
      </w:pPr>
      <w:r w:rsidRPr="004A7A49">
        <w:rPr>
          <w:rFonts w:ascii="Arial" w:hAnsi="Arial" w:cs="Arial"/>
          <w:color w:val="363636"/>
          <w:shd w:val="clear" w:color="auto" w:fill="FFFFFF"/>
        </w:rPr>
        <w:t xml:space="preserve">Die </w:t>
      </w:r>
      <w:r w:rsidRPr="00B5712A">
        <w:rPr>
          <w:rFonts w:ascii="Arial" w:hAnsi="Arial" w:cs="Arial"/>
          <w:b/>
          <w:color w:val="363636"/>
          <w:shd w:val="clear" w:color="auto" w:fill="FFFFFF"/>
        </w:rPr>
        <w:t>Erwerbstätigenquote</w:t>
      </w:r>
      <w:r w:rsidRPr="004A7A49">
        <w:rPr>
          <w:rFonts w:ascii="Arial" w:hAnsi="Arial" w:cs="Arial"/>
          <w:color w:val="363636"/>
          <w:shd w:val="clear" w:color="auto" w:fill="FFFFFF"/>
        </w:rPr>
        <w:t xml:space="preserve"> entspricht dem Anteil der Erwerbstätigen an der gleichaltrigen Bevölkerung. </w:t>
      </w:r>
      <w:r>
        <w:rPr>
          <w:rFonts w:ascii="Arial" w:hAnsi="Arial" w:cs="Arial"/>
          <w:color w:val="363636"/>
          <w:shd w:val="clear" w:color="auto" w:fill="FFFFFF"/>
        </w:rPr>
        <w:t>D</w:t>
      </w:r>
      <w:r w:rsidRPr="0077242A">
        <w:rPr>
          <w:rFonts w:ascii="Arial" w:hAnsi="Arial" w:cs="Arial"/>
          <w:color w:val="363636"/>
          <w:shd w:val="clear" w:color="auto" w:fill="FFFFFF"/>
        </w:rPr>
        <w:t>a sich jüngere Personen häufiger noch in der Ausbildung befinden</w:t>
      </w:r>
      <w:r>
        <w:rPr>
          <w:rFonts w:ascii="Arial" w:hAnsi="Arial" w:cs="Arial"/>
          <w:color w:val="363636"/>
          <w:shd w:val="clear" w:color="auto" w:fill="FFFFFF"/>
        </w:rPr>
        <w:t>, wird hier die Gruppe der 20-</w:t>
      </w:r>
      <w:r w:rsidRPr="004A7A49">
        <w:rPr>
          <w:rFonts w:ascii="Arial" w:hAnsi="Arial" w:cs="Arial"/>
          <w:color w:val="363636"/>
          <w:shd w:val="clear" w:color="auto" w:fill="FFFFFF"/>
        </w:rPr>
        <w:t xml:space="preserve"> bis unter 65-jährigen Personen betrachtet.</w:t>
      </w:r>
    </w:p>
    <w:p w14:paraId="49B49F73" w14:textId="77777777" w:rsidR="0077242A" w:rsidRPr="00E016EE" w:rsidRDefault="0077242A" w:rsidP="00AB14BB">
      <w:pPr>
        <w:rPr>
          <w:rFonts w:ascii="Arial" w:hAnsi="Arial" w:cs="Arial"/>
          <w:color w:val="363636"/>
          <w:shd w:val="clear" w:color="auto" w:fill="FFFFFF"/>
        </w:rPr>
      </w:pPr>
    </w:p>
    <w:p w14:paraId="55C60517" w14:textId="77777777" w:rsidR="007275D8" w:rsidRPr="00E016EE" w:rsidRDefault="007275D8" w:rsidP="007275D8">
      <w:pPr>
        <w:rPr>
          <w:rFonts w:ascii="Arial" w:hAnsi="Arial" w:cs="Arial"/>
          <w:color w:val="363636"/>
          <w:shd w:val="clear" w:color="auto" w:fill="FFFFFF"/>
        </w:rPr>
      </w:pPr>
      <w:r w:rsidRPr="00E016EE">
        <w:rPr>
          <w:rFonts w:ascii="Arial" w:hAnsi="Arial" w:cs="Arial"/>
          <w:color w:val="363636"/>
          <w:shd w:val="clear" w:color="auto" w:fill="FFFFFF"/>
        </w:rPr>
        <w:t>Die </w:t>
      </w:r>
      <w:r w:rsidRPr="00E016EE">
        <w:rPr>
          <w:rStyle w:val="Fett"/>
          <w:rFonts w:ascii="Arial" w:hAnsi="Arial" w:cs="Arial"/>
          <w:color w:val="363636"/>
          <w:shd w:val="clear" w:color="auto" w:fill="FFFFFF"/>
        </w:rPr>
        <w:t>Erwerbsquote</w:t>
      </w:r>
      <w:r w:rsidRPr="00E016EE">
        <w:rPr>
          <w:rStyle w:val="Absatz-Standardschriftart1"/>
          <w:rFonts w:ascii="Arial" w:hAnsi="Arial" w:cs="Arial"/>
          <w:color w:val="000000"/>
        </w:rPr>
        <w:t xml:space="preserve"> gibt den Anteil der </w:t>
      </w:r>
      <w:r w:rsidRPr="00E016EE">
        <w:rPr>
          <w:rFonts w:ascii="Arial" w:hAnsi="Arial" w:cs="Arial"/>
          <w:color w:val="363636"/>
          <w:shd w:val="clear" w:color="auto" w:fill="FFFFFF"/>
        </w:rPr>
        <w:t xml:space="preserve">Erwerbspersonen (Erwerbstätige und Arbeitslose) </w:t>
      </w:r>
      <w:r w:rsidRPr="00E016EE">
        <w:rPr>
          <w:rStyle w:val="Absatz-Standardschriftart1"/>
          <w:rFonts w:ascii="Arial" w:hAnsi="Arial" w:cs="Arial"/>
          <w:color w:val="000000"/>
        </w:rPr>
        <w:t xml:space="preserve">an der Bevölkerung derselben Altersgruppe in Prozent an. Hier beziehen sich die Erwerbsquoten auf </w:t>
      </w:r>
      <w:r w:rsidRPr="00E016EE">
        <w:rPr>
          <w:rFonts w:ascii="Arial" w:hAnsi="Arial" w:cs="Arial"/>
          <w:color w:val="363636"/>
          <w:shd w:val="clear" w:color="auto" w:fill="FFFFFF"/>
        </w:rPr>
        <w:t>die Altersgruppe der 20- bis unter 65-Jährigen.</w:t>
      </w:r>
    </w:p>
    <w:p w14:paraId="28BE1D59" w14:textId="77777777" w:rsidR="007275D8" w:rsidRPr="00E016EE" w:rsidRDefault="007275D8" w:rsidP="007275D8">
      <w:pPr>
        <w:rPr>
          <w:rStyle w:val="Absatz-Standardschriftart1"/>
          <w:rFonts w:ascii="Arial" w:hAnsi="Arial" w:cs="Arial"/>
          <w:color w:val="000000"/>
        </w:rPr>
      </w:pPr>
    </w:p>
    <w:p w14:paraId="7E30237F" w14:textId="53F1258E" w:rsidR="00AB14BB" w:rsidRPr="00E016EE" w:rsidRDefault="00AB14BB" w:rsidP="00AB14BB">
      <w:pPr>
        <w:rPr>
          <w:rFonts w:ascii="Arial" w:hAnsi="Arial" w:cs="Arial"/>
          <w:color w:val="363636"/>
          <w:shd w:val="clear" w:color="auto" w:fill="FFFFFF"/>
        </w:rPr>
      </w:pPr>
      <w:r w:rsidRPr="00E016EE">
        <w:rPr>
          <w:rStyle w:val="Absatz-Standardschriftart1"/>
          <w:rFonts w:ascii="Arial" w:hAnsi="Arial" w:cs="Arial"/>
          <w:b/>
          <w:color w:val="000000"/>
        </w:rPr>
        <w:lastRenderedPageBreak/>
        <w:t>Erwerbstätige</w:t>
      </w:r>
      <w:r w:rsidRPr="00E016EE">
        <w:rPr>
          <w:rStyle w:val="Absatz-Standardschriftart1"/>
          <w:rFonts w:ascii="Arial" w:hAnsi="Arial" w:cs="Arial"/>
          <w:color w:val="000000"/>
        </w:rPr>
        <w:t xml:space="preserve"> sind </w:t>
      </w:r>
      <w:r w:rsidR="00646306" w:rsidRPr="00E016EE">
        <w:rPr>
          <w:rStyle w:val="Absatz-Standardschriftart1"/>
          <w:rFonts w:ascii="Arial" w:hAnsi="Arial" w:cs="Arial"/>
          <w:color w:val="000000"/>
        </w:rPr>
        <w:t xml:space="preserve">grundsätzlich </w:t>
      </w:r>
      <w:r w:rsidRPr="00E016EE">
        <w:rPr>
          <w:rStyle w:val="Absatz-Standardschriftart1"/>
          <w:rFonts w:ascii="Arial" w:hAnsi="Arial" w:cs="Arial"/>
          <w:color w:val="000000"/>
        </w:rPr>
        <w:t xml:space="preserve">alle Personen im Alter von mindestens 15 Jahren, die in der Bezugswoche (der EU-Arbeitskräfteerhebung) </w:t>
      </w:r>
      <w:r w:rsidRPr="00E016EE">
        <w:rPr>
          <w:rFonts w:ascii="Arial" w:hAnsi="Arial" w:cs="Arial"/>
          <w:color w:val="363636"/>
          <w:shd w:val="clear" w:color="auto" w:fill="FFFFFF"/>
        </w:rPr>
        <w:t>gegen Entgelt</w:t>
      </w:r>
      <w:r w:rsidR="00534D46" w:rsidRPr="00E016EE">
        <w:rPr>
          <w:rFonts w:ascii="Arial" w:hAnsi="Arial" w:cs="Arial"/>
          <w:color w:val="363636"/>
          <w:shd w:val="clear" w:color="auto" w:fill="FFFFFF"/>
        </w:rPr>
        <w:t xml:space="preserve"> oder </w:t>
      </w:r>
      <w:r w:rsidRPr="00E016EE">
        <w:rPr>
          <w:rFonts w:ascii="Arial" w:hAnsi="Arial" w:cs="Arial"/>
          <w:color w:val="363636"/>
          <w:shd w:val="clear" w:color="auto" w:fill="FFFFFF"/>
        </w:rPr>
        <w:t>zur Gewinnerzielung mindestens eine Stunde gearbeitet haben sowie alle Personen, die nur vorübergehend von ihrer Arbeit abwesend sind (zum Beispiel aufgrund von Krankheit, Urlaub, Streik, Aus- oder Weiterbildungsmaßnahmen).</w:t>
      </w:r>
    </w:p>
    <w:p w14:paraId="0042C1F3" w14:textId="77777777" w:rsidR="005F330B" w:rsidRPr="00E016EE" w:rsidRDefault="005F330B" w:rsidP="00AB14BB">
      <w:pPr>
        <w:rPr>
          <w:rFonts w:ascii="Arial" w:hAnsi="Arial" w:cs="Arial"/>
          <w:color w:val="363636"/>
          <w:shd w:val="clear" w:color="auto" w:fill="FFFFFF"/>
        </w:rPr>
      </w:pPr>
    </w:p>
    <w:p w14:paraId="1A45CD74" w14:textId="3E389C73" w:rsidR="007A14AB" w:rsidRPr="00E016EE" w:rsidRDefault="000967A8" w:rsidP="00F158D2">
      <w:pPr>
        <w:rPr>
          <w:rFonts w:ascii="Arial" w:hAnsi="Arial" w:cs="Arial"/>
          <w:color w:val="363636"/>
          <w:shd w:val="clear" w:color="auto" w:fill="FFFFFF"/>
        </w:rPr>
      </w:pPr>
      <w:r w:rsidRPr="00E016EE">
        <w:rPr>
          <w:rFonts w:ascii="Arial" w:hAnsi="Arial" w:cs="Arial"/>
          <w:color w:val="363636"/>
          <w:shd w:val="clear" w:color="auto" w:fill="FFFFFF"/>
        </w:rPr>
        <w:t xml:space="preserve">Die </w:t>
      </w:r>
      <w:r w:rsidR="005F330B" w:rsidRPr="00E016EE">
        <w:rPr>
          <w:rFonts w:ascii="Arial" w:hAnsi="Arial" w:cs="Arial"/>
          <w:b/>
          <w:color w:val="363636"/>
          <w:shd w:val="clear" w:color="auto" w:fill="FFFFFF"/>
        </w:rPr>
        <w:t xml:space="preserve">Erwerbspersonen </w:t>
      </w:r>
      <w:r w:rsidR="005F330B" w:rsidRPr="00E016EE">
        <w:rPr>
          <w:rFonts w:ascii="Arial" w:hAnsi="Arial" w:cs="Arial"/>
          <w:color w:val="363636"/>
          <w:shd w:val="clear" w:color="auto" w:fill="FFFFFF"/>
        </w:rPr>
        <w:t>(auch E</w:t>
      </w:r>
      <w:r w:rsidRPr="00E016EE">
        <w:rPr>
          <w:rFonts w:ascii="Arial" w:hAnsi="Arial" w:cs="Arial"/>
          <w:color w:val="363636"/>
          <w:shd w:val="clear" w:color="auto" w:fill="FFFFFF"/>
        </w:rPr>
        <w:t>rwerbsbevölkerung</w:t>
      </w:r>
      <w:r w:rsidR="005F330B" w:rsidRPr="00E016EE">
        <w:rPr>
          <w:rFonts w:ascii="Arial" w:hAnsi="Arial" w:cs="Arial"/>
          <w:color w:val="363636"/>
          <w:shd w:val="clear" w:color="auto" w:fill="FFFFFF"/>
        </w:rPr>
        <w:t>)</w:t>
      </w:r>
      <w:r w:rsidRPr="00E016EE">
        <w:rPr>
          <w:rFonts w:ascii="Arial" w:hAnsi="Arial" w:cs="Arial"/>
          <w:color w:val="363636"/>
          <w:shd w:val="clear" w:color="auto" w:fill="FFFFFF"/>
        </w:rPr>
        <w:t xml:space="preserve"> setz</w:t>
      </w:r>
      <w:r w:rsidR="005F330B" w:rsidRPr="00E016EE">
        <w:rPr>
          <w:rFonts w:ascii="Arial" w:hAnsi="Arial" w:cs="Arial"/>
          <w:color w:val="363636"/>
          <w:shd w:val="clear" w:color="auto" w:fill="FFFFFF"/>
        </w:rPr>
        <w:t>en</w:t>
      </w:r>
      <w:r w:rsidRPr="00E016EE">
        <w:rPr>
          <w:rFonts w:ascii="Arial" w:hAnsi="Arial" w:cs="Arial"/>
          <w:color w:val="363636"/>
          <w:shd w:val="clear" w:color="auto" w:fill="FFFFFF"/>
        </w:rPr>
        <w:t xml:space="preserve"> sich aus den Erwerbstätigen und den Arbeitslosen zusammen. Zu den Arbeitslosen zählen </w:t>
      </w:r>
      <w:r w:rsidR="007A14AB" w:rsidRPr="00E016EE">
        <w:rPr>
          <w:rStyle w:val="Absatz-Standardschriftart1"/>
          <w:rFonts w:ascii="Arial" w:hAnsi="Arial" w:cs="Arial"/>
          <w:color w:val="000000"/>
        </w:rPr>
        <w:t xml:space="preserve">grundsätzlich </w:t>
      </w:r>
      <w:r w:rsidRPr="00E016EE">
        <w:rPr>
          <w:rFonts w:ascii="Arial" w:hAnsi="Arial" w:cs="Arial"/>
          <w:color w:val="363636"/>
          <w:shd w:val="clear" w:color="auto" w:fill="FFFFFF"/>
        </w:rPr>
        <w:t xml:space="preserve">alle Personen von 15 bis </w:t>
      </w:r>
      <w:r w:rsidR="00C47797" w:rsidRPr="00E016EE">
        <w:rPr>
          <w:rFonts w:ascii="Arial" w:hAnsi="Arial" w:cs="Arial"/>
          <w:color w:val="363636"/>
          <w:shd w:val="clear" w:color="auto" w:fill="FFFFFF"/>
        </w:rPr>
        <w:t>unter 75</w:t>
      </w:r>
      <w:r w:rsidRPr="00E016EE">
        <w:rPr>
          <w:rFonts w:ascii="Arial" w:hAnsi="Arial" w:cs="Arial"/>
          <w:color w:val="363636"/>
          <w:shd w:val="clear" w:color="auto" w:fill="FFFFFF"/>
        </w:rPr>
        <w:t xml:space="preserve"> Jahren,</w:t>
      </w:r>
      <w:r w:rsidR="00F158D2" w:rsidRPr="00E016EE">
        <w:rPr>
          <w:rFonts w:ascii="Arial" w:hAnsi="Arial" w:cs="Arial"/>
          <w:color w:val="363636"/>
          <w:shd w:val="clear" w:color="auto" w:fill="FFFFFF"/>
        </w:rPr>
        <w:t xml:space="preserve"> </w:t>
      </w:r>
      <w:r w:rsidR="00A82A5A" w:rsidRPr="00E016EE">
        <w:rPr>
          <w:rFonts w:ascii="Arial" w:hAnsi="Arial" w:cs="Arial"/>
          <w:color w:val="000000"/>
        </w:rPr>
        <w:t xml:space="preserve">die während der </w:t>
      </w:r>
      <w:r w:rsidR="00A82A5A" w:rsidRPr="00E016EE">
        <w:rPr>
          <w:rFonts w:ascii="Arial" w:hAnsi="Arial" w:cs="Arial"/>
          <w:color w:val="363636"/>
          <w:shd w:val="clear" w:color="auto" w:fill="FFFFFF"/>
        </w:rPr>
        <w:t>Bezugswoche ohne Arbeit waren,</w:t>
      </w:r>
      <w:r w:rsidR="00F158D2" w:rsidRPr="00E016EE">
        <w:rPr>
          <w:rFonts w:ascii="Arial" w:hAnsi="Arial" w:cs="Arial"/>
          <w:color w:val="363636"/>
          <w:shd w:val="clear" w:color="auto" w:fill="FFFFFF"/>
        </w:rPr>
        <w:t xml:space="preserve"> </w:t>
      </w:r>
      <w:r w:rsidR="00A82A5A" w:rsidRPr="00E016EE">
        <w:rPr>
          <w:rFonts w:ascii="Arial" w:hAnsi="Arial" w:cs="Arial"/>
          <w:color w:val="363636"/>
          <w:shd w:val="clear" w:color="auto" w:fill="FFFFFF"/>
        </w:rPr>
        <w:t>die innerhalb der letzten vier Wochen aktiv eine Beschäftigung gesucht haben und die sofort bzw. innerhalb von zwei Wochen eine Beschäftigung aufnehmen könnten.</w:t>
      </w:r>
    </w:p>
    <w:p w14:paraId="0C596448" w14:textId="77777777" w:rsidR="00632CBC" w:rsidRPr="00E016EE" w:rsidRDefault="00632CBC" w:rsidP="000967A8">
      <w:pPr>
        <w:rPr>
          <w:rFonts w:ascii="Arial" w:hAnsi="Arial" w:cs="Arial"/>
          <w:color w:val="363636"/>
          <w:shd w:val="clear" w:color="auto" w:fill="FFFFFF"/>
        </w:rPr>
      </w:pPr>
    </w:p>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04B203A" w14:textId="78E57B9C" w:rsidR="00F56C6E" w:rsidRDefault="00D2082D">
      <w:pPr>
        <w:rPr>
          <w:rFonts w:ascii="Arial" w:hAnsi="Arial"/>
          <w:sz w:val="20"/>
          <w:szCs w:val="20"/>
        </w:rPr>
      </w:pPr>
      <w:r>
        <w:rPr>
          <w:rFonts w:ascii="Arial" w:hAnsi="Arial"/>
          <w:sz w:val="20"/>
          <w:szCs w:val="20"/>
        </w:rPr>
        <w:t>Bundeszentrale für politische Bildung 201</w:t>
      </w:r>
      <w:r w:rsidR="005D67F1">
        <w:rPr>
          <w:rFonts w:ascii="Arial" w:hAnsi="Arial"/>
          <w:sz w:val="20"/>
          <w:szCs w:val="20"/>
        </w:rPr>
        <w:t>9</w:t>
      </w:r>
      <w:r>
        <w:rPr>
          <w:rFonts w:ascii="Arial" w:hAnsi="Arial"/>
          <w:sz w:val="20"/>
          <w:szCs w:val="20"/>
        </w:rPr>
        <w:t xml:space="preserve"> | </w:t>
      </w:r>
      <w:hyperlink r:id="rId9" w:history="1">
        <w:r w:rsidRPr="00595F8B">
          <w:rPr>
            <w:rFonts w:ascii="Arial" w:hAnsi="Arial"/>
            <w:sz w:val="20"/>
            <w:szCs w:val="20"/>
          </w:rPr>
          <w:t>www.bpb.de</w:t>
        </w:r>
      </w:hyperlink>
    </w:p>
    <w:sectPr w:rsidR="00F56C6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282382"/>
    <w:multiLevelType w:val="hybridMultilevel"/>
    <w:tmpl w:val="EE3A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45539C"/>
    <w:multiLevelType w:val="hybridMultilevel"/>
    <w:tmpl w:val="8D1C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DF6079"/>
    <w:multiLevelType w:val="multilevel"/>
    <w:tmpl w:val="76C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044AE"/>
    <w:rsid w:val="00006E78"/>
    <w:rsid w:val="000114C7"/>
    <w:rsid w:val="00012777"/>
    <w:rsid w:val="0002482A"/>
    <w:rsid w:val="00025A78"/>
    <w:rsid w:val="000276F6"/>
    <w:rsid w:val="0003364A"/>
    <w:rsid w:val="00035D5A"/>
    <w:rsid w:val="00044964"/>
    <w:rsid w:val="00047707"/>
    <w:rsid w:val="00056826"/>
    <w:rsid w:val="00056EDA"/>
    <w:rsid w:val="00057605"/>
    <w:rsid w:val="00062A38"/>
    <w:rsid w:val="000633E9"/>
    <w:rsid w:val="00070A93"/>
    <w:rsid w:val="000728FC"/>
    <w:rsid w:val="00075182"/>
    <w:rsid w:val="000771FC"/>
    <w:rsid w:val="00085B81"/>
    <w:rsid w:val="0009208A"/>
    <w:rsid w:val="00094195"/>
    <w:rsid w:val="000967A8"/>
    <w:rsid w:val="000A1861"/>
    <w:rsid w:val="000A20C8"/>
    <w:rsid w:val="000A3CFA"/>
    <w:rsid w:val="000A5B99"/>
    <w:rsid w:val="000A5FC7"/>
    <w:rsid w:val="000B14E0"/>
    <w:rsid w:val="000B6FD4"/>
    <w:rsid w:val="000D2D97"/>
    <w:rsid w:val="000E3D65"/>
    <w:rsid w:val="000E4B99"/>
    <w:rsid w:val="000F6D73"/>
    <w:rsid w:val="001018BD"/>
    <w:rsid w:val="00103015"/>
    <w:rsid w:val="00104A93"/>
    <w:rsid w:val="001069B4"/>
    <w:rsid w:val="00120C90"/>
    <w:rsid w:val="00123C03"/>
    <w:rsid w:val="001261E3"/>
    <w:rsid w:val="00130273"/>
    <w:rsid w:val="00131BAE"/>
    <w:rsid w:val="001332BD"/>
    <w:rsid w:val="00146B0F"/>
    <w:rsid w:val="00154664"/>
    <w:rsid w:val="001626DA"/>
    <w:rsid w:val="001647B2"/>
    <w:rsid w:val="00165C1C"/>
    <w:rsid w:val="00170C35"/>
    <w:rsid w:val="00182BDC"/>
    <w:rsid w:val="001854EE"/>
    <w:rsid w:val="00185E3E"/>
    <w:rsid w:val="00192110"/>
    <w:rsid w:val="00197AEB"/>
    <w:rsid w:val="001A113B"/>
    <w:rsid w:val="001A6020"/>
    <w:rsid w:val="001B131C"/>
    <w:rsid w:val="001D41D8"/>
    <w:rsid w:val="001D7394"/>
    <w:rsid w:val="001E064E"/>
    <w:rsid w:val="001F0331"/>
    <w:rsid w:val="001F117A"/>
    <w:rsid w:val="001F57E0"/>
    <w:rsid w:val="001F7E45"/>
    <w:rsid w:val="00203BE9"/>
    <w:rsid w:val="00206718"/>
    <w:rsid w:val="00212AAE"/>
    <w:rsid w:val="00231C75"/>
    <w:rsid w:val="00233842"/>
    <w:rsid w:val="00234140"/>
    <w:rsid w:val="002402A0"/>
    <w:rsid w:val="00243E87"/>
    <w:rsid w:val="00244B4E"/>
    <w:rsid w:val="00250510"/>
    <w:rsid w:val="002548C0"/>
    <w:rsid w:val="0026000F"/>
    <w:rsid w:val="00261EB3"/>
    <w:rsid w:val="002637A4"/>
    <w:rsid w:val="002724A4"/>
    <w:rsid w:val="00273A77"/>
    <w:rsid w:val="00274006"/>
    <w:rsid w:val="00277631"/>
    <w:rsid w:val="00282BAF"/>
    <w:rsid w:val="002850DE"/>
    <w:rsid w:val="00292358"/>
    <w:rsid w:val="002A0178"/>
    <w:rsid w:val="002A3736"/>
    <w:rsid w:val="002B7E12"/>
    <w:rsid w:val="002C2640"/>
    <w:rsid w:val="002C4087"/>
    <w:rsid w:val="002C6675"/>
    <w:rsid w:val="002D0654"/>
    <w:rsid w:val="002D2A96"/>
    <w:rsid w:val="002D64F4"/>
    <w:rsid w:val="002D7B06"/>
    <w:rsid w:val="002E019E"/>
    <w:rsid w:val="002E2E39"/>
    <w:rsid w:val="002F089A"/>
    <w:rsid w:val="002F3779"/>
    <w:rsid w:val="002F3EE8"/>
    <w:rsid w:val="003046C6"/>
    <w:rsid w:val="00307CBE"/>
    <w:rsid w:val="003119B8"/>
    <w:rsid w:val="00313D9A"/>
    <w:rsid w:val="00324B3D"/>
    <w:rsid w:val="003313AA"/>
    <w:rsid w:val="003408F5"/>
    <w:rsid w:val="00345F0E"/>
    <w:rsid w:val="00380040"/>
    <w:rsid w:val="00380BB3"/>
    <w:rsid w:val="00382E13"/>
    <w:rsid w:val="0039046A"/>
    <w:rsid w:val="00392237"/>
    <w:rsid w:val="003957BD"/>
    <w:rsid w:val="003959CD"/>
    <w:rsid w:val="003A3BC9"/>
    <w:rsid w:val="003A6A52"/>
    <w:rsid w:val="003D7D6F"/>
    <w:rsid w:val="003E6CBC"/>
    <w:rsid w:val="003E7AFC"/>
    <w:rsid w:val="003F4572"/>
    <w:rsid w:val="00402CFF"/>
    <w:rsid w:val="004030EB"/>
    <w:rsid w:val="0040687B"/>
    <w:rsid w:val="0042100B"/>
    <w:rsid w:val="00422819"/>
    <w:rsid w:val="0044060D"/>
    <w:rsid w:val="00442648"/>
    <w:rsid w:val="00450D21"/>
    <w:rsid w:val="00455F52"/>
    <w:rsid w:val="00457DB5"/>
    <w:rsid w:val="00471DA5"/>
    <w:rsid w:val="00472226"/>
    <w:rsid w:val="00476543"/>
    <w:rsid w:val="00486A15"/>
    <w:rsid w:val="004903E1"/>
    <w:rsid w:val="004A7A49"/>
    <w:rsid w:val="004C124B"/>
    <w:rsid w:val="004C3065"/>
    <w:rsid w:val="004D1E26"/>
    <w:rsid w:val="004D2EFE"/>
    <w:rsid w:val="004E3A93"/>
    <w:rsid w:val="004E4C93"/>
    <w:rsid w:val="004F4BF5"/>
    <w:rsid w:val="00520C79"/>
    <w:rsid w:val="00524EF9"/>
    <w:rsid w:val="005334DC"/>
    <w:rsid w:val="005345B6"/>
    <w:rsid w:val="00534D46"/>
    <w:rsid w:val="005417FA"/>
    <w:rsid w:val="0054225B"/>
    <w:rsid w:val="0056591A"/>
    <w:rsid w:val="00571D2A"/>
    <w:rsid w:val="005726D3"/>
    <w:rsid w:val="00577A3F"/>
    <w:rsid w:val="00584938"/>
    <w:rsid w:val="00585D1D"/>
    <w:rsid w:val="0059302E"/>
    <w:rsid w:val="005977CE"/>
    <w:rsid w:val="005A3391"/>
    <w:rsid w:val="005A5739"/>
    <w:rsid w:val="005B11AC"/>
    <w:rsid w:val="005B7E92"/>
    <w:rsid w:val="005C4460"/>
    <w:rsid w:val="005D07AC"/>
    <w:rsid w:val="005D67F1"/>
    <w:rsid w:val="005E1DB7"/>
    <w:rsid w:val="005F32F5"/>
    <w:rsid w:val="005F330B"/>
    <w:rsid w:val="005F5C8C"/>
    <w:rsid w:val="0060015E"/>
    <w:rsid w:val="00602231"/>
    <w:rsid w:val="006109EF"/>
    <w:rsid w:val="006150DD"/>
    <w:rsid w:val="006323DA"/>
    <w:rsid w:val="0063248C"/>
    <w:rsid w:val="00632CBC"/>
    <w:rsid w:val="00642ABD"/>
    <w:rsid w:val="00646306"/>
    <w:rsid w:val="006602B4"/>
    <w:rsid w:val="006602E6"/>
    <w:rsid w:val="00661037"/>
    <w:rsid w:val="006619EA"/>
    <w:rsid w:val="00664B0D"/>
    <w:rsid w:val="00664C93"/>
    <w:rsid w:val="006701F4"/>
    <w:rsid w:val="00684772"/>
    <w:rsid w:val="0069060F"/>
    <w:rsid w:val="006960F9"/>
    <w:rsid w:val="006A7A5E"/>
    <w:rsid w:val="006B10DA"/>
    <w:rsid w:val="006B3C96"/>
    <w:rsid w:val="006B4A78"/>
    <w:rsid w:val="006B5BE8"/>
    <w:rsid w:val="006C0CFD"/>
    <w:rsid w:val="006D3D9F"/>
    <w:rsid w:val="006F5E22"/>
    <w:rsid w:val="007035C2"/>
    <w:rsid w:val="00725CC5"/>
    <w:rsid w:val="0072693B"/>
    <w:rsid w:val="007275D8"/>
    <w:rsid w:val="007452F8"/>
    <w:rsid w:val="007454FA"/>
    <w:rsid w:val="00745965"/>
    <w:rsid w:val="00745D2D"/>
    <w:rsid w:val="00754295"/>
    <w:rsid w:val="007577D3"/>
    <w:rsid w:val="0077242A"/>
    <w:rsid w:val="00773E2A"/>
    <w:rsid w:val="00775BE9"/>
    <w:rsid w:val="0077656D"/>
    <w:rsid w:val="00782CDB"/>
    <w:rsid w:val="00790559"/>
    <w:rsid w:val="007911A5"/>
    <w:rsid w:val="00793642"/>
    <w:rsid w:val="00793B4C"/>
    <w:rsid w:val="00796326"/>
    <w:rsid w:val="007A14AB"/>
    <w:rsid w:val="007C1B77"/>
    <w:rsid w:val="007C6AE7"/>
    <w:rsid w:val="007D23B3"/>
    <w:rsid w:val="007D4949"/>
    <w:rsid w:val="007E3A6D"/>
    <w:rsid w:val="007F0063"/>
    <w:rsid w:val="00800521"/>
    <w:rsid w:val="00801B1A"/>
    <w:rsid w:val="0080363F"/>
    <w:rsid w:val="00805D15"/>
    <w:rsid w:val="008139F1"/>
    <w:rsid w:val="0081742B"/>
    <w:rsid w:val="008215E2"/>
    <w:rsid w:val="008227EE"/>
    <w:rsid w:val="008241C6"/>
    <w:rsid w:val="008261D9"/>
    <w:rsid w:val="0083066B"/>
    <w:rsid w:val="0084713E"/>
    <w:rsid w:val="00854D3A"/>
    <w:rsid w:val="00857767"/>
    <w:rsid w:val="00860554"/>
    <w:rsid w:val="008647E5"/>
    <w:rsid w:val="00870C48"/>
    <w:rsid w:val="0087634E"/>
    <w:rsid w:val="0087639E"/>
    <w:rsid w:val="00880907"/>
    <w:rsid w:val="00891221"/>
    <w:rsid w:val="008A0BC8"/>
    <w:rsid w:val="008B3920"/>
    <w:rsid w:val="008C3A0D"/>
    <w:rsid w:val="008C5587"/>
    <w:rsid w:val="008D01FA"/>
    <w:rsid w:val="008D2AA3"/>
    <w:rsid w:val="008E09E2"/>
    <w:rsid w:val="00900B96"/>
    <w:rsid w:val="0091448C"/>
    <w:rsid w:val="00934566"/>
    <w:rsid w:val="00936424"/>
    <w:rsid w:val="00936B67"/>
    <w:rsid w:val="0094069F"/>
    <w:rsid w:val="00942C62"/>
    <w:rsid w:val="00943563"/>
    <w:rsid w:val="00945FBA"/>
    <w:rsid w:val="0095124B"/>
    <w:rsid w:val="00957272"/>
    <w:rsid w:val="0095751B"/>
    <w:rsid w:val="00961704"/>
    <w:rsid w:val="00965895"/>
    <w:rsid w:val="009713C5"/>
    <w:rsid w:val="00971C66"/>
    <w:rsid w:val="00984083"/>
    <w:rsid w:val="009853B7"/>
    <w:rsid w:val="00992CA9"/>
    <w:rsid w:val="00994A5B"/>
    <w:rsid w:val="00996FAD"/>
    <w:rsid w:val="009A148A"/>
    <w:rsid w:val="009A6D43"/>
    <w:rsid w:val="009C2DA4"/>
    <w:rsid w:val="009C3B9C"/>
    <w:rsid w:val="009D3C20"/>
    <w:rsid w:val="009E19D8"/>
    <w:rsid w:val="009E7EFF"/>
    <w:rsid w:val="009F01E0"/>
    <w:rsid w:val="009F1B71"/>
    <w:rsid w:val="009F527D"/>
    <w:rsid w:val="00A12FAD"/>
    <w:rsid w:val="00A141DD"/>
    <w:rsid w:val="00A21184"/>
    <w:rsid w:val="00A328FA"/>
    <w:rsid w:val="00A354D5"/>
    <w:rsid w:val="00A35B7E"/>
    <w:rsid w:val="00A42406"/>
    <w:rsid w:val="00A42C87"/>
    <w:rsid w:val="00A43C4E"/>
    <w:rsid w:val="00A5070B"/>
    <w:rsid w:val="00A62140"/>
    <w:rsid w:val="00A62313"/>
    <w:rsid w:val="00A714B0"/>
    <w:rsid w:val="00A71784"/>
    <w:rsid w:val="00A8044F"/>
    <w:rsid w:val="00A806CA"/>
    <w:rsid w:val="00A8154B"/>
    <w:rsid w:val="00A82A5A"/>
    <w:rsid w:val="00AA0193"/>
    <w:rsid w:val="00AA0AFC"/>
    <w:rsid w:val="00AA7E5D"/>
    <w:rsid w:val="00AB0872"/>
    <w:rsid w:val="00AB14BB"/>
    <w:rsid w:val="00AC2C3E"/>
    <w:rsid w:val="00AD166C"/>
    <w:rsid w:val="00AF1717"/>
    <w:rsid w:val="00AF2C78"/>
    <w:rsid w:val="00AF53FD"/>
    <w:rsid w:val="00AF7486"/>
    <w:rsid w:val="00B02F47"/>
    <w:rsid w:val="00B0637F"/>
    <w:rsid w:val="00B072B2"/>
    <w:rsid w:val="00B1272A"/>
    <w:rsid w:val="00B12E8D"/>
    <w:rsid w:val="00B1401B"/>
    <w:rsid w:val="00B277D3"/>
    <w:rsid w:val="00B31A0E"/>
    <w:rsid w:val="00B359A1"/>
    <w:rsid w:val="00B45E85"/>
    <w:rsid w:val="00B469CC"/>
    <w:rsid w:val="00B54805"/>
    <w:rsid w:val="00B54CE7"/>
    <w:rsid w:val="00B5712A"/>
    <w:rsid w:val="00B6608C"/>
    <w:rsid w:val="00B7080B"/>
    <w:rsid w:val="00B77218"/>
    <w:rsid w:val="00B80F18"/>
    <w:rsid w:val="00B979DD"/>
    <w:rsid w:val="00BA15AC"/>
    <w:rsid w:val="00BB1263"/>
    <w:rsid w:val="00BB26AA"/>
    <w:rsid w:val="00BB6C21"/>
    <w:rsid w:val="00BD04A0"/>
    <w:rsid w:val="00BD3424"/>
    <w:rsid w:val="00BE37AA"/>
    <w:rsid w:val="00BE5400"/>
    <w:rsid w:val="00C10280"/>
    <w:rsid w:val="00C10832"/>
    <w:rsid w:val="00C31020"/>
    <w:rsid w:val="00C31E1F"/>
    <w:rsid w:val="00C354AC"/>
    <w:rsid w:val="00C422E3"/>
    <w:rsid w:val="00C47797"/>
    <w:rsid w:val="00C53B8A"/>
    <w:rsid w:val="00C54C7D"/>
    <w:rsid w:val="00C6236B"/>
    <w:rsid w:val="00C66EA6"/>
    <w:rsid w:val="00C712BC"/>
    <w:rsid w:val="00C7500E"/>
    <w:rsid w:val="00C80BC0"/>
    <w:rsid w:val="00C81708"/>
    <w:rsid w:val="00C91250"/>
    <w:rsid w:val="00C970B8"/>
    <w:rsid w:val="00CA3446"/>
    <w:rsid w:val="00CA344B"/>
    <w:rsid w:val="00CB6DE3"/>
    <w:rsid w:val="00CB7535"/>
    <w:rsid w:val="00CD3113"/>
    <w:rsid w:val="00CE41FE"/>
    <w:rsid w:val="00CE4643"/>
    <w:rsid w:val="00CF26D2"/>
    <w:rsid w:val="00CF45D4"/>
    <w:rsid w:val="00CF4EE0"/>
    <w:rsid w:val="00D016FE"/>
    <w:rsid w:val="00D13775"/>
    <w:rsid w:val="00D2082D"/>
    <w:rsid w:val="00D210F6"/>
    <w:rsid w:val="00D3750A"/>
    <w:rsid w:val="00D41913"/>
    <w:rsid w:val="00D41A52"/>
    <w:rsid w:val="00D42D77"/>
    <w:rsid w:val="00D513E7"/>
    <w:rsid w:val="00D552DC"/>
    <w:rsid w:val="00D558DB"/>
    <w:rsid w:val="00D64566"/>
    <w:rsid w:val="00D76851"/>
    <w:rsid w:val="00D82041"/>
    <w:rsid w:val="00D93546"/>
    <w:rsid w:val="00D937C5"/>
    <w:rsid w:val="00DA4DE2"/>
    <w:rsid w:val="00DA6BF5"/>
    <w:rsid w:val="00DB0F4F"/>
    <w:rsid w:val="00DC356D"/>
    <w:rsid w:val="00DD07BE"/>
    <w:rsid w:val="00DD704E"/>
    <w:rsid w:val="00DD759B"/>
    <w:rsid w:val="00E016EE"/>
    <w:rsid w:val="00E042AA"/>
    <w:rsid w:val="00E0541B"/>
    <w:rsid w:val="00E06DD4"/>
    <w:rsid w:val="00E123B6"/>
    <w:rsid w:val="00E219E9"/>
    <w:rsid w:val="00E33E79"/>
    <w:rsid w:val="00E35899"/>
    <w:rsid w:val="00E412CA"/>
    <w:rsid w:val="00E51C68"/>
    <w:rsid w:val="00E5348F"/>
    <w:rsid w:val="00E53FDF"/>
    <w:rsid w:val="00E73B38"/>
    <w:rsid w:val="00E761FB"/>
    <w:rsid w:val="00E771D3"/>
    <w:rsid w:val="00E80D4F"/>
    <w:rsid w:val="00E96224"/>
    <w:rsid w:val="00EA163E"/>
    <w:rsid w:val="00EB6B7E"/>
    <w:rsid w:val="00EB76F9"/>
    <w:rsid w:val="00EC12E6"/>
    <w:rsid w:val="00EC6873"/>
    <w:rsid w:val="00ED04A8"/>
    <w:rsid w:val="00ED224D"/>
    <w:rsid w:val="00F158D2"/>
    <w:rsid w:val="00F1767E"/>
    <w:rsid w:val="00F2373F"/>
    <w:rsid w:val="00F425F6"/>
    <w:rsid w:val="00F447CB"/>
    <w:rsid w:val="00F44DC4"/>
    <w:rsid w:val="00F56391"/>
    <w:rsid w:val="00F56C6E"/>
    <w:rsid w:val="00F60AC2"/>
    <w:rsid w:val="00F64B9C"/>
    <w:rsid w:val="00F7210A"/>
    <w:rsid w:val="00F72974"/>
    <w:rsid w:val="00F7597D"/>
    <w:rsid w:val="00F81EEF"/>
    <w:rsid w:val="00F9239D"/>
    <w:rsid w:val="00F93CC0"/>
    <w:rsid w:val="00F955B6"/>
    <w:rsid w:val="00FA2623"/>
    <w:rsid w:val="00FA2A7D"/>
    <w:rsid w:val="00FA6586"/>
    <w:rsid w:val="00FA7B31"/>
    <w:rsid w:val="00FC4D73"/>
    <w:rsid w:val="00FC69DF"/>
    <w:rsid w:val="00FC7DEE"/>
    <w:rsid w:val="00FD033D"/>
    <w:rsid w:val="00FE23DD"/>
    <w:rsid w:val="00FE2C7A"/>
    <w:rsid w:val="00FE2EE9"/>
    <w:rsid w:val="00FE7A86"/>
    <w:rsid w:val="00FF39B3"/>
    <w:rsid w:val="00FF4928"/>
    <w:rsid w:val="00FF51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907">
      <w:bodyDiv w:val="1"/>
      <w:marLeft w:val="0"/>
      <w:marRight w:val="0"/>
      <w:marTop w:val="0"/>
      <w:marBottom w:val="0"/>
      <w:divBdr>
        <w:top w:val="none" w:sz="0" w:space="0" w:color="auto"/>
        <w:left w:val="none" w:sz="0" w:space="0" w:color="auto"/>
        <w:bottom w:val="none" w:sz="0" w:space="0" w:color="auto"/>
        <w:right w:val="none" w:sz="0" w:space="0" w:color="auto"/>
      </w:divBdr>
    </w:div>
    <w:div w:id="156383410">
      <w:bodyDiv w:val="1"/>
      <w:marLeft w:val="0"/>
      <w:marRight w:val="0"/>
      <w:marTop w:val="0"/>
      <w:marBottom w:val="0"/>
      <w:divBdr>
        <w:top w:val="none" w:sz="0" w:space="0" w:color="auto"/>
        <w:left w:val="none" w:sz="0" w:space="0" w:color="auto"/>
        <w:bottom w:val="none" w:sz="0" w:space="0" w:color="auto"/>
        <w:right w:val="none" w:sz="0" w:space="0" w:color="auto"/>
      </w:divBdr>
    </w:div>
    <w:div w:id="737898313">
      <w:bodyDiv w:val="1"/>
      <w:marLeft w:val="0"/>
      <w:marRight w:val="0"/>
      <w:marTop w:val="0"/>
      <w:marBottom w:val="0"/>
      <w:divBdr>
        <w:top w:val="none" w:sz="0" w:space="0" w:color="auto"/>
        <w:left w:val="none" w:sz="0" w:space="0" w:color="auto"/>
        <w:bottom w:val="none" w:sz="0" w:space="0" w:color="auto"/>
        <w:right w:val="none" w:sz="0" w:space="0" w:color="auto"/>
      </w:divBdr>
      <w:divsChild>
        <w:div w:id="1617636006">
          <w:marLeft w:val="0"/>
          <w:marRight w:val="0"/>
          <w:marTop w:val="0"/>
          <w:marBottom w:val="0"/>
          <w:divBdr>
            <w:top w:val="none" w:sz="0" w:space="0" w:color="auto"/>
            <w:left w:val="none" w:sz="0" w:space="0" w:color="auto"/>
            <w:bottom w:val="none" w:sz="0" w:space="0" w:color="auto"/>
            <w:right w:val="none" w:sz="0" w:space="0" w:color="auto"/>
          </w:divBdr>
          <w:divsChild>
            <w:div w:id="1352105667">
              <w:marLeft w:val="0"/>
              <w:marRight w:val="0"/>
              <w:marTop w:val="0"/>
              <w:marBottom w:val="0"/>
              <w:divBdr>
                <w:top w:val="none" w:sz="0" w:space="0" w:color="auto"/>
                <w:left w:val="none" w:sz="0" w:space="0" w:color="auto"/>
                <w:bottom w:val="none" w:sz="0" w:space="0" w:color="auto"/>
                <w:right w:val="none" w:sz="0" w:space="0" w:color="auto"/>
              </w:divBdr>
            </w:div>
            <w:div w:id="1023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 w:id="116277089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59">
          <w:marLeft w:val="0"/>
          <w:marRight w:val="0"/>
          <w:marTop w:val="0"/>
          <w:marBottom w:val="0"/>
          <w:divBdr>
            <w:top w:val="none" w:sz="0" w:space="0" w:color="auto"/>
            <w:left w:val="none" w:sz="0" w:space="0" w:color="auto"/>
            <w:bottom w:val="none" w:sz="0" w:space="0" w:color="auto"/>
            <w:right w:val="none" w:sz="0" w:space="0" w:color="auto"/>
          </w:divBdr>
          <w:divsChild>
            <w:div w:id="387849811">
              <w:marLeft w:val="0"/>
              <w:marRight w:val="0"/>
              <w:marTop w:val="0"/>
              <w:marBottom w:val="0"/>
              <w:divBdr>
                <w:top w:val="none" w:sz="0" w:space="0" w:color="auto"/>
                <w:left w:val="none" w:sz="0" w:space="0" w:color="auto"/>
                <w:bottom w:val="none" w:sz="0" w:space="0" w:color="auto"/>
                <w:right w:val="none" w:sz="0" w:space="0" w:color="auto"/>
              </w:divBdr>
            </w:div>
            <w:div w:id="1474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713">
      <w:bodyDiv w:val="1"/>
      <w:marLeft w:val="0"/>
      <w:marRight w:val="0"/>
      <w:marTop w:val="0"/>
      <w:marBottom w:val="0"/>
      <w:divBdr>
        <w:top w:val="none" w:sz="0" w:space="0" w:color="auto"/>
        <w:left w:val="none" w:sz="0" w:space="0" w:color="auto"/>
        <w:bottom w:val="none" w:sz="0" w:space="0" w:color="auto"/>
        <w:right w:val="none" w:sz="0" w:space="0" w:color="auto"/>
      </w:divBdr>
    </w:div>
    <w:div w:id="1472793789">
      <w:bodyDiv w:val="1"/>
      <w:marLeft w:val="0"/>
      <w:marRight w:val="0"/>
      <w:marTop w:val="0"/>
      <w:marBottom w:val="0"/>
      <w:divBdr>
        <w:top w:val="none" w:sz="0" w:space="0" w:color="auto"/>
        <w:left w:val="none" w:sz="0" w:space="0" w:color="auto"/>
        <w:bottom w:val="none" w:sz="0" w:space="0" w:color="auto"/>
        <w:right w:val="none" w:sz="0" w:space="0" w:color="auto"/>
      </w:divBdr>
      <w:divsChild>
        <w:div w:id="338775948">
          <w:marLeft w:val="0"/>
          <w:marRight w:val="0"/>
          <w:marTop w:val="0"/>
          <w:marBottom w:val="0"/>
          <w:divBdr>
            <w:top w:val="none" w:sz="0" w:space="0" w:color="auto"/>
            <w:left w:val="none" w:sz="0" w:space="0" w:color="auto"/>
            <w:bottom w:val="none" w:sz="0" w:space="0" w:color="auto"/>
            <w:right w:val="none" w:sz="0" w:space="0" w:color="auto"/>
          </w:divBdr>
          <w:divsChild>
            <w:div w:id="1208253601">
              <w:marLeft w:val="0"/>
              <w:marRight w:val="0"/>
              <w:marTop w:val="0"/>
              <w:marBottom w:val="0"/>
              <w:divBdr>
                <w:top w:val="none" w:sz="0" w:space="0" w:color="auto"/>
                <w:left w:val="none" w:sz="0" w:space="0" w:color="auto"/>
                <w:bottom w:val="none" w:sz="0" w:space="0" w:color="auto"/>
                <w:right w:val="none" w:sz="0" w:space="0" w:color="auto"/>
              </w:divBdr>
            </w:div>
            <w:div w:id="11734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60208">
      <w:bodyDiv w:val="1"/>
      <w:marLeft w:val="0"/>
      <w:marRight w:val="0"/>
      <w:marTop w:val="0"/>
      <w:marBottom w:val="0"/>
      <w:divBdr>
        <w:top w:val="none" w:sz="0" w:space="0" w:color="auto"/>
        <w:left w:val="none" w:sz="0" w:space="0" w:color="auto"/>
        <w:bottom w:val="none" w:sz="0" w:space="0" w:color="auto"/>
        <w:right w:val="none" w:sz="0" w:space="0" w:color="auto"/>
      </w:divBdr>
    </w:div>
    <w:div w:id="18030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705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690A-1AA2-47D4-B02C-61947FC8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2112-12-31T22:00:00Z</cp:lastPrinted>
  <dcterms:created xsi:type="dcterms:W3CDTF">2019-01-28T09:23:00Z</dcterms:created>
  <dcterms:modified xsi:type="dcterms:W3CDTF">2019-02-18T10:31:00Z</dcterms:modified>
</cp:coreProperties>
</file>