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D4208" w14:textId="6343FB1B" w:rsidR="004A116E" w:rsidRDefault="004A116E" w:rsidP="00F27BCB">
      <w:pPr>
        <w:pStyle w:val="StandardWeb"/>
        <w:shd w:val="clear" w:color="auto" w:fill="FFFFFF"/>
        <w:spacing w:before="0" w:after="0"/>
        <w:rPr>
          <w:rFonts w:ascii="Arial" w:hAnsi="Arial" w:cs="Arial"/>
          <w:b/>
          <w:color w:val="3636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363636"/>
          <w:shd w:val="clear" w:color="auto" w:fill="FFFFFF"/>
        </w:rPr>
        <w:t xml:space="preserve">Im Jahr 2017 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 xml:space="preserve">erreichte die Erwerbstätigenquote </w:t>
      </w:r>
      <w:r w:rsidR="00E27AB5" w:rsidRPr="00E27AB5">
        <w:rPr>
          <w:rFonts w:ascii="Arial" w:hAnsi="Arial" w:cs="Arial"/>
          <w:b/>
          <w:color w:val="363636"/>
          <w:shd w:val="clear" w:color="auto" w:fill="FFFFFF"/>
        </w:rPr>
        <w:t xml:space="preserve">der 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>28 EU-Mitgliedstaaten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>mit 72,2 Prozent den höchsten je verzeichneten Wert.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 xml:space="preserve">Insbesondere zwei Faktoren sind für diese Entwicklung verantwortlich: Die zunehmende Erwerbsbeteiligung der Frauen und der Älteren. </w:t>
      </w:r>
      <w:r w:rsidRPr="004A116E">
        <w:rPr>
          <w:rFonts w:ascii="Arial" w:hAnsi="Arial" w:cs="Arial"/>
          <w:b/>
          <w:color w:val="363636"/>
          <w:shd w:val="clear" w:color="auto" w:fill="FFFFFF"/>
        </w:rPr>
        <w:t xml:space="preserve">Während die Erwerbstätigenquote der 20- bis </w:t>
      </w:r>
      <w:r w:rsidR="00264884">
        <w:rPr>
          <w:rFonts w:ascii="Arial" w:hAnsi="Arial" w:cs="Arial"/>
          <w:b/>
          <w:color w:val="363636"/>
          <w:shd w:val="clear" w:color="auto" w:fill="FFFFFF"/>
        </w:rPr>
        <w:t>64</w:t>
      </w:r>
      <w:r w:rsidRPr="004A116E">
        <w:rPr>
          <w:rFonts w:ascii="Arial" w:hAnsi="Arial" w:cs="Arial"/>
          <w:b/>
          <w:color w:val="363636"/>
          <w:shd w:val="clear" w:color="auto" w:fill="FFFFFF"/>
        </w:rPr>
        <w:t>-jährigen Männer EU-weit zwischen 2002 und 2017 lediglich von 75,5 auf 78,0 Prozent zunahm (+3,3%), stieg die Quote der Frauen von 58,2 auf 66,5 Prozent (+14,3%). Sowohl bei den Männern als auch bei den Frauen nahm dabei di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 xml:space="preserve">e Erwerbstätigenquote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der 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>60- bis 64-</w:t>
      </w:r>
      <w:r>
        <w:rPr>
          <w:rFonts w:ascii="Arial" w:hAnsi="Arial" w:cs="Arial"/>
          <w:b/>
          <w:color w:val="363636"/>
          <w:shd w:val="clear" w:color="auto" w:fill="FFFFFF"/>
        </w:rPr>
        <w:t>J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 xml:space="preserve">ährigen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relativ am stärksten 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>zu (+56,6%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 bzw. 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>+125,6%).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 xml:space="preserve">Trotz der Annäherung </w:t>
      </w:r>
      <w:r w:rsidR="00DB0434">
        <w:rPr>
          <w:rFonts w:ascii="Arial" w:hAnsi="Arial" w:cs="Arial"/>
          <w:b/>
          <w:color w:val="363636"/>
          <w:shd w:val="clear" w:color="auto" w:fill="FFFFFF"/>
        </w:rPr>
        <w:t xml:space="preserve">der </w:t>
      </w:r>
      <w:r w:rsidR="00DB0434" w:rsidRPr="004A116E">
        <w:rPr>
          <w:rFonts w:ascii="Arial" w:hAnsi="Arial" w:cs="Arial"/>
          <w:b/>
          <w:color w:val="363636"/>
          <w:shd w:val="clear" w:color="auto" w:fill="FFFFFF"/>
        </w:rPr>
        <w:t>Erwerbstätigenquote</w:t>
      </w:r>
      <w:r w:rsidR="00DB0434">
        <w:rPr>
          <w:rFonts w:ascii="Arial" w:hAnsi="Arial" w:cs="Arial"/>
          <w:b/>
          <w:color w:val="363636"/>
          <w:shd w:val="clear" w:color="auto" w:fill="FFFFFF"/>
        </w:rPr>
        <w:t xml:space="preserve">n in den allermeisten EU-Staaten 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 xml:space="preserve">lag die </w:t>
      </w:r>
      <w:r w:rsidR="00DB0434">
        <w:rPr>
          <w:rFonts w:ascii="Arial" w:hAnsi="Arial" w:cs="Arial"/>
          <w:b/>
          <w:color w:val="363636"/>
          <w:shd w:val="clear" w:color="auto" w:fill="FFFFFF"/>
        </w:rPr>
        <w:t>Q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 xml:space="preserve">uote der Männer im Jahr 2017 </w:t>
      </w:r>
      <w:r w:rsidRPr="004A116E">
        <w:rPr>
          <w:rFonts w:ascii="Arial" w:hAnsi="Arial" w:cs="Arial"/>
          <w:b/>
          <w:color w:val="363636"/>
          <w:shd w:val="clear" w:color="auto" w:fill="FFFFFF"/>
        </w:rPr>
        <w:t xml:space="preserve">in </w:t>
      </w:r>
      <w:r w:rsidR="00264884">
        <w:rPr>
          <w:rFonts w:ascii="Arial" w:hAnsi="Arial" w:cs="Arial"/>
          <w:b/>
          <w:color w:val="363636"/>
          <w:shd w:val="clear" w:color="auto" w:fill="FFFFFF"/>
        </w:rPr>
        <w:t xml:space="preserve">allen </w:t>
      </w:r>
      <w:r w:rsidRPr="004A116E">
        <w:rPr>
          <w:rFonts w:ascii="Arial" w:hAnsi="Arial" w:cs="Arial"/>
          <w:b/>
          <w:color w:val="363636"/>
          <w:shd w:val="clear" w:color="auto" w:fill="FFFFFF"/>
        </w:rPr>
        <w:t>Mitgliedstaat</w:t>
      </w:r>
      <w:r w:rsidR="00264884">
        <w:rPr>
          <w:rFonts w:ascii="Arial" w:hAnsi="Arial" w:cs="Arial"/>
          <w:b/>
          <w:color w:val="363636"/>
          <w:shd w:val="clear" w:color="auto" w:fill="FFFFFF"/>
        </w:rPr>
        <w:t>en</w:t>
      </w:r>
      <w:r w:rsidRPr="004A116E"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="00F27BCB" w:rsidRPr="004A116E">
        <w:rPr>
          <w:rFonts w:ascii="Arial" w:hAnsi="Arial" w:cs="Arial"/>
          <w:b/>
          <w:color w:val="363636"/>
          <w:shd w:val="clear" w:color="auto" w:fill="FFFFFF"/>
        </w:rPr>
        <w:t>oberhalb der Quote der Frauen.</w:t>
      </w:r>
    </w:p>
    <w:p w14:paraId="0864FC4A" w14:textId="77777777" w:rsidR="004A116E" w:rsidRPr="004A116E" w:rsidRDefault="004A116E" w:rsidP="004A116E">
      <w:pPr>
        <w:rPr>
          <w:rFonts w:ascii="Arial" w:hAnsi="Arial" w:cs="Arial"/>
          <w:color w:val="363636"/>
          <w:shd w:val="clear" w:color="auto" w:fill="FFFFFF"/>
        </w:rPr>
      </w:pPr>
    </w:p>
    <w:p w14:paraId="2E19F284" w14:textId="34798340" w:rsidR="00192110" w:rsidRPr="00192110" w:rsidRDefault="005E1DB7">
      <w:r w:rsidRPr="00345F0E">
        <w:rPr>
          <w:rStyle w:val="Absatz-Standardschriftart1"/>
          <w:rFonts w:ascii="Arial" w:hAnsi="Arial"/>
          <w:color w:val="FF0000"/>
        </w:rPr>
        <w:t>Fakten</w:t>
      </w:r>
    </w:p>
    <w:p w14:paraId="34AD0B29" w14:textId="77777777" w:rsidR="00192110" w:rsidRDefault="00192110" w:rsidP="000276F6">
      <w:pPr>
        <w:rPr>
          <w:rFonts w:ascii="Arial" w:hAnsi="Arial" w:cs="Arial"/>
          <w:color w:val="363636"/>
          <w:shd w:val="clear" w:color="auto" w:fill="FFFFFF"/>
        </w:rPr>
      </w:pPr>
    </w:p>
    <w:p w14:paraId="7B1E1286" w14:textId="155FF6FE" w:rsidR="00570604" w:rsidRDefault="00966EF0" w:rsidP="000B3969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>Im Jahr 200</w:t>
      </w:r>
      <w:r w:rsidR="00A958CA">
        <w:rPr>
          <w:rFonts w:ascii="Arial" w:hAnsi="Arial" w:cs="Arial"/>
          <w:color w:val="363636"/>
          <w:shd w:val="clear" w:color="auto" w:fill="FFFFFF"/>
        </w:rPr>
        <w:t>2</w:t>
      </w:r>
      <w:r>
        <w:rPr>
          <w:rFonts w:ascii="Arial" w:hAnsi="Arial" w:cs="Arial"/>
          <w:color w:val="363636"/>
          <w:shd w:val="clear" w:color="auto" w:fill="FFFFFF"/>
        </w:rPr>
        <w:t xml:space="preserve"> lag die </w:t>
      </w:r>
      <w:r w:rsidR="00017B1F" w:rsidRPr="004A7A49">
        <w:rPr>
          <w:rFonts w:ascii="Arial" w:hAnsi="Arial" w:cs="Arial"/>
          <w:color w:val="363636"/>
          <w:shd w:val="clear" w:color="auto" w:fill="FFFFFF"/>
        </w:rPr>
        <w:t xml:space="preserve">Erwerbstätigenquote </w:t>
      </w:r>
      <w:r w:rsidR="00570604">
        <w:rPr>
          <w:rFonts w:ascii="Arial" w:hAnsi="Arial" w:cs="Arial"/>
          <w:color w:val="363636"/>
          <w:shd w:val="clear" w:color="auto" w:fill="FFFFFF"/>
        </w:rPr>
        <w:t xml:space="preserve">der 20- bis </w:t>
      </w:r>
      <w:r w:rsidR="00264884">
        <w:rPr>
          <w:rFonts w:ascii="Arial" w:hAnsi="Arial" w:cs="Arial"/>
          <w:color w:val="363636"/>
          <w:shd w:val="clear" w:color="auto" w:fill="FFFFFF"/>
        </w:rPr>
        <w:t>64</w:t>
      </w:r>
      <w:r w:rsidR="00570604">
        <w:rPr>
          <w:rFonts w:ascii="Arial" w:hAnsi="Arial" w:cs="Arial"/>
          <w:color w:val="363636"/>
          <w:shd w:val="clear" w:color="auto" w:fill="FFFFFF"/>
        </w:rPr>
        <w:t xml:space="preserve">-Jährigen in </w:t>
      </w:r>
      <w:r>
        <w:rPr>
          <w:rFonts w:ascii="Arial" w:hAnsi="Arial" w:cs="Arial"/>
          <w:color w:val="363636"/>
          <w:shd w:val="clear" w:color="auto" w:fill="FFFFFF"/>
        </w:rPr>
        <w:t xml:space="preserve">der </w:t>
      </w:r>
      <w:r w:rsidR="00017B1F" w:rsidRPr="004A7A49">
        <w:rPr>
          <w:rFonts w:ascii="Arial" w:hAnsi="Arial" w:cs="Arial"/>
          <w:color w:val="363636"/>
          <w:shd w:val="clear" w:color="auto" w:fill="FFFFFF"/>
        </w:rPr>
        <w:t xml:space="preserve">Europäischen Union (EU) </w:t>
      </w:r>
      <w:r>
        <w:rPr>
          <w:rFonts w:ascii="Arial" w:hAnsi="Arial" w:cs="Arial"/>
          <w:color w:val="363636"/>
          <w:shd w:val="clear" w:color="auto" w:fill="FFFFFF"/>
        </w:rPr>
        <w:t>bei 66,</w:t>
      </w:r>
      <w:r w:rsidR="00A958CA">
        <w:rPr>
          <w:rFonts w:ascii="Arial" w:hAnsi="Arial" w:cs="Arial"/>
          <w:color w:val="363636"/>
          <w:shd w:val="clear" w:color="auto" w:fill="FFFFFF"/>
        </w:rPr>
        <w:t>8</w:t>
      </w:r>
      <w:r>
        <w:rPr>
          <w:rFonts w:ascii="Arial" w:hAnsi="Arial" w:cs="Arial"/>
          <w:color w:val="363636"/>
          <w:shd w:val="clear" w:color="auto" w:fill="FFFFFF"/>
        </w:rPr>
        <w:t xml:space="preserve"> Prozent</w:t>
      </w:r>
      <w:r w:rsidR="00017B1F" w:rsidRPr="004A7A49">
        <w:rPr>
          <w:rFonts w:ascii="Arial" w:hAnsi="Arial" w:cs="Arial"/>
          <w:color w:val="363636"/>
          <w:shd w:val="clear" w:color="auto" w:fill="FFFFFF"/>
        </w:rPr>
        <w:t xml:space="preserve">. </w:t>
      </w:r>
      <w:r>
        <w:rPr>
          <w:rFonts w:ascii="Arial" w:hAnsi="Arial" w:cs="Arial"/>
          <w:color w:val="363636"/>
          <w:shd w:val="clear" w:color="auto" w:fill="FFFFFF"/>
        </w:rPr>
        <w:t xml:space="preserve">Trotz des </w:t>
      </w:r>
      <w:r w:rsidR="00B61E93">
        <w:rPr>
          <w:rFonts w:ascii="Arial" w:hAnsi="Arial" w:cs="Arial"/>
          <w:color w:val="363636"/>
          <w:shd w:val="clear" w:color="auto" w:fill="FFFFFF"/>
        </w:rPr>
        <w:t xml:space="preserve">zwischenzeitlichen </w:t>
      </w:r>
      <w:r>
        <w:rPr>
          <w:rFonts w:ascii="Arial" w:hAnsi="Arial" w:cs="Arial"/>
          <w:color w:val="363636"/>
          <w:shd w:val="clear" w:color="auto" w:fill="FFFFFF"/>
        </w:rPr>
        <w:t xml:space="preserve">Rückgangs aufgrund der globalen Finanz- und Wirtschaftskrise 2008/2009 erreichte die </w:t>
      </w:r>
      <w:r w:rsidRPr="004A7A49">
        <w:rPr>
          <w:rFonts w:ascii="Arial" w:hAnsi="Arial" w:cs="Arial"/>
          <w:color w:val="363636"/>
          <w:shd w:val="clear" w:color="auto" w:fill="FFFFFF"/>
        </w:rPr>
        <w:t xml:space="preserve">Erwerbstätigenquote </w:t>
      </w:r>
      <w:r w:rsidR="00017B1F" w:rsidRPr="004A7A49">
        <w:rPr>
          <w:rFonts w:ascii="Arial" w:hAnsi="Arial" w:cs="Arial"/>
          <w:color w:val="363636"/>
          <w:shd w:val="clear" w:color="auto" w:fill="FFFFFF"/>
        </w:rPr>
        <w:t xml:space="preserve">der 28 EU-Mitgliedstaaten </w:t>
      </w:r>
      <w:r>
        <w:rPr>
          <w:rFonts w:ascii="Arial" w:hAnsi="Arial" w:cs="Arial"/>
          <w:color w:val="363636"/>
          <w:shd w:val="clear" w:color="auto" w:fill="FFFFFF"/>
        </w:rPr>
        <w:t xml:space="preserve">im Jahr 2017 mit </w:t>
      </w:r>
      <w:r w:rsidR="00017B1F">
        <w:rPr>
          <w:rFonts w:ascii="Arial" w:hAnsi="Arial" w:cs="Arial"/>
          <w:color w:val="363636"/>
          <w:shd w:val="clear" w:color="auto" w:fill="FFFFFF"/>
        </w:rPr>
        <w:t>72,</w:t>
      </w:r>
      <w:r>
        <w:rPr>
          <w:rFonts w:ascii="Arial" w:hAnsi="Arial" w:cs="Arial"/>
          <w:color w:val="363636"/>
          <w:shd w:val="clear" w:color="auto" w:fill="FFFFFF"/>
        </w:rPr>
        <w:t>2</w:t>
      </w:r>
      <w:r w:rsidR="00017B1F">
        <w:rPr>
          <w:rFonts w:ascii="Arial" w:hAnsi="Arial" w:cs="Arial"/>
          <w:color w:val="363636"/>
          <w:shd w:val="clear" w:color="auto" w:fill="FFFFFF"/>
        </w:rPr>
        <w:t xml:space="preserve"> Prozent </w:t>
      </w:r>
      <w:r w:rsidR="00570604">
        <w:rPr>
          <w:rFonts w:ascii="Arial" w:hAnsi="Arial" w:cs="Arial"/>
          <w:color w:val="363636"/>
          <w:shd w:val="clear" w:color="auto" w:fill="FFFFFF"/>
        </w:rPr>
        <w:t xml:space="preserve">den </w:t>
      </w:r>
      <w:r w:rsidR="00017B1F" w:rsidRPr="005C4460">
        <w:rPr>
          <w:rFonts w:ascii="Arial" w:hAnsi="Arial" w:cs="Arial"/>
          <w:color w:val="363636"/>
          <w:shd w:val="clear" w:color="auto" w:fill="FFFFFF"/>
        </w:rPr>
        <w:t>höchste</w:t>
      </w:r>
      <w:r w:rsidR="00570604">
        <w:rPr>
          <w:rFonts w:ascii="Arial" w:hAnsi="Arial" w:cs="Arial"/>
          <w:color w:val="363636"/>
          <w:shd w:val="clear" w:color="auto" w:fill="FFFFFF"/>
        </w:rPr>
        <w:t>n</w:t>
      </w:r>
      <w:r w:rsidR="00017B1F" w:rsidRPr="005C4460">
        <w:rPr>
          <w:rFonts w:ascii="Arial" w:hAnsi="Arial" w:cs="Arial"/>
          <w:color w:val="363636"/>
          <w:shd w:val="clear" w:color="auto" w:fill="FFFFFF"/>
        </w:rPr>
        <w:t xml:space="preserve"> je verzeichnete</w:t>
      </w:r>
      <w:r w:rsidR="00570604">
        <w:rPr>
          <w:rFonts w:ascii="Arial" w:hAnsi="Arial" w:cs="Arial"/>
          <w:color w:val="363636"/>
          <w:shd w:val="clear" w:color="auto" w:fill="FFFFFF"/>
        </w:rPr>
        <w:t>n Wert</w:t>
      </w:r>
      <w:r w:rsidR="00017B1F" w:rsidRPr="005C4460">
        <w:rPr>
          <w:rFonts w:ascii="Arial" w:hAnsi="Arial" w:cs="Arial"/>
          <w:color w:val="363636"/>
          <w:shd w:val="clear" w:color="auto" w:fill="FFFFFF"/>
        </w:rPr>
        <w:t>.</w:t>
      </w:r>
      <w:r w:rsidR="000B3969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570604">
        <w:rPr>
          <w:rFonts w:ascii="Arial" w:hAnsi="Arial" w:cs="Arial"/>
          <w:color w:val="363636"/>
          <w:shd w:val="clear" w:color="auto" w:fill="FFFFFF"/>
        </w:rPr>
        <w:t xml:space="preserve">Insbesondere zwei Faktoren sind für diese Entwicklung verantwortlich: Die zunehmende Erwerbsbeteiligung der Frauen und der Älteren. Während die </w:t>
      </w:r>
      <w:r w:rsidR="00570604" w:rsidRPr="004A7A49">
        <w:rPr>
          <w:rFonts w:ascii="Arial" w:hAnsi="Arial" w:cs="Arial"/>
          <w:color w:val="363636"/>
          <w:shd w:val="clear" w:color="auto" w:fill="FFFFFF"/>
        </w:rPr>
        <w:t xml:space="preserve">Erwerbstätigenquote </w:t>
      </w:r>
      <w:r w:rsidR="00570604">
        <w:rPr>
          <w:rFonts w:ascii="Arial" w:hAnsi="Arial" w:cs="Arial"/>
          <w:color w:val="363636"/>
          <w:shd w:val="clear" w:color="auto" w:fill="FFFFFF"/>
        </w:rPr>
        <w:t>der 20- bis 6</w:t>
      </w:r>
      <w:r w:rsidR="00264884">
        <w:rPr>
          <w:rFonts w:ascii="Arial" w:hAnsi="Arial" w:cs="Arial"/>
          <w:color w:val="363636"/>
          <w:shd w:val="clear" w:color="auto" w:fill="FFFFFF"/>
        </w:rPr>
        <w:t>4</w:t>
      </w:r>
      <w:r w:rsidR="00570604">
        <w:rPr>
          <w:rFonts w:ascii="Arial" w:hAnsi="Arial" w:cs="Arial"/>
          <w:color w:val="363636"/>
          <w:shd w:val="clear" w:color="auto" w:fill="FFFFFF"/>
        </w:rPr>
        <w:t xml:space="preserve">-jährigen Männer </w:t>
      </w:r>
      <w:r w:rsidR="00A52D29">
        <w:rPr>
          <w:rFonts w:ascii="Arial" w:hAnsi="Arial" w:cs="Arial"/>
          <w:color w:val="363636"/>
          <w:shd w:val="clear" w:color="auto" w:fill="FFFFFF"/>
        </w:rPr>
        <w:t xml:space="preserve">EU-weit </w:t>
      </w:r>
      <w:r w:rsidR="00570604">
        <w:rPr>
          <w:rFonts w:ascii="Arial" w:hAnsi="Arial" w:cs="Arial"/>
          <w:color w:val="363636"/>
          <w:shd w:val="clear" w:color="auto" w:fill="FFFFFF"/>
        </w:rPr>
        <w:t>zwischen 200</w:t>
      </w:r>
      <w:r w:rsidR="00A958CA">
        <w:rPr>
          <w:rFonts w:ascii="Arial" w:hAnsi="Arial" w:cs="Arial"/>
          <w:color w:val="363636"/>
          <w:shd w:val="clear" w:color="auto" w:fill="FFFFFF"/>
        </w:rPr>
        <w:t>2</w:t>
      </w:r>
      <w:r w:rsidR="00570604">
        <w:rPr>
          <w:rFonts w:ascii="Arial" w:hAnsi="Arial" w:cs="Arial"/>
          <w:color w:val="363636"/>
          <w:shd w:val="clear" w:color="auto" w:fill="FFFFFF"/>
        </w:rPr>
        <w:t xml:space="preserve"> und 2017 </w:t>
      </w:r>
      <w:r w:rsidR="00A746F8">
        <w:rPr>
          <w:rFonts w:ascii="Arial" w:hAnsi="Arial" w:cs="Arial"/>
          <w:color w:val="363636"/>
          <w:shd w:val="clear" w:color="auto" w:fill="FFFFFF"/>
        </w:rPr>
        <w:t xml:space="preserve">lediglich </w:t>
      </w:r>
      <w:r w:rsidR="00570604">
        <w:rPr>
          <w:rFonts w:ascii="Arial" w:hAnsi="Arial" w:cs="Arial"/>
          <w:color w:val="363636"/>
          <w:shd w:val="clear" w:color="auto" w:fill="FFFFFF"/>
        </w:rPr>
        <w:t>von 7</w:t>
      </w:r>
      <w:r w:rsidR="00A958CA">
        <w:rPr>
          <w:rFonts w:ascii="Arial" w:hAnsi="Arial" w:cs="Arial"/>
          <w:color w:val="363636"/>
          <w:shd w:val="clear" w:color="auto" w:fill="FFFFFF"/>
        </w:rPr>
        <w:t>5</w:t>
      </w:r>
      <w:r w:rsidR="00570604">
        <w:rPr>
          <w:rFonts w:ascii="Arial" w:hAnsi="Arial" w:cs="Arial"/>
          <w:color w:val="363636"/>
          <w:shd w:val="clear" w:color="auto" w:fill="FFFFFF"/>
        </w:rPr>
        <w:t>,</w:t>
      </w:r>
      <w:r w:rsidR="00A958CA">
        <w:rPr>
          <w:rFonts w:ascii="Arial" w:hAnsi="Arial" w:cs="Arial"/>
          <w:color w:val="363636"/>
          <w:shd w:val="clear" w:color="auto" w:fill="FFFFFF"/>
        </w:rPr>
        <w:t>5</w:t>
      </w:r>
      <w:r w:rsidR="00570604">
        <w:rPr>
          <w:rFonts w:ascii="Arial" w:hAnsi="Arial" w:cs="Arial"/>
          <w:color w:val="363636"/>
          <w:shd w:val="clear" w:color="auto" w:fill="FFFFFF"/>
        </w:rPr>
        <w:t xml:space="preserve"> auf 78,0 Prozent </w:t>
      </w:r>
      <w:r w:rsidR="009E03D7">
        <w:rPr>
          <w:rFonts w:ascii="Arial" w:hAnsi="Arial" w:cs="Arial"/>
          <w:color w:val="363636"/>
          <w:shd w:val="clear" w:color="auto" w:fill="FFFFFF"/>
        </w:rPr>
        <w:t>zunahm</w:t>
      </w:r>
      <w:r w:rsidR="00570604">
        <w:rPr>
          <w:rFonts w:ascii="Arial" w:hAnsi="Arial" w:cs="Arial"/>
          <w:color w:val="363636"/>
          <w:shd w:val="clear" w:color="auto" w:fill="FFFFFF"/>
        </w:rPr>
        <w:t xml:space="preserve"> (+</w:t>
      </w:r>
      <w:r w:rsidR="00A958CA">
        <w:rPr>
          <w:rFonts w:ascii="Arial" w:hAnsi="Arial" w:cs="Arial"/>
          <w:color w:val="363636"/>
          <w:shd w:val="clear" w:color="auto" w:fill="FFFFFF"/>
        </w:rPr>
        <w:t>3,3</w:t>
      </w:r>
      <w:r w:rsidR="00570604">
        <w:rPr>
          <w:rFonts w:ascii="Arial" w:hAnsi="Arial" w:cs="Arial"/>
          <w:color w:val="363636"/>
          <w:shd w:val="clear" w:color="auto" w:fill="FFFFFF"/>
        </w:rPr>
        <w:t xml:space="preserve">%), </w:t>
      </w:r>
      <w:r w:rsidR="00A746F8">
        <w:rPr>
          <w:rFonts w:ascii="Arial" w:hAnsi="Arial" w:cs="Arial"/>
          <w:color w:val="363636"/>
          <w:shd w:val="clear" w:color="auto" w:fill="FFFFFF"/>
        </w:rPr>
        <w:t xml:space="preserve">stieg </w:t>
      </w:r>
      <w:r w:rsidR="009E03D7">
        <w:rPr>
          <w:rFonts w:ascii="Arial" w:hAnsi="Arial" w:cs="Arial"/>
          <w:color w:val="363636"/>
          <w:shd w:val="clear" w:color="auto" w:fill="FFFFFF"/>
        </w:rPr>
        <w:t xml:space="preserve">die Quote </w:t>
      </w:r>
      <w:r w:rsidR="00570604">
        <w:rPr>
          <w:rFonts w:ascii="Arial" w:hAnsi="Arial" w:cs="Arial"/>
          <w:color w:val="363636"/>
          <w:shd w:val="clear" w:color="auto" w:fill="FFFFFF"/>
        </w:rPr>
        <w:t xml:space="preserve">der </w:t>
      </w:r>
      <w:r w:rsidR="003E2259">
        <w:rPr>
          <w:rFonts w:ascii="Arial" w:hAnsi="Arial" w:cs="Arial"/>
          <w:color w:val="363636"/>
          <w:shd w:val="clear" w:color="auto" w:fill="FFFFFF"/>
        </w:rPr>
        <w:t xml:space="preserve">20- bis 64-jährigen </w:t>
      </w:r>
      <w:r w:rsidR="00570604">
        <w:rPr>
          <w:rFonts w:ascii="Arial" w:hAnsi="Arial" w:cs="Arial"/>
          <w:color w:val="363636"/>
          <w:shd w:val="clear" w:color="auto" w:fill="FFFFFF"/>
        </w:rPr>
        <w:t>Frauen von 5</w:t>
      </w:r>
      <w:r w:rsidR="00A958CA">
        <w:rPr>
          <w:rFonts w:ascii="Arial" w:hAnsi="Arial" w:cs="Arial"/>
          <w:color w:val="363636"/>
          <w:shd w:val="clear" w:color="auto" w:fill="FFFFFF"/>
        </w:rPr>
        <w:t>8</w:t>
      </w:r>
      <w:r w:rsidR="00570604">
        <w:rPr>
          <w:rFonts w:ascii="Arial" w:hAnsi="Arial" w:cs="Arial"/>
          <w:color w:val="363636"/>
          <w:shd w:val="clear" w:color="auto" w:fill="FFFFFF"/>
        </w:rPr>
        <w:t>,</w:t>
      </w:r>
      <w:r w:rsidR="00A958CA">
        <w:rPr>
          <w:rFonts w:ascii="Arial" w:hAnsi="Arial" w:cs="Arial"/>
          <w:color w:val="363636"/>
          <w:shd w:val="clear" w:color="auto" w:fill="FFFFFF"/>
        </w:rPr>
        <w:t>2</w:t>
      </w:r>
      <w:r w:rsidR="00A746F8">
        <w:rPr>
          <w:rFonts w:ascii="Arial" w:hAnsi="Arial" w:cs="Arial"/>
          <w:color w:val="363636"/>
          <w:shd w:val="clear" w:color="auto" w:fill="FFFFFF"/>
        </w:rPr>
        <w:t xml:space="preserve"> auf 66,5 Prozent</w:t>
      </w:r>
      <w:r w:rsidR="00570604">
        <w:rPr>
          <w:rFonts w:ascii="Arial" w:hAnsi="Arial" w:cs="Arial"/>
          <w:color w:val="363636"/>
          <w:shd w:val="clear" w:color="auto" w:fill="FFFFFF"/>
        </w:rPr>
        <w:t xml:space="preserve"> (+14,</w:t>
      </w:r>
      <w:r w:rsidR="00A958CA">
        <w:rPr>
          <w:rFonts w:ascii="Arial" w:hAnsi="Arial" w:cs="Arial"/>
          <w:color w:val="363636"/>
          <w:shd w:val="clear" w:color="auto" w:fill="FFFFFF"/>
        </w:rPr>
        <w:t>3</w:t>
      </w:r>
      <w:r w:rsidR="00570604">
        <w:rPr>
          <w:rFonts w:ascii="Arial" w:hAnsi="Arial" w:cs="Arial"/>
          <w:color w:val="363636"/>
          <w:shd w:val="clear" w:color="auto" w:fill="FFFFFF"/>
        </w:rPr>
        <w:t>%).</w:t>
      </w:r>
    </w:p>
    <w:p w14:paraId="7CC78AC1" w14:textId="77777777" w:rsidR="00570604" w:rsidRDefault="00570604" w:rsidP="00FF5191">
      <w:pPr>
        <w:pStyle w:val="StandardWeb"/>
        <w:shd w:val="clear" w:color="auto" w:fill="FFFFFF"/>
        <w:spacing w:before="0" w:after="0"/>
        <w:rPr>
          <w:rFonts w:ascii="Arial" w:hAnsi="Arial" w:cs="Arial"/>
          <w:color w:val="363636"/>
          <w:shd w:val="clear" w:color="auto" w:fill="FFFFFF"/>
        </w:rPr>
      </w:pPr>
    </w:p>
    <w:p w14:paraId="56490C6A" w14:textId="3F42349E" w:rsidR="00A52D29" w:rsidRDefault="00A958CA" w:rsidP="00FF5191">
      <w:pPr>
        <w:pStyle w:val="StandardWeb"/>
        <w:shd w:val="clear" w:color="auto" w:fill="FFFFFF"/>
        <w:spacing w:before="0" w:after="0"/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Bei den 20- bis 24-jährigen Männern sank die </w:t>
      </w:r>
      <w:r w:rsidRPr="004A7A49">
        <w:rPr>
          <w:rFonts w:ascii="Arial" w:hAnsi="Arial" w:cs="Arial"/>
          <w:color w:val="363636"/>
          <w:shd w:val="clear" w:color="auto" w:fill="FFFFFF"/>
        </w:rPr>
        <w:t xml:space="preserve">Erwerbstätigenquote </w:t>
      </w:r>
      <w:r w:rsidR="003F00BF">
        <w:rPr>
          <w:rFonts w:ascii="Arial" w:hAnsi="Arial" w:cs="Arial"/>
          <w:color w:val="363636"/>
          <w:shd w:val="clear" w:color="auto" w:fill="FFFFFF"/>
        </w:rPr>
        <w:t xml:space="preserve">zwischen 2002 und 2017 </w:t>
      </w:r>
      <w:r w:rsidR="009E03D7">
        <w:rPr>
          <w:rFonts w:ascii="Arial" w:hAnsi="Arial" w:cs="Arial"/>
          <w:color w:val="363636"/>
          <w:shd w:val="clear" w:color="auto" w:fill="FFFFFF"/>
        </w:rPr>
        <w:t xml:space="preserve">EU-weit </w:t>
      </w:r>
      <w:r>
        <w:rPr>
          <w:rFonts w:ascii="Arial" w:hAnsi="Arial" w:cs="Arial"/>
          <w:color w:val="363636"/>
          <w:shd w:val="clear" w:color="auto" w:fill="FFFFFF"/>
        </w:rPr>
        <w:t xml:space="preserve">sogar </w:t>
      </w:r>
      <w:r w:rsidR="003F00BF">
        <w:rPr>
          <w:rFonts w:ascii="Arial" w:hAnsi="Arial" w:cs="Arial"/>
          <w:color w:val="363636"/>
          <w:shd w:val="clear" w:color="auto" w:fill="FFFFFF"/>
        </w:rPr>
        <w:t>von 57,8 auf 54,8 Prozent (-3,0 Prozentpunkte bzw. -5,2%). Bei den 25</w:t>
      </w:r>
      <w:r w:rsidR="00A52D29">
        <w:rPr>
          <w:rFonts w:ascii="Arial" w:hAnsi="Arial" w:cs="Arial"/>
          <w:color w:val="363636"/>
          <w:shd w:val="clear" w:color="auto" w:fill="FFFFFF"/>
        </w:rPr>
        <w:t>-</w:t>
      </w:r>
      <w:r w:rsidR="003F00BF">
        <w:rPr>
          <w:rFonts w:ascii="Arial" w:hAnsi="Arial" w:cs="Arial"/>
          <w:color w:val="363636"/>
          <w:shd w:val="clear" w:color="auto" w:fill="FFFFFF"/>
        </w:rPr>
        <w:t xml:space="preserve"> bis 54-jährigen Männern war die Quote </w:t>
      </w:r>
      <w:r w:rsidR="009E03D7">
        <w:rPr>
          <w:rFonts w:ascii="Arial" w:hAnsi="Arial" w:cs="Arial"/>
          <w:color w:val="363636"/>
          <w:shd w:val="clear" w:color="auto" w:fill="FFFFFF"/>
        </w:rPr>
        <w:t xml:space="preserve">weitgehend </w:t>
      </w:r>
      <w:r w:rsidR="003F00BF">
        <w:rPr>
          <w:rFonts w:ascii="Arial" w:hAnsi="Arial" w:cs="Arial"/>
          <w:color w:val="363636"/>
          <w:shd w:val="clear" w:color="auto" w:fill="FFFFFF"/>
        </w:rPr>
        <w:t>stabil. Am stärksten nahm sie bei de</w:t>
      </w:r>
      <w:r w:rsidR="00A52D29">
        <w:rPr>
          <w:rFonts w:ascii="Arial" w:hAnsi="Arial" w:cs="Arial"/>
          <w:color w:val="363636"/>
          <w:shd w:val="clear" w:color="auto" w:fill="FFFFFF"/>
        </w:rPr>
        <w:t xml:space="preserve">n </w:t>
      </w:r>
      <w:r w:rsidR="000B3969">
        <w:rPr>
          <w:rFonts w:ascii="Arial" w:hAnsi="Arial" w:cs="Arial"/>
          <w:color w:val="363636"/>
          <w:shd w:val="clear" w:color="auto" w:fill="FFFFFF"/>
        </w:rPr>
        <w:t xml:space="preserve">Männern im Alter von </w:t>
      </w:r>
      <w:r w:rsidR="003F00BF">
        <w:rPr>
          <w:rFonts w:ascii="Arial" w:hAnsi="Arial" w:cs="Arial"/>
          <w:color w:val="363636"/>
          <w:shd w:val="clear" w:color="auto" w:fill="FFFFFF"/>
        </w:rPr>
        <w:t>60 bis 64</w:t>
      </w:r>
      <w:r w:rsidR="000B3969">
        <w:rPr>
          <w:rFonts w:ascii="Arial" w:hAnsi="Arial" w:cs="Arial"/>
          <w:color w:val="363636"/>
          <w:shd w:val="clear" w:color="auto" w:fill="FFFFFF"/>
        </w:rPr>
        <w:t xml:space="preserve"> Ja</w:t>
      </w:r>
      <w:r w:rsidR="003F00BF">
        <w:rPr>
          <w:rFonts w:ascii="Arial" w:hAnsi="Arial" w:cs="Arial"/>
          <w:color w:val="363636"/>
          <w:shd w:val="clear" w:color="auto" w:fill="FFFFFF"/>
        </w:rPr>
        <w:t xml:space="preserve">hren </w:t>
      </w:r>
      <w:r w:rsidR="00A52D29">
        <w:rPr>
          <w:rFonts w:ascii="Arial" w:hAnsi="Arial" w:cs="Arial"/>
          <w:color w:val="363636"/>
          <w:shd w:val="clear" w:color="auto" w:fill="FFFFFF"/>
        </w:rPr>
        <w:t xml:space="preserve">zu – hier erhöhte sich die </w:t>
      </w:r>
      <w:r w:rsidR="00A52D29" w:rsidRPr="004A7A49">
        <w:rPr>
          <w:rFonts w:ascii="Arial" w:hAnsi="Arial" w:cs="Arial"/>
          <w:color w:val="363636"/>
          <w:shd w:val="clear" w:color="auto" w:fill="FFFFFF"/>
        </w:rPr>
        <w:t xml:space="preserve">Erwerbstätigenquote </w:t>
      </w:r>
      <w:r w:rsidR="00A52D29">
        <w:rPr>
          <w:rFonts w:ascii="Arial" w:hAnsi="Arial" w:cs="Arial"/>
          <w:color w:val="363636"/>
          <w:shd w:val="clear" w:color="auto" w:fill="FFFFFF"/>
        </w:rPr>
        <w:t>in den Jahren 2002 bis 2017 von 31,6 auf 49,5 Prozent (+56,6%).</w:t>
      </w:r>
      <w:r w:rsidR="00952490">
        <w:rPr>
          <w:rFonts w:ascii="Arial" w:hAnsi="Arial" w:cs="Arial"/>
          <w:color w:val="363636"/>
          <w:shd w:val="clear" w:color="auto" w:fill="FFFFFF"/>
        </w:rPr>
        <w:t xml:space="preserve"> Bei den 65- bis 69-jährigen Männern stieg die Quote im selben Zeitraum von 11,0 auf 16,4 Prozent (+49,1%).</w:t>
      </w:r>
    </w:p>
    <w:p w14:paraId="01457E4D" w14:textId="77777777" w:rsidR="00D114F8" w:rsidRDefault="00D114F8" w:rsidP="00FF5191">
      <w:pPr>
        <w:pStyle w:val="StandardWeb"/>
        <w:shd w:val="clear" w:color="auto" w:fill="FFFFFF"/>
        <w:spacing w:before="0" w:after="0"/>
        <w:rPr>
          <w:rFonts w:ascii="Arial" w:hAnsi="Arial" w:cs="Arial"/>
          <w:color w:val="363636"/>
          <w:shd w:val="clear" w:color="auto" w:fill="FFFFFF"/>
        </w:rPr>
      </w:pPr>
    </w:p>
    <w:p w14:paraId="2D0ED1F8" w14:textId="7B89BDBB" w:rsidR="009E03D7" w:rsidRDefault="009E03D7" w:rsidP="00952490">
      <w:pPr>
        <w:pStyle w:val="StandardWeb"/>
        <w:shd w:val="clear" w:color="auto" w:fill="FFFFFF"/>
        <w:spacing w:before="0" w:after="0"/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Bei den Frauen haben sich EU-weit die </w:t>
      </w:r>
      <w:r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>
        <w:rPr>
          <w:rFonts w:ascii="Arial" w:hAnsi="Arial" w:cs="Arial"/>
          <w:color w:val="363636"/>
          <w:shd w:val="clear" w:color="auto" w:fill="FFFFFF"/>
        </w:rPr>
        <w:t xml:space="preserve">n aller Altersgruppen zwischen 2002 und 2017 erhöht. Während die </w:t>
      </w:r>
      <w:r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>
        <w:rPr>
          <w:rFonts w:ascii="Arial" w:hAnsi="Arial" w:cs="Arial"/>
          <w:color w:val="363636"/>
          <w:shd w:val="clear" w:color="auto" w:fill="FFFFFF"/>
        </w:rPr>
        <w:t xml:space="preserve"> der 25- bis 54-jährigen Frauen von 67,3 auf 73,7 Prozent zunahm (+9,5%), </w:t>
      </w:r>
      <w:r w:rsidR="00703A6E">
        <w:rPr>
          <w:rFonts w:ascii="Arial" w:hAnsi="Arial" w:cs="Arial"/>
          <w:color w:val="363636"/>
          <w:shd w:val="clear" w:color="auto" w:fill="FFFFFF"/>
        </w:rPr>
        <w:t>stieg die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 Quote</w:t>
      </w:r>
      <w:r w:rsidR="00703A6E">
        <w:rPr>
          <w:rFonts w:ascii="Arial" w:hAnsi="Arial" w:cs="Arial"/>
          <w:color w:val="363636"/>
          <w:shd w:val="clear" w:color="auto" w:fill="FFFFFF"/>
        </w:rPr>
        <w:t xml:space="preserve"> der 55- bis 59-jährigen von 41,3 auf 64,5 Prozent (+56,2%). Die </w:t>
      </w:r>
      <w:r w:rsidR="00703A6E"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 w:rsidR="00703A6E">
        <w:rPr>
          <w:rFonts w:ascii="Arial" w:hAnsi="Arial" w:cs="Arial"/>
          <w:color w:val="363636"/>
          <w:shd w:val="clear" w:color="auto" w:fill="FFFFFF"/>
        </w:rPr>
        <w:t xml:space="preserve"> der 60- bis 64-jährigen Frauen hat sich sogar deutlich mehr als verdoppelt – und zwar von 16,0 auf 36,1 Prozent (+125,6%).</w:t>
      </w:r>
      <w:r w:rsidR="00952490" w:rsidRPr="00952490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952490">
        <w:rPr>
          <w:rFonts w:ascii="Arial" w:hAnsi="Arial" w:cs="Arial"/>
          <w:color w:val="363636"/>
          <w:shd w:val="clear" w:color="auto" w:fill="FFFFFF"/>
        </w:rPr>
        <w:t xml:space="preserve">Bei den 65- bis 69-jährigen Frauen erhöhte sich die </w:t>
      </w:r>
      <w:r w:rsidR="00952490"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 w:rsidR="00952490">
        <w:rPr>
          <w:rFonts w:ascii="Arial" w:hAnsi="Arial" w:cs="Arial"/>
          <w:color w:val="363636"/>
          <w:shd w:val="clear" w:color="auto" w:fill="FFFFFF"/>
        </w:rPr>
        <w:t xml:space="preserve"> von 2002 bis 2017 von 6,2 auf 9,4 Prozent (+51,6%).</w:t>
      </w:r>
    </w:p>
    <w:p w14:paraId="6A1BBA28" w14:textId="77777777" w:rsidR="00952490" w:rsidRDefault="00952490" w:rsidP="00FF5191">
      <w:pPr>
        <w:pStyle w:val="StandardWeb"/>
        <w:shd w:val="clear" w:color="auto" w:fill="FFFFFF"/>
        <w:spacing w:before="0" w:after="0"/>
        <w:rPr>
          <w:rFonts w:ascii="Arial" w:hAnsi="Arial" w:cs="Arial"/>
          <w:color w:val="363636"/>
          <w:shd w:val="clear" w:color="auto" w:fill="FFFFFF"/>
        </w:rPr>
      </w:pPr>
    </w:p>
    <w:p w14:paraId="4CB65A2E" w14:textId="00426BA6" w:rsidR="004074BB" w:rsidRDefault="00952490" w:rsidP="00FF5191">
      <w:pPr>
        <w:pStyle w:val="StandardWeb"/>
        <w:shd w:val="clear" w:color="auto" w:fill="FFFFFF"/>
        <w:spacing w:before="0" w:after="0"/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>T</w:t>
      </w:r>
      <w:r w:rsidR="004074BB">
        <w:rPr>
          <w:rFonts w:ascii="Arial" w:hAnsi="Arial" w:cs="Arial"/>
          <w:color w:val="363636"/>
          <w:shd w:val="clear" w:color="auto" w:fill="FFFFFF"/>
        </w:rPr>
        <w:t>rotz d</w:t>
      </w:r>
      <w:r w:rsidR="000D3CB8">
        <w:rPr>
          <w:rFonts w:ascii="Arial" w:hAnsi="Arial" w:cs="Arial"/>
          <w:color w:val="363636"/>
          <w:shd w:val="clear" w:color="auto" w:fill="FFFFFF"/>
        </w:rPr>
        <w:t>e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r </w:t>
      </w:r>
      <w:r w:rsidR="000D3CB8">
        <w:rPr>
          <w:rFonts w:ascii="Arial" w:hAnsi="Arial" w:cs="Arial"/>
          <w:color w:val="363636"/>
          <w:shd w:val="clear" w:color="auto" w:fill="FFFFFF"/>
        </w:rPr>
        <w:t>Annäherung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0D3CB8">
        <w:rPr>
          <w:rFonts w:ascii="Arial" w:hAnsi="Arial" w:cs="Arial"/>
          <w:color w:val="363636"/>
          <w:shd w:val="clear" w:color="auto" w:fill="FFFFFF"/>
        </w:rPr>
        <w:t xml:space="preserve">im Zeitverlauf 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lag die </w:t>
      </w:r>
      <w:r w:rsidR="004074BB"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 der </w:t>
      </w:r>
      <w:r w:rsidR="003C391A">
        <w:rPr>
          <w:rFonts w:ascii="Arial" w:hAnsi="Arial" w:cs="Arial"/>
          <w:color w:val="363636"/>
          <w:shd w:val="clear" w:color="auto" w:fill="FFFFFF"/>
        </w:rPr>
        <w:t>Männer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 im Jahr 2017 nicht nur </w:t>
      </w:r>
      <w:r w:rsidR="0055099C">
        <w:rPr>
          <w:rFonts w:ascii="Arial" w:hAnsi="Arial" w:cs="Arial"/>
          <w:color w:val="363636"/>
          <w:shd w:val="clear" w:color="auto" w:fill="FFFFFF"/>
        </w:rPr>
        <w:t xml:space="preserve">bezogen auf die </w:t>
      </w:r>
      <w:r w:rsidR="004074BB">
        <w:rPr>
          <w:rFonts w:ascii="Arial" w:hAnsi="Arial" w:cs="Arial"/>
          <w:color w:val="363636"/>
          <w:shd w:val="clear" w:color="auto" w:fill="FFFFFF"/>
        </w:rPr>
        <w:t>EU</w:t>
      </w:r>
      <w:r w:rsidR="0055099C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3C391A">
        <w:rPr>
          <w:rFonts w:ascii="Arial" w:hAnsi="Arial" w:cs="Arial"/>
          <w:color w:val="363636"/>
          <w:shd w:val="clear" w:color="auto" w:fill="FFFFFF"/>
        </w:rPr>
        <w:t xml:space="preserve">oberhalb 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der </w:t>
      </w:r>
      <w:r w:rsidR="003C391A">
        <w:rPr>
          <w:rFonts w:ascii="Arial" w:hAnsi="Arial" w:cs="Arial"/>
          <w:color w:val="363636"/>
          <w:shd w:val="clear" w:color="auto" w:fill="FFFFFF"/>
        </w:rPr>
        <w:t xml:space="preserve">Quote 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der </w:t>
      </w:r>
      <w:r w:rsidR="003C391A">
        <w:rPr>
          <w:rFonts w:ascii="Arial" w:hAnsi="Arial" w:cs="Arial"/>
          <w:color w:val="363636"/>
          <w:shd w:val="clear" w:color="auto" w:fill="FFFFFF"/>
        </w:rPr>
        <w:t xml:space="preserve">Frauen </w:t>
      </w:r>
      <w:r w:rsidR="004074BB">
        <w:rPr>
          <w:rFonts w:ascii="Arial" w:hAnsi="Arial" w:cs="Arial"/>
          <w:color w:val="363636"/>
          <w:shd w:val="clear" w:color="auto" w:fill="FFFFFF"/>
        </w:rPr>
        <w:t>(</w:t>
      </w:r>
      <w:r w:rsidR="003C391A">
        <w:rPr>
          <w:rFonts w:ascii="Arial" w:hAnsi="Arial" w:cs="Arial"/>
          <w:color w:val="363636"/>
          <w:shd w:val="clear" w:color="auto" w:fill="FFFFFF"/>
        </w:rPr>
        <w:t>78,0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 gegenüber </w:t>
      </w:r>
      <w:r w:rsidR="003C391A">
        <w:rPr>
          <w:rFonts w:ascii="Arial" w:hAnsi="Arial" w:cs="Arial"/>
          <w:color w:val="363636"/>
          <w:shd w:val="clear" w:color="auto" w:fill="FFFFFF"/>
        </w:rPr>
        <w:t>66,5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 Prozent), sondern auch in jedem einzelnen Mitgliedstaat. Die Differenz der </w:t>
      </w:r>
      <w:r w:rsidR="004074BB"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 w:rsidR="00DB0434">
        <w:rPr>
          <w:rFonts w:ascii="Arial" w:hAnsi="Arial" w:cs="Arial"/>
          <w:color w:val="363636"/>
          <w:shd w:val="clear" w:color="auto" w:fill="FFFFFF"/>
        </w:rPr>
        <w:t>n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 der </w:t>
      </w:r>
      <w:r w:rsidR="003C7018">
        <w:rPr>
          <w:rFonts w:ascii="Arial" w:hAnsi="Arial" w:cs="Arial"/>
          <w:color w:val="363636"/>
          <w:shd w:val="clear" w:color="auto" w:fill="FFFFFF"/>
        </w:rPr>
        <w:t xml:space="preserve">20- bis 64-jährigen </w:t>
      </w:r>
      <w:r w:rsidR="003C391A">
        <w:rPr>
          <w:rFonts w:ascii="Arial" w:hAnsi="Arial" w:cs="Arial"/>
          <w:color w:val="363636"/>
          <w:shd w:val="clear" w:color="auto" w:fill="FFFFFF"/>
        </w:rPr>
        <w:t xml:space="preserve">Männer </w:t>
      </w:r>
      <w:r w:rsidR="00A24943">
        <w:rPr>
          <w:rFonts w:ascii="Arial" w:hAnsi="Arial" w:cs="Arial"/>
          <w:color w:val="363636"/>
          <w:shd w:val="clear" w:color="auto" w:fill="FFFFFF"/>
        </w:rPr>
        <w:t xml:space="preserve">und </w:t>
      </w:r>
      <w:r w:rsidR="003C391A">
        <w:rPr>
          <w:rFonts w:ascii="Arial" w:hAnsi="Arial" w:cs="Arial"/>
          <w:color w:val="363636"/>
          <w:shd w:val="clear" w:color="auto" w:fill="FFFFFF"/>
        </w:rPr>
        <w:t>Frauen</w:t>
      </w:r>
      <w:r w:rsidR="004074BB">
        <w:rPr>
          <w:rFonts w:ascii="Arial" w:hAnsi="Arial" w:cs="Arial"/>
          <w:color w:val="363636"/>
          <w:shd w:val="clear" w:color="auto" w:fill="FFFFFF"/>
        </w:rPr>
        <w:t xml:space="preserve"> lag dabei </w:t>
      </w:r>
      <w:r w:rsidR="003C391A">
        <w:rPr>
          <w:rFonts w:ascii="Arial" w:hAnsi="Arial" w:cs="Arial"/>
          <w:color w:val="363636"/>
          <w:shd w:val="clear" w:color="auto" w:fill="FFFFFF"/>
        </w:rPr>
        <w:t xml:space="preserve">zwischen 1,0 Prozentpunkten in Litauen (76,5 gegenüber 75,5 Prozent) und 25,0 Prozentpunkten in Malta (83,4/58,4 Prozent). In Finnland, Schweden und Lettland sowie </w:t>
      </w:r>
      <w:r w:rsidR="000D3CB8">
        <w:rPr>
          <w:rFonts w:ascii="Arial" w:hAnsi="Arial" w:cs="Arial"/>
          <w:color w:val="363636"/>
          <w:shd w:val="clear" w:color="auto" w:fill="FFFFFF"/>
        </w:rPr>
        <w:t xml:space="preserve">– </w:t>
      </w:r>
      <w:r w:rsidR="003C391A">
        <w:rPr>
          <w:rFonts w:ascii="Arial" w:hAnsi="Arial" w:cs="Arial"/>
          <w:color w:val="363636"/>
          <w:shd w:val="clear" w:color="auto" w:fill="FFFFFF"/>
        </w:rPr>
        <w:t xml:space="preserve">außerhalb der EU </w:t>
      </w:r>
      <w:r w:rsidR="000D3CB8">
        <w:rPr>
          <w:rFonts w:ascii="Arial" w:hAnsi="Arial" w:cs="Arial"/>
          <w:color w:val="363636"/>
          <w:shd w:val="clear" w:color="auto" w:fill="FFFFFF"/>
        </w:rPr>
        <w:t>–</w:t>
      </w:r>
      <w:r w:rsidR="003C7018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3C391A">
        <w:rPr>
          <w:rFonts w:ascii="Arial" w:hAnsi="Arial" w:cs="Arial"/>
          <w:color w:val="363636"/>
          <w:shd w:val="clear" w:color="auto" w:fill="FFFFFF"/>
        </w:rPr>
        <w:t xml:space="preserve">in Norwegen lag die Differenz der geschlechtsspezifischen </w:t>
      </w:r>
      <w:r w:rsidR="003C391A"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 w:rsidR="003C391A">
        <w:rPr>
          <w:rFonts w:ascii="Arial" w:hAnsi="Arial" w:cs="Arial"/>
          <w:color w:val="363636"/>
          <w:shd w:val="clear" w:color="auto" w:fill="FFFFFF"/>
        </w:rPr>
        <w:t xml:space="preserve">n ebenfalls unter 5 Prozentpunkten. </w:t>
      </w:r>
      <w:r w:rsidR="000D3CB8">
        <w:rPr>
          <w:rFonts w:ascii="Arial" w:hAnsi="Arial" w:cs="Arial"/>
          <w:color w:val="363636"/>
          <w:shd w:val="clear" w:color="auto" w:fill="FFFFFF"/>
        </w:rPr>
        <w:t xml:space="preserve">Zwischen 15 und 20 Prozentpunkten betrug die Differenz in </w:t>
      </w:r>
      <w:r w:rsidR="000D3CB8" w:rsidRPr="000D3CB8">
        <w:rPr>
          <w:rFonts w:ascii="Arial" w:hAnsi="Arial" w:cs="Arial"/>
          <w:color w:val="363636"/>
          <w:shd w:val="clear" w:color="auto" w:fill="FFFFFF"/>
        </w:rPr>
        <w:t>Italien, Griechenland, Rumänien, Tschechien</w:t>
      </w:r>
      <w:r w:rsidR="00E60B64">
        <w:rPr>
          <w:rFonts w:ascii="Arial" w:hAnsi="Arial" w:cs="Arial"/>
          <w:color w:val="363636"/>
          <w:shd w:val="clear" w:color="auto" w:fill="FFFFFF"/>
        </w:rPr>
        <w:t xml:space="preserve"> und </w:t>
      </w:r>
      <w:r w:rsidR="000D3CB8" w:rsidRPr="000D3CB8">
        <w:rPr>
          <w:rFonts w:ascii="Arial" w:hAnsi="Arial" w:cs="Arial"/>
          <w:color w:val="363636"/>
          <w:shd w:val="clear" w:color="auto" w:fill="FFFFFF"/>
        </w:rPr>
        <w:t>Ungarn</w:t>
      </w:r>
      <w:r w:rsidR="000D3CB8">
        <w:rPr>
          <w:rFonts w:ascii="Arial" w:hAnsi="Arial" w:cs="Arial"/>
          <w:color w:val="363636"/>
          <w:shd w:val="clear" w:color="auto" w:fill="FFFFFF"/>
        </w:rPr>
        <w:t xml:space="preserve">. Schließlich lag die </w:t>
      </w:r>
      <w:r w:rsidR="000D3CB8"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 w:rsidR="000D3CB8">
        <w:rPr>
          <w:rFonts w:ascii="Arial" w:hAnsi="Arial" w:cs="Arial"/>
          <w:color w:val="363636"/>
          <w:shd w:val="clear" w:color="auto" w:fill="FFFFFF"/>
        </w:rPr>
        <w:t xml:space="preserve"> der </w:t>
      </w:r>
      <w:r w:rsidR="000D3CB8">
        <w:rPr>
          <w:rFonts w:ascii="Arial" w:hAnsi="Arial" w:cs="Arial"/>
          <w:color w:val="363636"/>
          <w:shd w:val="clear" w:color="auto" w:fill="FFFFFF"/>
        </w:rPr>
        <w:lastRenderedPageBreak/>
        <w:t xml:space="preserve">Männer in Mazedonien (ehem. </w:t>
      </w:r>
      <w:proofErr w:type="spellStart"/>
      <w:r w:rsidR="00E60B64">
        <w:rPr>
          <w:rFonts w:ascii="Arial" w:hAnsi="Arial" w:cs="Arial"/>
          <w:color w:val="363636"/>
          <w:shd w:val="clear" w:color="auto" w:fill="FFFFFF"/>
        </w:rPr>
        <w:t>j</w:t>
      </w:r>
      <w:r w:rsidR="000D3CB8">
        <w:rPr>
          <w:rFonts w:ascii="Arial" w:hAnsi="Arial" w:cs="Arial"/>
          <w:color w:val="363636"/>
          <w:shd w:val="clear" w:color="auto" w:fill="FFFFFF"/>
        </w:rPr>
        <w:t>.R</w:t>
      </w:r>
      <w:proofErr w:type="spellEnd"/>
      <w:r w:rsidR="000D3CB8">
        <w:rPr>
          <w:rFonts w:ascii="Arial" w:hAnsi="Arial" w:cs="Arial"/>
          <w:color w:val="363636"/>
          <w:shd w:val="clear" w:color="auto" w:fill="FFFFFF"/>
        </w:rPr>
        <w:t>.) 21,9 Prozentpunkte über der der Frauen und in der Türkei lag die Differenz bei 41,6 Prozentpunkten (76,1 gegenüber 34,5 Prozent).</w:t>
      </w:r>
    </w:p>
    <w:p w14:paraId="2067AC72" w14:textId="77777777" w:rsidR="0075546E" w:rsidRDefault="0075546E" w:rsidP="00FF5191">
      <w:pPr>
        <w:pStyle w:val="StandardWeb"/>
        <w:shd w:val="clear" w:color="auto" w:fill="FFFFFF"/>
        <w:spacing w:before="0" w:after="0"/>
        <w:rPr>
          <w:rFonts w:ascii="Arial" w:hAnsi="Arial" w:cs="Arial"/>
          <w:color w:val="363636"/>
          <w:shd w:val="clear" w:color="auto" w:fill="FFFFFF"/>
        </w:rPr>
      </w:pPr>
    </w:p>
    <w:p w14:paraId="36BE3A27" w14:textId="7B27F8A9" w:rsidR="003C7018" w:rsidRDefault="003C7018" w:rsidP="003C7018">
      <w:pPr>
        <w:pStyle w:val="StandardWeb"/>
        <w:shd w:val="clear" w:color="auto" w:fill="FFFFFF"/>
        <w:spacing w:before="0" w:after="0"/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Die </w:t>
      </w:r>
      <w:r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>
        <w:rPr>
          <w:rFonts w:ascii="Arial" w:hAnsi="Arial" w:cs="Arial"/>
          <w:color w:val="363636"/>
          <w:shd w:val="clear" w:color="auto" w:fill="FFFFFF"/>
        </w:rPr>
        <w:t xml:space="preserve">n der 20- bis 64-jährigen Männer und Frauen haben sich in fast allen EU-Staaten angeglichen. Seit 2002 am stärksten in </w:t>
      </w:r>
      <w:r w:rsidRPr="00F12EDD">
        <w:rPr>
          <w:rFonts w:ascii="Arial" w:hAnsi="Arial" w:cs="Arial"/>
          <w:color w:val="363636"/>
          <w:shd w:val="clear" w:color="auto" w:fill="FFFFFF"/>
        </w:rPr>
        <w:t>Malta, Spanien, Luxemburg, Griechenland und Zypern</w:t>
      </w:r>
      <w:r>
        <w:rPr>
          <w:rFonts w:ascii="Arial" w:hAnsi="Arial" w:cs="Arial"/>
          <w:color w:val="363636"/>
          <w:shd w:val="clear" w:color="auto" w:fill="FFFFFF"/>
        </w:rPr>
        <w:t xml:space="preserve">. Auf der anderen Seite waren beispielsweise in Rumänien und Polen die </w:t>
      </w:r>
      <w:r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>
        <w:rPr>
          <w:rFonts w:ascii="Arial" w:hAnsi="Arial" w:cs="Arial"/>
          <w:color w:val="363636"/>
          <w:shd w:val="clear" w:color="auto" w:fill="FFFFFF"/>
        </w:rPr>
        <w:t xml:space="preserve">n der Männer und Frauen im Jahr 2017 weiter voneinander entfernt als 2002. Bei beiden Staaten ist der Grund dafür allerdings, dass die </w:t>
      </w:r>
      <w:r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>
        <w:rPr>
          <w:rFonts w:ascii="Arial" w:hAnsi="Arial" w:cs="Arial"/>
          <w:color w:val="363636"/>
          <w:shd w:val="clear" w:color="auto" w:fill="FFFFFF"/>
        </w:rPr>
        <w:t xml:space="preserve"> der Männer noch schneller gestiegen ist als die der Frauen. Für alle 34 hier betrachteten Staaten gilt, dass die </w:t>
      </w:r>
      <w:r w:rsidRPr="004A7A49">
        <w:rPr>
          <w:rFonts w:ascii="Arial" w:hAnsi="Arial" w:cs="Arial"/>
          <w:color w:val="363636"/>
          <w:shd w:val="clear" w:color="auto" w:fill="FFFFFF"/>
        </w:rPr>
        <w:t>Erwerbstätigenquote</w:t>
      </w:r>
      <w:r>
        <w:rPr>
          <w:rFonts w:ascii="Arial" w:hAnsi="Arial" w:cs="Arial"/>
          <w:color w:val="363636"/>
          <w:shd w:val="clear" w:color="auto" w:fill="FFFFFF"/>
        </w:rPr>
        <w:t xml:space="preserve"> der Frauen 2017 höher war als </w:t>
      </w:r>
      <w:r w:rsidR="0055099C">
        <w:rPr>
          <w:rFonts w:ascii="Arial" w:hAnsi="Arial" w:cs="Arial"/>
          <w:color w:val="363636"/>
          <w:shd w:val="clear" w:color="auto" w:fill="FFFFFF"/>
        </w:rPr>
        <w:t xml:space="preserve">im Jahr </w:t>
      </w:r>
      <w:r>
        <w:rPr>
          <w:rFonts w:ascii="Arial" w:hAnsi="Arial" w:cs="Arial"/>
          <w:color w:val="363636"/>
          <w:shd w:val="clear" w:color="auto" w:fill="FFFFFF"/>
        </w:rPr>
        <w:t>2002</w:t>
      </w:r>
      <w:r w:rsidR="0055099C">
        <w:rPr>
          <w:rFonts w:ascii="Arial" w:hAnsi="Arial" w:cs="Arial"/>
          <w:color w:val="363636"/>
          <w:shd w:val="clear" w:color="auto" w:fill="FFFFFF"/>
        </w:rPr>
        <w:t xml:space="preserve"> bzw. als im ersten Jahr für das</w:t>
      </w:r>
      <w:r w:rsidR="007F6F4D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55099C">
        <w:rPr>
          <w:rFonts w:ascii="Arial" w:hAnsi="Arial" w:cs="Arial"/>
          <w:color w:val="363636"/>
          <w:shd w:val="clear" w:color="auto" w:fill="FFFFFF"/>
        </w:rPr>
        <w:t>Daten vorliegen</w:t>
      </w:r>
      <w:r>
        <w:rPr>
          <w:rFonts w:ascii="Arial" w:hAnsi="Arial" w:cs="Arial"/>
          <w:color w:val="363636"/>
          <w:shd w:val="clear" w:color="auto" w:fill="FFFFFF"/>
        </w:rPr>
        <w:t>.</w:t>
      </w:r>
    </w:p>
    <w:p w14:paraId="4526A2BA" w14:textId="77777777" w:rsidR="003C391A" w:rsidRDefault="003C391A" w:rsidP="00FF5191">
      <w:pPr>
        <w:pStyle w:val="StandardWeb"/>
        <w:shd w:val="clear" w:color="auto" w:fill="FFFFFF"/>
        <w:spacing w:before="0" w:after="0"/>
        <w:rPr>
          <w:rFonts w:ascii="Arial" w:hAnsi="Arial" w:cs="Arial"/>
          <w:color w:val="363636"/>
          <w:shd w:val="clear" w:color="auto" w:fill="FFFFFF"/>
        </w:rPr>
      </w:pPr>
    </w:p>
    <w:p w14:paraId="3DDBB3A3" w14:textId="77777777" w:rsidR="00DA4DE2" w:rsidRPr="00274006" w:rsidRDefault="00DA4DE2">
      <w:pPr>
        <w:rPr>
          <w:rFonts w:ascii="Arial" w:hAnsi="Arial"/>
        </w:rPr>
      </w:pPr>
      <w:r w:rsidRPr="00274006">
        <w:rPr>
          <w:rStyle w:val="Absatz-Standardschriftart1"/>
          <w:rFonts w:ascii="Arial" w:hAnsi="Arial"/>
          <w:color w:val="FF0000"/>
        </w:rPr>
        <w:t>Datenquelle</w:t>
      </w:r>
    </w:p>
    <w:p w14:paraId="30873A0D" w14:textId="77777777" w:rsidR="00DA4DE2" w:rsidRPr="00130273" w:rsidRDefault="00DA4DE2">
      <w:pPr>
        <w:rPr>
          <w:rFonts w:ascii="Arial" w:hAnsi="Arial" w:cs="Arial"/>
          <w:color w:val="363636"/>
          <w:shd w:val="clear" w:color="auto" w:fill="FFFFFF"/>
        </w:rPr>
      </w:pPr>
    </w:p>
    <w:p w14:paraId="1D8D118C" w14:textId="2D12836D" w:rsidR="00992CA9" w:rsidRDefault="001D7394">
      <w:pPr>
        <w:rPr>
          <w:rFonts w:ascii="Arial" w:hAnsi="Arial" w:cs="Arial"/>
          <w:color w:val="363636"/>
          <w:shd w:val="clear" w:color="auto" w:fill="FFFFFF"/>
        </w:rPr>
      </w:pPr>
      <w:r w:rsidRPr="001D7394">
        <w:rPr>
          <w:rFonts w:ascii="Arial" w:hAnsi="Arial" w:cs="Arial"/>
          <w:color w:val="363636"/>
          <w:shd w:val="clear" w:color="auto" w:fill="FFFFFF"/>
        </w:rPr>
        <w:t>Eurostat: Online-Datenbank: Beschäftigte und Erwerbspersonen nach Alter und Geschlecht (Stand: 07/2018)</w:t>
      </w:r>
      <w:r w:rsidR="00017B1F">
        <w:rPr>
          <w:rFonts w:ascii="Arial" w:hAnsi="Arial" w:cs="Arial"/>
          <w:color w:val="363636"/>
          <w:shd w:val="clear" w:color="auto" w:fill="FFFFFF"/>
        </w:rPr>
        <w:t xml:space="preserve">, </w:t>
      </w:r>
      <w:r w:rsidR="00017B1F" w:rsidRPr="00017B1F">
        <w:rPr>
          <w:rFonts w:ascii="Arial" w:hAnsi="Arial" w:cs="Arial"/>
          <w:color w:val="363636"/>
          <w:shd w:val="clear" w:color="auto" w:fill="FFFFFF"/>
        </w:rPr>
        <w:t>Erwerbstätigenquoten nach Geschlecht, Alter und Bildungsabschluss</w:t>
      </w:r>
      <w:r w:rsidR="00017B1F" w:rsidRPr="001D7394">
        <w:rPr>
          <w:rFonts w:ascii="Arial" w:hAnsi="Arial" w:cs="Arial"/>
          <w:color w:val="363636"/>
          <w:shd w:val="clear" w:color="auto" w:fill="FFFFFF"/>
        </w:rPr>
        <w:t xml:space="preserve"> (Stand: 0</w:t>
      </w:r>
      <w:r w:rsidR="00017B1F">
        <w:rPr>
          <w:rFonts w:ascii="Arial" w:hAnsi="Arial" w:cs="Arial"/>
          <w:color w:val="363636"/>
          <w:shd w:val="clear" w:color="auto" w:fill="FFFFFF"/>
        </w:rPr>
        <w:t>8</w:t>
      </w:r>
      <w:r w:rsidR="00017B1F" w:rsidRPr="001D7394">
        <w:rPr>
          <w:rFonts w:ascii="Arial" w:hAnsi="Arial" w:cs="Arial"/>
          <w:color w:val="363636"/>
          <w:shd w:val="clear" w:color="auto" w:fill="FFFFFF"/>
        </w:rPr>
        <w:t>/2018)</w:t>
      </w:r>
    </w:p>
    <w:p w14:paraId="60E80D11" w14:textId="77777777" w:rsidR="001D7394" w:rsidRPr="00130273" w:rsidRDefault="001D7394">
      <w:pPr>
        <w:rPr>
          <w:rFonts w:ascii="Arial" w:hAnsi="Arial" w:cs="Arial"/>
          <w:color w:val="363636"/>
          <w:shd w:val="clear" w:color="auto" w:fill="FFFFFF"/>
        </w:rPr>
      </w:pPr>
    </w:p>
    <w:p w14:paraId="336E07B0" w14:textId="77777777" w:rsidR="00995A12" w:rsidRDefault="00995A12" w:rsidP="00995A12">
      <w:pPr>
        <w:rPr>
          <w:rStyle w:val="Absatz-Standardschriftart1"/>
          <w:rFonts w:ascii="Arial" w:hAnsi="Arial"/>
          <w:color w:val="FF0000"/>
        </w:rPr>
      </w:pPr>
      <w:r>
        <w:rPr>
          <w:rStyle w:val="Absatz-Standardschriftart1"/>
          <w:rFonts w:ascii="Arial" w:hAnsi="Arial"/>
          <w:color w:val="FF0000"/>
        </w:rPr>
        <w:t>Begriffe, methodische Anmerkungen oder Lesehilfen</w:t>
      </w:r>
    </w:p>
    <w:p w14:paraId="1F29C873" w14:textId="77777777" w:rsidR="00995A12" w:rsidRPr="007F6F4D" w:rsidRDefault="00995A12" w:rsidP="00995A12">
      <w:pPr>
        <w:rPr>
          <w:rFonts w:ascii="Arial" w:hAnsi="Arial" w:cs="Arial"/>
          <w:color w:val="363636"/>
          <w:shd w:val="clear" w:color="auto" w:fill="FFFFFF"/>
        </w:rPr>
      </w:pPr>
    </w:p>
    <w:p w14:paraId="72DA3CC2" w14:textId="3ECEF007" w:rsidR="00995A12" w:rsidRPr="007F6F4D" w:rsidRDefault="00995A12" w:rsidP="00995A12">
      <w:pPr>
        <w:rPr>
          <w:rFonts w:ascii="Arial" w:hAnsi="Arial" w:cs="Arial"/>
          <w:shd w:val="clear" w:color="auto" w:fill="FFFFFF"/>
        </w:rPr>
      </w:pPr>
      <w:r w:rsidRPr="007F6F4D">
        <w:rPr>
          <w:rFonts w:ascii="Arial" w:hAnsi="Arial" w:cs="Arial"/>
          <w:color w:val="363636"/>
          <w:shd w:val="clear" w:color="auto" w:fill="FFFFFF"/>
        </w:rPr>
        <w:t>Informationen zu</w:t>
      </w:r>
      <w:r w:rsidR="007F6F4D" w:rsidRPr="007F6F4D">
        <w:rPr>
          <w:rFonts w:ascii="Arial" w:hAnsi="Arial" w:cs="Arial"/>
          <w:color w:val="363636"/>
          <w:shd w:val="clear" w:color="auto" w:fill="FFFFFF"/>
        </w:rPr>
        <w:t xml:space="preserve">m Thema </w:t>
      </w:r>
      <w:r w:rsidR="007F6F4D" w:rsidRPr="007F6F4D">
        <w:rPr>
          <w:rFonts w:ascii="Arial" w:hAnsi="Arial" w:cs="Arial"/>
          <w:b/>
          <w:color w:val="363636"/>
          <w:shd w:val="clear" w:color="auto" w:fill="FFFFFF"/>
        </w:rPr>
        <w:t xml:space="preserve">Erwerbstätigenquoten nach Anzahl der Kinder </w:t>
      </w:r>
      <w:r w:rsidRPr="007F6F4D">
        <w:rPr>
          <w:rFonts w:ascii="Arial" w:hAnsi="Arial" w:cs="Arial"/>
          <w:color w:val="363636"/>
          <w:shd w:val="clear" w:color="auto" w:fill="FFFFFF"/>
        </w:rPr>
        <w:t xml:space="preserve">finden </w:t>
      </w:r>
      <w:r w:rsidR="00F1305A">
        <w:rPr>
          <w:rFonts w:ascii="Arial" w:hAnsi="Arial" w:cs="Arial"/>
          <w:color w:val="363636"/>
          <w:shd w:val="clear" w:color="auto" w:fill="FFFFFF"/>
        </w:rPr>
        <w:t xml:space="preserve">Sie hier: </w:t>
      </w:r>
      <w:hyperlink r:id="rId7" w:history="1">
        <w:r w:rsidR="007F6F4D" w:rsidRPr="007F6F4D">
          <w:rPr>
            <w:rStyle w:val="Hyperlink"/>
            <w:rFonts w:ascii="Arial" w:hAnsi="Arial" w:cs="Arial"/>
            <w:shd w:val="clear" w:color="auto" w:fill="FFFFFF"/>
          </w:rPr>
          <w:t>http://www.bpb.de/70596</w:t>
        </w:r>
      </w:hyperlink>
    </w:p>
    <w:p w14:paraId="3959E56C" w14:textId="77777777" w:rsidR="00995A12" w:rsidRPr="007F6F4D" w:rsidRDefault="00995A12" w:rsidP="00995A12">
      <w:pPr>
        <w:rPr>
          <w:rFonts w:ascii="Arial" w:hAnsi="Arial" w:cs="Arial"/>
          <w:color w:val="363636"/>
          <w:shd w:val="clear" w:color="auto" w:fill="FFFFFF"/>
        </w:rPr>
      </w:pPr>
    </w:p>
    <w:p w14:paraId="48C33F51" w14:textId="77777777" w:rsidR="00995A12" w:rsidRPr="007F6F4D" w:rsidRDefault="00995A12" w:rsidP="00995A12">
      <w:pPr>
        <w:rPr>
          <w:rFonts w:ascii="Arial" w:hAnsi="Arial" w:cs="Arial"/>
          <w:color w:val="363636"/>
          <w:shd w:val="clear" w:color="auto" w:fill="FFFFFF"/>
        </w:rPr>
      </w:pPr>
      <w:r w:rsidRPr="007F6F4D">
        <w:rPr>
          <w:rFonts w:ascii="Arial" w:hAnsi="Arial" w:cs="Arial"/>
          <w:color w:val="363636"/>
          <w:shd w:val="clear" w:color="auto" w:fill="FFFFFF"/>
        </w:rPr>
        <w:t xml:space="preserve">Die </w:t>
      </w:r>
      <w:r w:rsidRPr="007F6F4D">
        <w:rPr>
          <w:rFonts w:ascii="Arial" w:hAnsi="Arial" w:cs="Arial"/>
          <w:b/>
          <w:color w:val="363636"/>
          <w:shd w:val="clear" w:color="auto" w:fill="FFFFFF"/>
        </w:rPr>
        <w:t>Erwerbstätigenquote</w:t>
      </w:r>
      <w:r w:rsidRPr="007F6F4D">
        <w:rPr>
          <w:rFonts w:ascii="Arial" w:hAnsi="Arial" w:cs="Arial"/>
          <w:color w:val="363636"/>
          <w:shd w:val="clear" w:color="auto" w:fill="FFFFFF"/>
        </w:rPr>
        <w:t xml:space="preserve"> entspricht dem Anteil der Erwerbstätigen an der gleichaltrigen Bevölkerung. Da sich jüngere Personen häufiger noch in der Ausbildung befinden, wird hier die Gruppe der 20- bis unter 65-jährigen Personen betrachtet.</w:t>
      </w:r>
    </w:p>
    <w:p w14:paraId="78E349C7" w14:textId="77777777" w:rsidR="00995A12" w:rsidRPr="007F6F4D" w:rsidRDefault="00995A12" w:rsidP="00995A12">
      <w:pPr>
        <w:rPr>
          <w:rStyle w:val="Absatz-Standardschriftart1"/>
          <w:rFonts w:ascii="Arial" w:hAnsi="Arial" w:cs="Arial"/>
          <w:color w:val="000000"/>
        </w:rPr>
      </w:pPr>
    </w:p>
    <w:p w14:paraId="77EF4130" w14:textId="77777777" w:rsidR="00995A12" w:rsidRPr="007F6F4D" w:rsidRDefault="00995A12" w:rsidP="00995A12">
      <w:pPr>
        <w:rPr>
          <w:rFonts w:ascii="Arial" w:hAnsi="Arial" w:cs="Arial"/>
          <w:color w:val="363636"/>
          <w:shd w:val="clear" w:color="auto" w:fill="FFFFFF"/>
        </w:rPr>
      </w:pPr>
      <w:r w:rsidRPr="007F6F4D">
        <w:rPr>
          <w:rStyle w:val="Absatz-Standardschriftart1"/>
          <w:rFonts w:ascii="Arial" w:hAnsi="Arial" w:cs="Arial"/>
          <w:b/>
          <w:color w:val="000000"/>
        </w:rPr>
        <w:t>Erwerbstätige</w:t>
      </w:r>
      <w:r w:rsidRPr="007F6F4D">
        <w:rPr>
          <w:rStyle w:val="Absatz-Standardschriftart1"/>
          <w:rFonts w:ascii="Arial" w:hAnsi="Arial" w:cs="Arial"/>
          <w:color w:val="000000"/>
        </w:rPr>
        <w:t xml:space="preserve"> sind grundsätzlich alle Personen im Alter von mindestens 15 Jahren, die in der Bezugswoche (der EU-Arbeitskräfteerhebung) </w:t>
      </w:r>
      <w:r w:rsidRPr="007F6F4D">
        <w:rPr>
          <w:rFonts w:ascii="Arial" w:hAnsi="Arial" w:cs="Arial"/>
          <w:color w:val="363636"/>
          <w:shd w:val="clear" w:color="auto" w:fill="FFFFFF"/>
        </w:rPr>
        <w:t>gegen Entgelt oder zur Gewinnerzielung mindestens eine Stunde gearbeitet haben sowie alle Personen, die nur vorübergehend von ihrer Arbeit abwesend sind (zum Beispiel aufgrund von Krankheit, Urlaub, Streik, Aus- oder Weiterbildungsmaßnahmen).</w:t>
      </w:r>
    </w:p>
    <w:p w14:paraId="208B00C0" w14:textId="77777777" w:rsidR="00995A12" w:rsidRPr="007F6F4D" w:rsidRDefault="00995A12" w:rsidP="00995A12">
      <w:pPr>
        <w:rPr>
          <w:rFonts w:ascii="Arial" w:hAnsi="Arial" w:cs="Arial"/>
          <w:color w:val="363636"/>
          <w:shd w:val="clear" w:color="auto" w:fill="FFFFFF"/>
        </w:rPr>
      </w:pPr>
    </w:p>
    <w:p w14:paraId="0FA8910E" w14:textId="77777777" w:rsidR="00995A12" w:rsidRDefault="00995A12" w:rsidP="00995A1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8" w:tgtFrame="extern" w:history="1">
        <w:proofErr w:type="spellStart"/>
        <w:r w:rsidRPr="00595F8B">
          <w:rPr>
            <w:rFonts w:ascii="Arial" w:hAnsi="Arial"/>
            <w:sz w:val="20"/>
            <w:szCs w:val="20"/>
          </w:rPr>
          <w:t>by-nc-nd</w:t>
        </w:r>
        <w:proofErr w:type="spellEnd"/>
        <w:r w:rsidRPr="00595F8B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14:paraId="104B203A" w14:textId="3D33519B" w:rsidR="00F56C6E" w:rsidRDefault="00995A12" w:rsidP="00995A1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Bundeszentrale für politische Bildung 201</w:t>
      </w:r>
      <w:r w:rsidR="00993E97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| </w:t>
      </w:r>
      <w:hyperlink r:id="rId9" w:history="1">
        <w:r w:rsidRPr="00595F8B">
          <w:rPr>
            <w:rFonts w:ascii="Arial" w:hAnsi="Arial"/>
            <w:sz w:val="20"/>
            <w:szCs w:val="20"/>
          </w:rPr>
          <w:t>www.bpb.de</w:t>
        </w:r>
      </w:hyperlink>
    </w:p>
    <w:sectPr w:rsidR="00F56C6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82382"/>
    <w:multiLevelType w:val="hybridMultilevel"/>
    <w:tmpl w:val="EE3AE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5539C"/>
    <w:multiLevelType w:val="hybridMultilevel"/>
    <w:tmpl w:val="8D1CF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F6079"/>
    <w:multiLevelType w:val="multilevel"/>
    <w:tmpl w:val="76C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F4D8B"/>
    <w:multiLevelType w:val="hybridMultilevel"/>
    <w:tmpl w:val="85AA6CC8"/>
    <w:lvl w:ilvl="0" w:tplc="27262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tterich, Martin">
    <w15:presenceInfo w15:providerId="None" w15:userId="Hetterich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13"/>
    <w:rsid w:val="000044AE"/>
    <w:rsid w:val="000048D0"/>
    <w:rsid w:val="00006E78"/>
    <w:rsid w:val="000114C7"/>
    <w:rsid w:val="00012777"/>
    <w:rsid w:val="00017B1F"/>
    <w:rsid w:val="0002482A"/>
    <w:rsid w:val="00025A78"/>
    <w:rsid w:val="000276F6"/>
    <w:rsid w:val="0003364A"/>
    <w:rsid w:val="00044964"/>
    <w:rsid w:val="00047707"/>
    <w:rsid w:val="00056826"/>
    <w:rsid w:val="00056EDA"/>
    <w:rsid w:val="00057605"/>
    <w:rsid w:val="00062A38"/>
    <w:rsid w:val="000633E9"/>
    <w:rsid w:val="00070A93"/>
    <w:rsid w:val="000728FC"/>
    <w:rsid w:val="00075182"/>
    <w:rsid w:val="000771FC"/>
    <w:rsid w:val="00094195"/>
    <w:rsid w:val="000967A8"/>
    <w:rsid w:val="000A1861"/>
    <w:rsid w:val="000A20C8"/>
    <w:rsid w:val="000A3CFA"/>
    <w:rsid w:val="000A5B99"/>
    <w:rsid w:val="000A5FC7"/>
    <w:rsid w:val="000B14E0"/>
    <w:rsid w:val="000B3969"/>
    <w:rsid w:val="000B6FD4"/>
    <w:rsid w:val="000D2D97"/>
    <w:rsid w:val="000D3CB8"/>
    <w:rsid w:val="000E3D65"/>
    <w:rsid w:val="000E4B99"/>
    <w:rsid w:val="000F6D73"/>
    <w:rsid w:val="001007DC"/>
    <w:rsid w:val="001018BD"/>
    <w:rsid w:val="00103015"/>
    <w:rsid w:val="00104A93"/>
    <w:rsid w:val="001069B4"/>
    <w:rsid w:val="00120C90"/>
    <w:rsid w:val="00123C03"/>
    <w:rsid w:val="001261E3"/>
    <w:rsid w:val="00130273"/>
    <w:rsid w:val="00131BAE"/>
    <w:rsid w:val="001332BD"/>
    <w:rsid w:val="00146B0F"/>
    <w:rsid w:val="00154664"/>
    <w:rsid w:val="001626DA"/>
    <w:rsid w:val="001647B2"/>
    <w:rsid w:val="00165C1C"/>
    <w:rsid w:val="00170C35"/>
    <w:rsid w:val="00182BDC"/>
    <w:rsid w:val="001854EE"/>
    <w:rsid w:val="00185E3E"/>
    <w:rsid w:val="00192110"/>
    <w:rsid w:val="00197AEB"/>
    <w:rsid w:val="001A113B"/>
    <w:rsid w:val="001A6020"/>
    <w:rsid w:val="001D41D8"/>
    <w:rsid w:val="001D7394"/>
    <w:rsid w:val="001E064E"/>
    <w:rsid w:val="001F0331"/>
    <w:rsid w:val="001F117A"/>
    <w:rsid w:val="001F57E0"/>
    <w:rsid w:val="001F7E45"/>
    <w:rsid w:val="00203BE9"/>
    <w:rsid w:val="00206718"/>
    <w:rsid w:val="00212AAE"/>
    <w:rsid w:val="00231C75"/>
    <w:rsid w:val="00233842"/>
    <w:rsid w:val="00234140"/>
    <w:rsid w:val="002402A0"/>
    <w:rsid w:val="00243E87"/>
    <w:rsid w:val="00244B4E"/>
    <w:rsid w:val="00250510"/>
    <w:rsid w:val="002548C0"/>
    <w:rsid w:val="0026000F"/>
    <w:rsid w:val="00261EB3"/>
    <w:rsid w:val="002637A4"/>
    <w:rsid w:val="00264884"/>
    <w:rsid w:val="002724A4"/>
    <w:rsid w:val="00273A77"/>
    <w:rsid w:val="00274006"/>
    <w:rsid w:val="00277631"/>
    <w:rsid w:val="00282BAF"/>
    <w:rsid w:val="002850DE"/>
    <w:rsid w:val="00292358"/>
    <w:rsid w:val="002A0178"/>
    <w:rsid w:val="002A3736"/>
    <w:rsid w:val="002B7E12"/>
    <w:rsid w:val="002C6675"/>
    <w:rsid w:val="002D0654"/>
    <w:rsid w:val="002D2A96"/>
    <w:rsid w:val="002D64F4"/>
    <w:rsid w:val="002D7B06"/>
    <w:rsid w:val="002E019E"/>
    <w:rsid w:val="002E2E39"/>
    <w:rsid w:val="002F089A"/>
    <w:rsid w:val="002F3779"/>
    <w:rsid w:val="002F3EE8"/>
    <w:rsid w:val="003046C6"/>
    <w:rsid w:val="00307CBE"/>
    <w:rsid w:val="003119B8"/>
    <w:rsid w:val="00313D9A"/>
    <w:rsid w:val="00324B3D"/>
    <w:rsid w:val="003313AA"/>
    <w:rsid w:val="003408F5"/>
    <w:rsid w:val="00345F0E"/>
    <w:rsid w:val="00380040"/>
    <w:rsid w:val="00380BB3"/>
    <w:rsid w:val="00382E13"/>
    <w:rsid w:val="0039046A"/>
    <w:rsid w:val="00392237"/>
    <w:rsid w:val="003957BD"/>
    <w:rsid w:val="003959CD"/>
    <w:rsid w:val="003A3BC9"/>
    <w:rsid w:val="003A6A52"/>
    <w:rsid w:val="003C391A"/>
    <w:rsid w:val="003C7018"/>
    <w:rsid w:val="003D7D6F"/>
    <w:rsid w:val="003E2259"/>
    <w:rsid w:val="003E6CBC"/>
    <w:rsid w:val="003E7AFC"/>
    <w:rsid w:val="003F00BF"/>
    <w:rsid w:val="003F4572"/>
    <w:rsid w:val="00402CFF"/>
    <w:rsid w:val="004030EB"/>
    <w:rsid w:val="0040687B"/>
    <w:rsid w:val="004074BB"/>
    <w:rsid w:val="0042100B"/>
    <w:rsid w:val="00422819"/>
    <w:rsid w:val="0044060D"/>
    <w:rsid w:val="00442648"/>
    <w:rsid w:val="00450D21"/>
    <w:rsid w:val="00455F52"/>
    <w:rsid w:val="00457DB5"/>
    <w:rsid w:val="00471DA5"/>
    <w:rsid w:val="00472226"/>
    <w:rsid w:val="00476543"/>
    <w:rsid w:val="00486A15"/>
    <w:rsid w:val="004903E1"/>
    <w:rsid w:val="004A116E"/>
    <w:rsid w:val="004A7A49"/>
    <w:rsid w:val="004C124B"/>
    <w:rsid w:val="004D1E26"/>
    <w:rsid w:val="004D2EFE"/>
    <w:rsid w:val="004E3A93"/>
    <w:rsid w:val="004E4C93"/>
    <w:rsid w:val="004F4BF5"/>
    <w:rsid w:val="00520C79"/>
    <w:rsid w:val="00524EF9"/>
    <w:rsid w:val="005334DC"/>
    <w:rsid w:val="005345B6"/>
    <w:rsid w:val="00534D46"/>
    <w:rsid w:val="005417FA"/>
    <w:rsid w:val="0054225B"/>
    <w:rsid w:val="0055099C"/>
    <w:rsid w:val="0056591A"/>
    <w:rsid w:val="00570604"/>
    <w:rsid w:val="00571D2A"/>
    <w:rsid w:val="005726D3"/>
    <w:rsid w:val="00577A3F"/>
    <w:rsid w:val="00584938"/>
    <w:rsid w:val="00585D1D"/>
    <w:rsid w:val="0059302E"/>
    <w:rsid w:val="005A3391"/>
    <w:rsid w:val="005A5739"/>
    <w:rsid w:val="005B11AC"/>
    <w:rsid w:val="005B7E92"/>
    <w:rsid w:val="005C4460"/>
    <w:rsid w:val="005D07AC"/>
    <w:rsid w:val="005E1DB7"/>
    <w:rsid w:val="005F32F5"/>
    <w:rsid w:val="005F330B"/>
    <w:rsid w:val="005F5C8C"/>
    <w:rsid w:val="0060015E"/>
    <w:rsid w:val="00602231"/>
    <w:rsid w:val="00602F81"/>
    <w:rsid w:val="006109EF"/>
    <w:rsid w:val="006150DD"/>
    <w:rsid w:val="006323DA"/>
    <w:rsid w:val="0063248C"/>
    <w:rsid w:val="00632CBC"/>
    <w:rsid w:val="00642ABD"/>
    <w:rsid w:val="00645AAE"/>
    <w:rsid w:val="00646306"/>
    <w:rsid w:val="006602B4"/>
    <w:rsid w:val="006602E6"/>
    <w:rsid w:val="00661037"/>
    <w:rsid w:val="00664B0D"/>
    <w:rsid w:val="00664C93"/>
    <w:rsid w:val="006701F4"/>
    <w:rsid w:val="00675B2D"/>
    <w:rsid w:val="00684772"/>
    <w:rsid w:val="0069060F"/>
    <w:rsid w:val="006960F9"/>
    <w:rsid w:val="006A7A5E"/>
    <w:rsid w:val="006B10DA"/>
    <w:rsid w:val="006B3C96"/>
    <w:rsid w:val="006B4A78"/>
    <w:rsid w:val="006B5BE8"/>
    <w:rsid w:val="006C0CFD"/>
    <w:rsid w:val="006D3D9F"/>
    <w:rsid w:val="006F5E22"/>
    <w:rsid w:val="007035C2"/>
    <w:rsid w:val="00703A6E"/>
    <w:rsid w:val="007136CD"/>
    <w:rsid w:val="00725CC5"/>
    <w:rsid w:val="0072693B"/>
    <w:rsid w:val="007275D8"/>
    <w:rsid w:val="007452F8"/>
    <w:rsid w:val="007454FA"/>
    <w:rsid w:val="00745965"/>
    <w:rsid w:val="00745D2D"/>
    <w:rsid w:val="00754295"/>
    <w:rsid w:val="0075546E"/>
    <w:rsid w:val="007577D3"/>
    <w:rsid w:val="0077242A"/>
    <w:rsid w:val="00773E2A"/>
    <w:rsid w:val="00775BE9"/>
    <w:rsid w:val="0077656D"/>
    <w:rsid w:val="00782CDB"/>
    <w:rsid w:val="00790559"/>
    <w:rsid w:val="007911A5"/>
    <w:rsid w:val="00793642"/>
    <w:rsid w:val="00793B4C"/>
    <w:rsid w:val="00796326"/>
    <w:rsid w:val="007A14AB"/>
    <w:rsid w:val="007C1B77"/>
    <w:rsid w:val="007C6AE7"/>
    <w:rsid w:val="007D23B3"/>
    <w:rsid w:val="007D4949"/>
    <w:rsid w:val="007E3A6D"/>
    <w:rsid w:val="007F0063"/>
    <w:rsid w:val="007F6F4D"/>
    <w:rsid w:val="00801B1A"/>
    <w:rsid w:val="0080363F"/>
    <w:rsid w:val="00805D15"/>
    <w:rsid w:val="008139F1"/>
    <w:rsid w:val="0081742B"/>
    <w:rsid w:val="008215E2"/>
    <w:rsid w:val="008227EE"/>
    <w:rsid w:val="008241C6"/>
    <w:rsid w:val="008261D9"/>
    <w:rsid w:val="0083066B"/>
    <w:rsid w:val="0084713E"/>
    <w:rsid w:val="00854D3A"/>
    <w:rsid w:val="00857767"/>
    <w:rsid w:val="00860554"/>
    <w:rsid w:val="008647E5"/>
    <w:rsid w:val="00870C48"/>
    <w:rsid w:val="0087634E"/>
    <w:rsid w:val="0087639E"/>
    <w:rsid w:val="00880907"/>
    <w:rsid w:val="008A0BC8"/>
    <w:rsid w:val="008B3920"/>
    <w:rsid w:val="008C3A0D"/>
    <w:rsid w:val="008C5587"/>
    <w:rsid w:val="008D01FA"/>
    <w:rsid w:val="008D2AA3"/>
    <w:rsid w:val="008E09E2"/>
    <w:rsid w:val="00900B96"/>
    <w:rsid w:val="0091448C"/>
    <w:rsid w:val="00934566"/>
    <w:rsid w:val="00936424"/>
    <w:rsid w:val="00936B67"/>
    <w:rsid w:val="0094069F"/>
    <w:rsid w:val="00942C62"/>
    <w:rsid w:val="00943563"/>
    <w:rsid w:val="00945FBA"/>
    <w:rsid w:val="0095124B"/>
    <w:rsid w:val="00952490"/>
    <w:rsid w:val="00957272"/>
    <w:rsid w:val="00961704"/>
    <w:rsid w:val="00965895"/>
    <w:rsid w:val="00966EF0"/>
    <w:rsid w:val="00971C66"/>
    <w:rsid w:val="00984083"/>
    <w:rsid w:val="009853B7"/>
    <w:rsid w:val="00992CA9"/>
    <w:rsid w:val="00993E97"/>
    <w:rsid w:val="00994A5B"/>
    <w:rsid w:val="00995A12"/>
    <w:rsid w:val="009A148A"/>
    <w:rsid w:val="009A6D43"/>
    <w:rsid w:val="009C2DA4"/>
    <w:rsid w:val="009C3B9C"/>
    <w:rsid w:val="009D3C20"/>
    <w:rsid w:val="009E03D7"/>
    <w:rsid w:val="009E19D8"/>
    <w:rsid w:val="009E7EFF"/>
    <w:rsid w:val="009F01E0"/>
    <w:rsid w:val="009F1B71"/>
    <w:rsid w:val="009F527D"/>
    <w:rsid w:val="00A12FAD"/>
    <w:rsid w:val="00A141DD"/>
    <w:rsid w:val="00A21184"/>
    <w:rsid w:val="00A24943"/>
    <w:rsid w:val="00A328FA"/>
    <w:rsid w:val="00A354D5"/>
    <w:rsid w:val="00A35B7E"/>
    <w:rsid w:val="00A42406"/>
    <w:rsid w:val="00A42C87"/>
    <w:rsid w:val="00A43C4E"/>
    <w:rsid w:val="00A5070B"/>
    <w:rsid w:val="00A52D29"/>
    <w:rsid w:val="00A62140"/>
    <w:rsid w:val="00A62313"/>
    <w:rsid w:val="00A714B0"/>
    <w:rsid w:val="00A71784"/>
    <w:rsid w:val="00A746F8"/>
    <w:rsid w:val="00A8044F"/>
    <w:rsid w:val="00A806CA"/>
    <w:rsid w:val="00A8154B"/>
    <w:rsid w:val="00A82A5A"/>
    <w:rsid w:val="00A958CA"/>
    <w:rsid w:val="00AA0193"/>
    <w:rsid w:val="00AA0AFC"/>
    <w:rsid w:val="00AA7E5D"/>
    <w:rsid w:val="00AB0872"/>
    <w:rsid w:val="00AB14BB"/>
    <w:rsid w:val="00AC2C3E"/>
    <w:rsid w:val="00AD166C"/>
    <w:rsid w:val="00AF1717"/>
    <w:rsid w:val="00AF2C78"/>
    <w:rsid w:val="00AF53FD"/>
    <w:rsid w:val="00AF7486"/>
    <w:rsid w:val="00B02F47"/>
    <w:rsid w:val="00B0637F"/>
    <w:rsid w:val="00B072B2"/>
    <w:rsid w:val="00B1272A"/>
    <w:rsid w:val="00B12E8D"/>
    <w:rsid w:val="00B1401B"/>
    <w:rsid w:val="00B277D3"/>
    <w:rsid w:val="00B31A0E"/>
    <w:rsid w:val="00B359A1"/>
    <w:rsid w:val="00B45E85"/>
    <w:rsid w:val="00B469CC"/>
    <w:rsid w:val="00B54805"/>
    <w:rsid w:val="00B54CE7"/>
    <w:rsid w:val="00B61E93"/>
    <w:rsid w:val="00B6608C"/>
    <w:rsid w:val="00B7080B"/>
    <w:rsid w:val="00B77218"/>
    <w:rsid w:val="00B80F18"/>
    <w:rsid w:val="00B979DD"/>
    <w:rsid w:val="00BA15AC"/>
    <w:rsid w:val="00BB1263"/>
    <w:rsid w:val="00BB26AA"/>
    <w:rsid w:val="00BB6C21"/>
    <w:rsid w:val="00BD04A0"/>
    <w:rsid w:val="00BE37AA"/>
    <w:rsid w:val="00C0546D"/>
    <w:rsid w:val="00C10280"/>
    <w:rsid w:val="00C10832"/>
    <w:rsid w:val="00C22858"/>
    <w:rsid w:val="00C31020"/>
    <w:rsid w:val="00C31E1F"/>
    <w:rsid w:val="00C354AC"/>
    <w:rsid w:val="00C422E3"/>
    <w:rsid w:val="00C47797"/>
    <w:rsid w:val="00C53B8A"/>
    <w:rsid w:val="00C6236B"/>
    <w:rsid w:val="00C66EA6"/>
    <w:rsid w:val="00C712BC"/>
    <w:rsid w:val="00C7500E"/>
    <w:rsid w:val="00C80BC0"/>
    <w:rsid w:val="00C81708"/>
    <w:rsid w:val="00C91250"/>
    <w:rsid w:val="00C970B8"/>
    <w:rsid w:val="00CA3446"/>
    <w:rsid w:val="00CA344B"/>
    <w:rsid w:val="00CB174D"/>
    <w:rsid w:val="00CB6DE3"/>
    <w:rsid w:val="00CB7535"/>
    <w:rsid w:val="00CD3113"/>
    <w:rsid w:val="00CE41FE"/>
    <w:rsid w:val="00CE4643"/>
    <w:rsid w:val="00CF26D2"/>
    <w:rsid w:val="00CF45D4"/>
    <w:rsid w:val="00CF4EE0"/>
    <w:rsid w:val="00D016FE"/>
    <w:rsid w:val="00D10EE8"/>
    <w:rsid w:val="00D114F8"/>
    <w:rsid w:val="00D13775"/>
    <w:rsid w:val="00D2082D"/>
    <w:rsid w:val="00D210F6"/>
    <w:rsid w:val="00D3750A"/>
    <w:rsid w:val="00D41913"/>
    <w:rsid w:val="00D41A52"/>
    <w:rsid w:val="00D42D77"/>
    <w:rsid w:val="00D513E7"/>
    <w:rsid w:val="00D552DC"/>
    <w:rsid w:val="00D558DB"/>
    <w:rsid w:val="00D64566"/>
    <w:rsid w:val="00D76851"/>
    <w:rsid w:val="00D82041"/>
    <w:rsid w:val="00D93546"/>
    <w:rsid w:val="00D937C5"/>
    <w:rsid w:val="00DA4DE2"/>
    <w:rsid w:val="00DA6BF5"/>
    <w:rsid w:val="00DB0434"/>
    <w:rsid w:val="00DB0F4F"/>
    <w:rsid w:val="00DC356D"/>
    <w:rsid w:val="00DD07BE"/>
    <w:rsid w:val="00DD704E"/>
    <w:rsid w:val="00DD759B"/>
    <w:rsid w:val="00DE1D31"/>
    <w:rsid w:val="00E042AA"/>
    <w:rsid w:val="00E0541B"/>
    <w:rsid w:val="00E06DD4"/>
    <w:rsid w:val="00E219E9"/>
    <w:rsid w:val="00E27AB5"/>
    <w:rsid w:val="00E33E79"/>
    <w:rsid w:val="00E412CA"/>
    <w:rsid w:val="00E51C68"/>
    <w:rsid w:val="00E53FDF"/>
    <w:rsid w:val="00E60B64"/>
    <w:rsid w:val="00E7389B"/>
    <w:rsid w:val="00E73B38"/>
    <w:rsid w:val="00E761FB"/>
    <w:rsid w:val="00E80D4F"/>
    <w:rsid w:val="00E96224"/>
    <w:rsid w:val="00EA08C9"/>
    <w:rsid w:val="00EA163E"/>
    <w:rsid w:val="00EB6B7E"/>
    <w:rsid w:val="00EB76F9"/>
    <w:rsid w:val="00EC12E6"/>
    <w:rsid w:val="00EC6873"/>
    <w:rsid w:val="00ED04A8"/>
    <w:rsid w:val="00ED224D"/>
    <w:rsid w:val="00EE427A"/>
    <w:rsid w:val="00F1305A"/>
    <w:rsid w:val="00F158D2"/>
    <w:rsid w:val="00F1767E"/>
    <w:rsid w:val="00F2373F"/>
    <w:rsid w:val="00F27BCB"/>
    <w:rsid w:val="00F425F6"/>
    <w:rsid w:val="00F447CB"/>
    <w:rsid w:val="00F44DC4"/>
    <w:rsid w:val="00F56391"/>
    <w:rsid w:val="00F56C6E"/>
    <w:rsid w:val="00F64B9C"/>
    <w:rsid w:val="00F7210A"/>
    <w:rsid w:val="00F72974"/>
    <w:rsid w:val="00F7597D"/>
    <w:rsid w:val="00F81EEF"/>
    <w:rsid w:val="00F9239D"/>
    <w:rsid w:val="00F93CC0"/>
    <w:rsid w:val="00F955B6"/>
    <w:rsid w:val="00FA2623"/>
    <w:rsid w:val="00FA2A7D"/>
    <w:rsid w:val="00FA6586"/>
    <w:rsid w:val="00FA7B31"/>
    <w:rsid w:val="00FC4D73"/>
    <w:rsid w:val="00FC69DF"/>
    <w:rsid w:val="00FC7DEE"/>
    <w:rsid w:val="00FD033D"/>
    <w:rsid w:val="00FE2C7A"/>
    <w:rsid w:val="00FE2EE9"/>
    <w:rsid w:val="00FE7A86"/>
    <w:rsid w:val="00FF39B3"/>
    <w:rsid w:val="00FF4928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881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berschrift1">
    <w:name w:val="heading 1"/>
    <w:basedOn w:val="Standard"/>
    <w:link w:val="berschrift1Zchn"/>
    <w:uiPriority w:val="9"/>
    <w:qFormat/>
    <w:rsid w:val="00D210F6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Hyperlink1">
    <w:name w:val="Hyperlink1"/>
    <w:rPr>
      <w:color w:val="0000FF"/>
      <w:u w:val="single"/>
    </w:rPr>
  </w:style>
  <w:style w:type="character" w:customStyle="1" w:styleId="Kommentarzeichen1">
    <w:name w:val="Kommentarzeichen1"/>
    <w:rPr>
      <w:sz w:val="16"/>
    </w:rPr>
  </w:style>
  <w:style w:type="character" w:customStyle="1" w:styleId="Fett1">
    <w:name w:val="Fett1"/>
    <w:rPr>
      <w:b/>
      <w:bCs/>
    </w:rPr>
  </w:style>
  <w:style w:type="character" w:styleId="HTMLAkronym">
    <w:name w:val="HTML Acronym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Andale Sans UI"/>
      <w:sz w:val="26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Andale Sans UI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Andale Sans UI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Andale Sans UI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Andale Sans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character" w:styleId="Kommentarzeichen">
    <w:name w:val="annotation reference"/>
    <w:uiPriority w:val="99"/>
    <w:semiHidden/>
    <w:unhideWhenUsed/>
    <w:rsid w:val="00CA34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44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A344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44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A344B"/>
    <w:rPr>
      <w:b/>
      <w:bCs/>
      <w:lang w:eastAsia="ar-SA"/>
    </w:rPr>
  </w:style>
  <w:style w:type="character" w:customStyle="1" w:styleId="leftside">
    <w:name w:val="left_side"/>
    <w:basedOn w:val="Absatz-Standardschriftart"/>
    <w:rsid w:val="00233842"/>
  </w:style>
  <w:style w:type="paragraph" w:styleId="Listenabsatz">
    <w:name w:val="List Paragraph"/>
    <w:basedOn w:val="Standard"/>
    <w:uiPriority w:val="34"/>
    <w:qFormat/>
    <w:rsid w:val="00A328F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10F6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992C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berschrift1">
    <w:name w:val="heading 1"/>
    <w:basedOn w:val="Standard"/>
    <w:link w:val="berschrift1Zchn"/>
    <w:uiPriority w:val="9"/>
    <w:qFormat/>
    <w:rsid w:val="00D210F6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Hyperlink1">
    <w:name w:val="Hyperlink1"/>
    <w:rPr>
      <w:color w:val="0000FF"/>
      <w:u w:val="single"/>
    </w:rPr>
  </w:style>
  <w:style w:type="character" w:customStyle="1" w:styleId="Kommentarzeichen1">
    <w:name w:val="Kommentarzeichen1"/>
    <w:rPr>
      <w:sz w:val="16"/>
    </w:rPr>
  </w:style>
  <w:style w:type="character" w:customStyle="1" w:styleId="Fett1">
    <w:name w:val="Fett1"/>
    <w:rPr>
      <w:b/>
      <w:bCs/>
    </w:rPr>
  </w:style>
  <w:style w:type="character" w:styleId="HTMLAkronym">
    <w:name w:val="HTML Acronym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Andale Sans UI"/>
      <w:sz w:val="26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Andale Sans UI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Andale Sans UI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Andale Sans UI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Andale Sans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character" w:styleId="Kommentarzeichen">
    <w:name w:val="annotation reference"/>
    <w:uiPriority w:val="99"/>
    <w:semiHidden/>
    <w:unhideWhenUsed/>
    <w:rsid w:val="00CA34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44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A344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44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A344B"/>
    <w:rPr>
      <w:b/>
      <w:bCs/>
      <w:lang w:eastAsia="ar-SA"/>
    </w:rPr>
  </w:style>
  <w:style w:type="character" w:customStyle="1" w:styleId="leftside">
    <w:name w:val="left_side"/>
    <w:basedOn w:val="Absatz-Standardschriftart"/>
    <w:rsid w:val="00233842"/>
  </w:style>
  <w:style w:type="paragraph" w:styleId="Listenabsatz">
    <w:name w:val="List Paragraph"/>
    <w:basedOn w:val="Standard"/>
    <w:uiPriority w:val="34"/>
    <w:qFormat/>
    <w:rsid w:val="00A328F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10F6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992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pb.de/70596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p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5045-6028-41DC-9BA1-59CAA4B8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Fakten</vt:lpstr>
    </vt:vector>
  </TitlesOfParts>
  <Company>BPB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Fakten</dc:title>
  <dc:creator>Fossi</dc:creator>
  <cp:lastModifiedBy>Christian Hartmann</cp:lastModifiedBy>
  <cp:revision>4</cp:revision>
  <cp:lastPrinted>2112-12-31T22:00:00Z</cp:lastPrinted>
  <dcterms:created xsi:type="dcterms:W3CDTF">2019-01-25T10:06:00Z</dcterms:created>
  <dcterms:modified xsi:type="dcterms:W3CDTF">2019-02-15T15:50:00Z</dcterms:modified>
</cp:coreProperties>
</file>