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5244D" w14:textId="123BF6A8" w:rsidR="008F1E2B" w:rsidRPr="008F1E2B" w:rsidRDefault="008F1E2B" w:rsidP="008F1E2B">
      <w:pPr>
        <w:rPr>
          <w:rFonts w:ascii="Arial" w:hAnsi="Arial" w:cs="Arial"/>
          <w:b/>
          <w:color w:val="363636"/>
          <w:shd w:val="clear" w:color="auto" w:fill="FFFFFF"/>
        </w:rPr>
      </w:pPr>
      <w:bookmarkStart w:id="0" w:name="_GoBack"/>
      <w:bookmarkEnd w:id="0"/>
      <w:r w:rsidRPr="008F1E2B">
        <w:rPr>
          <w:rFonts w:ascii="Arial" w:hAnsi="Arial" w:cs="Arial"/>
          <w:b/>
          <w:color w:val="363636"/>
          <w:shd w:val="clear" w:color="auto" w:fill="FFFFFF"/>
        </w:rPr>
        <w:t>In der Europäischen Union (EU) gilt, dass Frauen mit Kindern seltener erwerbstätig sind als Frauen ohne Kinder. Zudem verringert sich die Erwerbsbeteiligung mit steigender Kinderzahl</w:t>
      </w:r>
      <w:r w:rsidR="001C3B0D">
        <w:rPr>
          <w:rFonts w:ascii="Arial" w:hAnsi="Arial" w:cs="Arial"/>
          <w:b/>
          <w:color w:val="363636"/>
          <w:shd w:val="clear" w:color="auto" w:fill="FFFFFF"/>
        </w:rPr>
        <w:t>.</w:t>
      </w:r>
      <w:r w:rsidRPr="008F1E2B">
        <w:rPr>
          <w:rFonts w:ascii="Arial" w:hAnsi="Arial" w:cs="Arial"/>
          <w:b/>
          <w:color w:val="363636"/>
          <w:shd w:val="clear" w:color="auto" w:fill="FFFFFF"/>
        </w:rPr>
        <w:t xml:space="preserve"> Im Jahr 2017 lag die Erwerbstätigenquote der 25- bis 54-jährigen Frauen ohne Kinder bei 77,5 Prozent. Bei Frauen mit drei oder mehr Kindern </w:t>
      </w:r>
      <w:r>
        <w:rPr>
          <w:rFonts w:ascii="Arial" w:hAnsi="Arial" w:cs="Arial"/>
          <w:b/>
          <w:color w:val="363636"/>
          <w:shd w:val="clear" w:color="auto" w:fill="FFFFFF"/>
        </w:rPr>
        <w:t xml:space="preserve">lag sie bei </w:t>
      </w:r>
      <w:r w:rsidRPr="008F1E2B">
        <w:rPr>
          <w:rFonts w:ascii="Arial" w:hAnsi="Arial" w:cs="Arial"/>
          <w:b/>
          <w:color w:val="363636"/>
          <w:shd w:val="clear" w:color="auto" w:fill="FFFFFF"/>
        </w:rPr>
        <w:t>57,3 Prozent.</w:t>
      </w:r>
      <w:r>
        <w:rPr>
          <w:rFonts w:ascii="Arial" w:hAnsi="Arial" w:cs="Arial"/>
          <w:b/>
          <w:color w:val="363636"/>
          <w:shd w:val="clear" w:color="auto" w:fill="FFFFFF"/>
        </w:rPr>
        <w:t xml:space="preserve"> F</w:t>
      </w:r>
      <w:r w:rsidRPr="008F1E2B">
        <w:rPr>
          <w:rFonts w:ascii="Arial" w:hAnsi="Arial" w:cs="Arial"/>
          <w:b/>
          <w:color w:val="363636"/>
          <w:shd w:val="clear" w:color="auto" w:fill="FFFFFF"/>
        </w:rPr>
        <w:t xml:space="preserve">ür die Männer gilt fast das Gegenteil: Im Jahr 2017 lag die Erwerbstätigenquote der Männer ohne Kinder </w:t>
      </w:r>
      <w:r w:rsidR="000E4F4A">
        <w:rPr>
          <w:rFonts w:ascii="Arial" w:hAnsi="Arial" w:cs="Arial"/>
          <w:b/>
          <w:color w:val="363636"/>
          <w:shd w:val="clear" w:color="auto" w:fill="FFFFFF"/>
        </w:rPr>
        <w:t xml:space="preserve">EU-weit </w:t>
      </w:r>
      <w:r w:rsidRPr="008F1E2B">
        <w:rPr>
          <w:rFonts w:ascii="Arial" w:hAnsi="Arial" w:cs="Arial"/>
          <w:b/>
          <w:color w:val="363636"/>
          <w:shd w:val="clear" w:color="auto" w:fill="FFFFFF"/>
        </w:rPr>
        <w:t xml:space="preserve">bei 81,1 Prozent. </w:t>
      </w:r>
      <w:r>
        <w:rPr>
          <w:rFonts w:ascii="Arial" w:hAnsi="Arial" w:cs="Arial"/>
          <w:b/>
          <w:color w:val="363636"/>
          <w:shd w:val="clear" w:color="auto" w:fill="FFFFFF"/>
        </w:rPr>
        <w:t>Bei einem Kind lag d</w:t>
      </w:r>
      <w:r w:rsidRPr="008F1E2B">
        <w:rPr>
          <w:rFonts w:ascii="Arial" w:hAnsi="Arial" w:cs="Arial"/>
          <w:b/>
          <w:color w:val="363636"/>
          <w:shd w:val="clear" w:color="auto" w:fill="FFFFFF"/>
        </w:rPr>
        <w:t xml:space="preserve">ie Quote </w:t>
      </w:r>
      <w:r>
        <w:rPr>
          <w:rFonts w:ascii="Arial" w:hAnsi="Arial" w:cs="Arial"/>
          <w:b/>
          <w:color w:val="363636"/>
          <w:shd w:val="clear" w:color="auto" w:fill="FFFFFF"/>
        </w:rPr>
        <w:t xml:space="preserve">bei </w:t>
      </w:r>
      <w:r w:rsidRPr="008F1E2B">
        <w:rPr>
          <w:rFonts w:ascii="Arial" w:hAnsi="Arial" w:cs="Arial"/>
          <w:b/>
          <w:color w:val="363636"/>
          <w:shd w:val="clear" w:color="auto" w:fill="FFFFFF"/>
        </w:rPr>
        <w:t>89,2 Prozent</w:t>
      </w:r>
      <w:r>
        <w:rPr>
          <w:rFonts w:ascii="Arial" w:hAnsi="Arial" w:cs="Arial"/>
          <w:b/>
          <w:color w:val="363636"/>
          <w:shd w:val="clear" w:color="auto" w:fill="FFFFFF"/>
        </w:rPr>
        <w:t xml:space="preserve">, bei zwei Kindern bei </w:t>
      </w:r>
      <w:r w:rsidRPr="008F1E2B">
        <w:rPr>
          <w:rFonts w:ascii="Arial" w:hAnsi="Arial" w:cs="Arial"/>
          <w:b/>
          <w:color w:val="363636"/>
          <w:shd w:val="clear" w:color="auto" w:fill="FFFFFF"/>
        </w:rPr>
        <w:t>91,8 Prozent</w:t>
      </w:r>
      <w:r>
        <w:rPr>
          <w:rFonts w:ascii="Arial" w:hAnsi="Arial" w:cs="Arial"/>
          <w:b/>
          <w:color w:val="363636"/>
          <w:shd w:val="clear" w:color="auto" w:fill="FFFFFF"/>
        </w:rPr>
        <w:t xml:space="preserve">. Erst bei drei oder mehr Kindern reduzierte sich die </w:t>
      </w:r>
      <w:r w:rsidRPr="008F1E2B">
        <w:rPr>
          <w:rFonts w:ascii="Arial" w:hAnsi="Arial" w:cs="Arial"/>
          <w:b/>
          <w:color w:val="363636"/>
          <w:shd w:val="clear" w:color="auto" w:fill="FFFFFF"/>
        </w:rPr>
        <w:t>Erwerbstätigenquote</w:t>
      </w:r>
      <w:r>
        <w:rPr>
          <w:rFonts w:ascii="Arial" w:hAnsi="Arial" w:cs="Arial"/>
          <w:b/>
          <w:color w:val="363636"/>
          <w:shd w:val="clear" w:color="auto" w:fill="FFFFFF"/>
        </w:rPr>
        <w:t xml:space="preserve"> </w:t>
      </w:r>
      <w:r w:rsidR="000E4F4A">
        <w:rPr>
          <w:rFonts w:ascii="Arial" w:hAnsi="Arial" w:cs="Arial"/>
          <w:b/>
          <w:color w:val="363636"/>
          <w:shd w:val="clear" w:color="auto" w:fill="FFFFFF"/>
        </w:rPr>
        <w:t xml:space="preserve">der Männer </w:t>
      </w:r>
      <w:r>
        <w:rPr>
          <w:rFonts w:ascii="Arial" w:hAnsi="Arial" w:cs="Arial"/>
          <w:b/>
          <w:color w:val="363636"/>
          <w:shd w:val="clear" w:color="auto" w:fill="FFFFFF"/>
        </w:rPr>
        <w:t xml:space="preserve">auf </w:t>
      </w:r>
      <w:r w:rsidRPr="008F1E2B">
        <w:rPr>
          <w:rFonts w:ascii="Arial" w:hAnsi="Arial" w:cs="Arial"/>
          <w:b/>
          <w:color w:val="363636"/>
          <w:shd w:val="clear" w:color="auto" w:fill="FFFFFF"/>
        </w:rPr>
        <w:t xml:space="preserve">86,9 Prozent. Dieses Muster lässt sich </w:t>
      </w:r>
      <w:r w:rsidR="003C2E8D">
        <w:rPr>
          <w:rFonts w:ascii="Arial" w:hAnsi="Arial" w:cs="Arial"/>
          <w:b/>
          <w:color w:val="363636"/>
          <w:shd w:val="clear" w:color="auto" w:fill="FFFFFF"/>
        </w:rPr>
        <w:t>grob</w:t>
      </w:r>
      <w:r w:rsidR="001C3B0D">
        <w:rPr>
          <w:rFonts w:ascii="Arial" w:hAnsi="Arial" w:cs="Arial"/>
          <w:b/>
          <w:color w:val="363636"/>
          <w:shd w:val="clear" w:color="auto" w:fill="FFFFFF"/>
        </w:rPr>
        <w:t xml:space="preserve"> und</w:t>
      </w:r>
      <w:r w:rsidR="003C2E8D">
        <w:rPr>
          <w:rFonts w:ascii="Arial" w:hAnsi="Arial" w:cs="Arial"/>
          <w:b/>
          <w:color w:val="363636"/>
          <w:shd w:val="clear" w:color="auto" w:fill="FFFFFF"/>
        </w:rPr>
        <w:t xml:space="preserve"> </w:t>
      </w:r>
      <w:r w:rsidRPr="008F1E2B">
        <w:rPr>
          <w:rFonts w:ascii="Arial" w:hAnsi="Arial" w:cs="Arial"/>
          <w:b/>
          <w:color w:val="363636"/>
          <w:shd w:val="clear" w:color="auto" w:fill="FFFFFF"/>
        </w:rPr>
        <w:t xml:space="preserve">mit wenigen Ausnahmen in allen </w:t>
      </w:r>
      <w:r w:rsidR="001C3B0D">
        <w:rPr>
          <w:rFonts w:ascii="Arial" w:hAnsi="Arial" w:cs="Arial"/>
          <w:b/>
          <w:color w:val="363636"/>
          <w:shd w:val="clear" w:color="auto" w:fill="FFFFFF"/>
        </w:rPr>
        <w:t xml:space="preserve">31 </w:t>
      </w:r>
      <w:r w:rsidRPr="008F1E2B">
        <w:rPr>
          <w:rFonts w:ascii="Arial" w:hAnsi="Arial" w:cs="Arial"/>
          <w:b/>
          <w:color w:val="363636"/>
          <w:shd w:val="clear" w:color="auto" w:fill="FFFFFF"/>
        </w:rPr>
        <w:t xml:space="preserve">hier betrachteten Staaten finden. </w:t>
      </w:r>
      <w:r w:rsidRPr="008F1E2B">
        <w:rPr>
          <w:rFonts w:ascii="Arial" w:hAnsi="Arial" w:cs="Arial"/>
          <w:b/>
          <w:color w:val="363636"/>
          <w:shd w:val="clear" w:color="auto" w:fill="FFFFFF"/>
        </w:rPr>
        <w:br/>
      </w:r>
    </w:p>
    <w:p w14:paraId="2E19F284" w14:textId="34798340" w:rsidR="00192110" w:rsidRPr="005D5A41" w:rsidRDefault="005E1DB7">
      <w:r w:rsidRPr="005D5A41">
        <w:rPr>
          <w:rStyle w:val="Absatz-Standardschriftart1"/>
          <w:rFonts w:ascii="Arial" w:hAnsi="Arial"/>
          <w:color w:val="FF0000"/>
        </w:rPr>
        <w:t>Fakten</w:t>
      </w:r>
    </w:p>
    <w:p w14:paraId="34AD0B29" w14:textId="77777777" w:rsidR="00192110" w:rsidRPr="005D5A41" w:rsidRDefault="00192110" w:rsidP="000276F6">
      <w:pPr>
        <w:rPr>
          <w:rFonts w:ascii="Arial" w:hAnsi="Arial" w:cs="Arial"/>
          <w:color w:val="363636"/>
          <w:shd w:val="clear" w:color="auto" w:fill="FFFFFF"/>
        </w:rPr>
      </w:pPr>
    </w:p>
    <w:p w14:paraId="5C3452DC" w14:textId="476FAF79" w:rsidR="00CB40B0" w:rsidRPr="005D5A41" w:rsidRDefault="00CF438D" w:rsidP="007A44C5">
      <w:pPr>
        <w:rPr>
          <w:rFonts w:ascii="Arial" w:hAnsi="Arial" w:cs="Arial"/>
          <w:color w:val="363636"/>
          <w:shd w:val="clear" w:color="auto" w:fill="FFFFFF"/>
        </w:rPr>
      </w:pPr>
      <w:r w:rsidRPr="005D5A41">
        <w:rPr>
          <w:rFonts w:ascii="Arial" w:hAnsi="Arial" w:cs="Arial"/>
          <w:color w:val="363636"/>
          <w:shd w:val="clear" w:color="auto" w:fill="FFFFFF"/>
        </w:rPr>
        <w:t xml:space="preserve">In der Europäischen Union (EU) gilt, dass </w:t>
      </w:r>
      <w:r w:rsidR="007A44C5" w:rsidRPr="005D5A41">
        <w:rPr>
          <w:rFonts w:ascii="Arial" w:hAnsi="Arial" w:cs="Arial"/>
          <w:color w:val="363636"/>
          <w:shd w:val="clear" w:color="auto" w:fill="FFFFFF"/>
        </w:rPr>
        <w:t xml:space="preserve">Frauen mit Kindern seltener erwerbstätig sind als Frauen ohne Kinder. Zudem verringert sich die Erwerbsbeteiligung mit </w:t>
      </w:r>
      <w:r w:rsidRPr="005D5A41">
        <w:rPr>
          <w:rFonts w:ascii="Arial" w:hAnsi="Arial" w:cs="Arial"/>
          <w:color w:val="363636"/>
          <w:shd w:val="clear" w:color="auto" w:fill="FFFFFF"/>
        </w:rPr>
        <w:t>steigender Kinderzahl</w:t>
      </w:r>
      <w:r w:rsidR="007A44C5" w:rsidRPr="005D5A41">
        <w:rPr>
          <w:rFonts w:ascii="Arial" w:hAnsi="Arial" w:cs="Arial"/>
          <w:color w:val="363636"/>
          <w:shd w:val="clear" w:color="auto" w:fill="FFFFFF"/>
        </w:rPr>
        <w:t xml:space="preserve">: </w:t>
      </w:r>
      <w:r w:rsidRPr="005D5A41">
        <w:rPr>
          <w:rFonts w:ascii="Arial" w:hAnsi="Arial" w:cs="Arial"/>
          <w:color w:val="363636"/>
          <w:shd w:val="clear" w:color="auto" w:fill="FFFFFF"/>
        </w:rPr>
        <w:t>Im Jahr 20</w:t>
      </w:r>
      <w:r w:rsidR="00CB40B0" w:rsidRPr="005D5A41">
        <w:rPr>
          <w:rFonts w:ascii="Arial" w:hAnsi="Arial" w:cs="Arial"/>
          <w:color w:val="363636"/>
          <w:shd w:val="clear" w:color="auto" w:fill="FFFFFF"/>
        </w:rPr>
        <w:t>17</w:t>
      </w:r>
      <w:r w:rsidRPr="005D5A41">
        <w:rPr>
          <w:rFonts w:ascii="Arial" w:hAnsi="Arial" w:cs="Arial"/>
          <w:color w:val="363636"/>
          <w:shd w:val="clear" w:color="auto" w:fill="FFFFFF"/>
        </w:rPr>
        <w:t xml:space="preserve"> lag die Erwerbstätigenquote der 25- bis 54-jährigen Frauen ohne Kinder bei </w:t>
      </w:r>
      <w:r w:rsidR="00CB40B0" w:rsidRPr="005D5A41">
        <w:rPr>
          <w:rFonts w:ascii="Arial" w:hAnsi="Arial" w:cs="Arial"/>
          <w:color w:val="363636"/>
          <w:shd w:val="clear" w:color="auto" w:fill="FFFFFF"/>
        </w:rPr>
        <w:t>77,5</w:t>
      </w:r>
      <w:r w:rsidRPr="005D5A41">
        <w:rPr>
          <w:rFonts w:ascii="Arial" w:hAnsi="Arial" w:cs="Arial"/>
          <w:color w:val="363636"/>
          <w:shd w:val="clear" w:color="auto" w:fill="FFFFFF"/>
        </w:rPr>
        <w:t xml:space="preserve"> Prozent. </w:t>
      </w:r>
      <w:r w:rsidR="007A44C5" w:rsidRPr="005D5A41">
        <w:rPr>
          <w:rFonts w:ascii="Arial" w:hAnsi="Arial" w:cs="Arial"/>
          <w:color w:val="363636"/>
          <w:shd w:val="clear" w:color="auto" w:fill="FFFFFF"/>
        </w:rPr>
        <w:t xml:space="preserve">Bei Frauen mit einem Kind </w:t>
      </w:r>
      <w:r w:rsidRPr="005D5A41">
        <w:rPr>
          <w:rFonts w:ascii="Arial" w:hAnsi="Arial" w:cs="Arial"/>
          <w:color w:val="363636"/>
          <w:shd w:val="clear" w:color="auto" w:fill="FFFFFF"/>
        </w:rPr>
        <w:t xml:space="preserve">sinkt die </w:t>
      </w:r>
      <w:r w:rsidR="007A44C5" w:rsidRPr="005D5A41">
        <w:rPr>
          <w:rFonts w:ascii="Arial" w:hAnsi="Arial" w:cs="Arial"/>
          <w:color w:val="363636"/>
          <w:shd w:val="clear" w:color="auto" w:fill="FFFFFF"/>
        </w:rPr>
        <w:t xml:space="preserve">Erwerbstätigenquote </w:t>
      </w:r>
      <w:r w:rsidR="00CB40B0" w:rsidRPr="005D5A41">
        <w:rPr>
          <w:rFonts w:ascii="Arial" w:hAnsi="Arial" w:cs="Arial"/>
          <w:color w:val="363636"/>
          <w:shd w:val="clear" w:color="auto" w:fill="FFFFFF"/>
        </w:rPr>
        <w:t xml:space="preserve">auf </w:t>
      </w:r>
      <w:r w:rsidRPr="005D5A41">
        <w:rPr>
          <w:rFonts w:ascii="Arial" w:hAnsi="Arial" w:cs="Arial"/>
          <w:color w:val="363636"/>
          <w:shd w:val="clear" w:color="auto" w:fill="FFFFFF"/>
        </w:rPr>
        <w:t>7</w:t>
      </w:r>
      <w:r w:rsidR="00CB40B0" w:rsidRPr="005D5A41">
        <w:rPr>
          <w:rFonts w:ascii="Arial" w:hAnsi="Arial" w:cs="Arial"/>
          <w:color w:val="363636"/>
          <w:shd w:val="clear" w:color="auto" w:fill="FFFFFF"/>
        </w:rPr>
        <w:t>3</w:t>
      </w:r>
      <w:r w:rsidRPr="005D5A41">
        <w:rPr>
          <w:rFonts w:ascii="Arial" w:hAnsi="Arial" w:cs="Arial"/>
          <w:color w:val="363636"/>
          <w:shd w:val="clear" w:color="auto" w:fill="FFFFFF"/>
        </w:rPr>
        <w:t>,</w:t>
      </w:r>
      <w:r w:rsidR="00CB40B0" w:rsidRPr="005D5A41">
        <w:rPr>
          <w:rFonts w:ascii="Arial" w:hAnsi="Arial" w:cs="Arial"/>
          <w:color w:val="363636"/>
          <w:shd w:val="clear" w:color="auto" w:fill="FFFFFF"/>
        </w:rPr>
        <w:t>8</w:t>
      </w:r>
      <w:r w:rsidRPr="005D5A41">
        <w:rPr>
          <w:rFonts w:ascii="Arial" w:hAnsi="Arial" w:cs="Arial"/>
          <w:color w:val="363636"/>
          <w:shd w:val="clear" w:color="auto" w:fill="FFFFFF"/>
        </w:rPr>
        <w:t xml:space="preserve"> Prozent</w:t>
      </w:r>
      <w:r w:rsidR="007A44C5" w:rsidRPr="005D5A41">
        <w:rPr>
          <w:rFonts w:ascii="Arial" w:hAnsi="Arial" w:cs="Arial"/>
          <w:color w:val="363636"/>
          <w:shd w:val="clear" w:color="auto" w:fill="FFFFFF"/>
        </w:rPr>
        <w:t xml:space="preserve">, </w:t>
      </w:r>
      <w:r w:rsidR="00CB40B0" w:rsidRPr="005D5A41">
        <w:rPr>
          <w:rFonts w:ascii="Arial" w:hAnsi="Arial" w:cs="Arial"/>
          <w:color w:val="363636"/>
          <w:shd w:val="clear" w:color="auto" w:fill="FFFFFF"/>
        </w:rPr>
        <w:t xml:space="preserve">bei </w:t>
      </w:r>
      <w:r w:rsidR="007A44C5" w:rsidRPr="005D5A41">
        <w:rPr>
          <w:rFonts w:ascii="Arial" w:hAnsi="Arial" w:cs="Arial"/>
          <w:color w:val="363636"/>
          <w:shd w:val="clear" w:color="auto" w:fill="FFFFFF"/>
        </w:rPr>
        <w:t xml:space="preserve">zwei Kindern auf </w:t>
      </w:r>
      <w:r w:rsidR="00CB40B0" w:rsidRPr="005D5A41">
        <w:rPr>
          <w:rFonts w:ascii="Arial" w:hAnsi="Arial" w:cs="Arial"/>
          <w:color w:val="363636"/>
          <w:shd w:val="clear" w:color="auto" w:fill="FFFFFF"/>
        </w:rPr>
        <w:t>72</w:t>
      </w:r>
      <w:r w:rsidRPr="005D5A41">
        <w:rPr>
          <w:rFonts w:ascii="Arial" w:hAnsi="Arial" w:cs="Arial"/>
          <w:color w:val="363636"/>
          <w:shd w:val="clear" w:color="auto" w:fill="FFFFFF"/>
        </w:rPr>
        <w:t>,</w:t>
      </w:r>
      <w:r w:rsidR="00CB40B0" w:rsidRPr="005D5A41">
        <w:rPr>
          <w:rFonts w:ascii="Arial" w:hAnsi="Arial" w:cs="Arial"/>
          <w:color w:val="363636"/>
          <w:shd w:val="clear" w:color="auto" w:fill="FFFFFF"/>
        </w:rPr>
        <w:t>9</w:t>
      </w:r>
      <w:r w:rsidRPr="005D5A41">
        <w:rPr>
          <w:rFonts w:ascii="Arial" w:hAnsi="Arial" w:cs="Arial"/>
          <w:color w:val="363636"/>
          <w:shd w:val="clear" w:color="auto" w:fill="FFFFFF"/>
        </w:rPr>
        <w:t xml:space="preserve"> Prozent</w:t>
      </w:r>
      <w:r w:rsidR="00CB40B0" w:rsidRPr="005D5A41">
        <w:rPr>
          <w:rFonts w:ascii="Arial" w:hAnsi="Arial" w:cs="Arial"/>
          <w:color w:val="363636"/>
          <w:shd w:val="clear" w:color="auto" w:fill="FFFFFF"/>
        </w:rPr>
        <w:t xml:space="preserve">. </w:t>
      </w:r>
      <w:r w:rsidR="00AA4E4F" w:rsidRPr="005D5A41">
        <w:rPr>
          <w:rFonts w:ascii="Arial" w:hAnsi="Arial" w:cs="Arial"/>
          <w:color w:val="363636"/>
          <w:shd w:val="clear" w:color="auto" w:fill="FFFFFF"/>
        </w:rPr>
        <w:t xml:space="preserve">Schließlich </w:t>
      </w:r>
      <w:r w:rsidR="004D1793">
        <w:rPr>
          <w:rFonts w:ascii="Arial" w:hAnsi="Arial" w:cs="Arial"/>
          <w:color w:val="363636"/>
          <w:shd w:val="clear" w:color="auto" w:fill="FFFFFF"/>
        </w:rPr>
        <w:t xml:space="preserve">verringert sich </w:t>
      </w:r>
      <w:r w:rsidR="00AA4E4F" w:rsidRPr="005D5A41">
        <w:rPr>
          <w:rFonts w:ascii="Arial" w:hAnsi="Arial" w:cs="Arial"/>
          <w:color w:val="363636"/>
          <w:shd w:val="clear" w:color="auto" w:fill="FFFFFF"/>
        </w:rPr>
        <w:t>die Quote b</w:t>
      </w:r>
      <w:r w:rsidR="00CB40B0" w:rsidRPr="005D5A41">
        <w:rPr>
          <w:rFonts w:ascii="Arial" w:hAnsi="Arial" w:cs="Arial"/>
          <w:color w:val="363636"/>
          <w:shd w:val="clear" w:color="auto" w:fill="FFFFFF"/>
        </w:rPr>
        <w:t xml:space="preserve">ei </w:t>
      </w:r>
      <w:r w:rsidR="007A44C5" w:rsidRPr="005D5A41">
        <w:rPr>
          <w:rFonts w:ascii="Arial" w:hAnsi="Arial" w:cs="Arial"/>
          <w:color w:val="363636"/>
          <w:shd w:val="clear" w:color="auto" w:fill="FFFFFF"/>
        </w:rPr>
        <w:t xml:space="preserve">Frauen mit </w:t>
      </w:r>
      <w:r w:rsidR="00CB40B0" w:rsidRPr="005D5A41">
        <w:rPr>
          <w:rFonts w:ascii="Arial" w:hAnsi="Arial" w:cs="Arial"/>
          <w:color w:val="363636"/>
          <w:shd w:val="clear" w:color="auto" w:fill="FFFFFF"/>
        </w:rPr>
        <w:t xml:space="preserve">drei oder mehr </w:t>
      </w:r>
      <w:r w:rsidRPr="005D5A41">
        <w:rPr>
          <w:rFonts w:ascii="Arial" w:hAnsi="Arial" w:cs="Arial"/>
          <w:color w:val="363636"/>
          <w:shd w:val="clear" w:color="auto" w:fill="FFFFFF"/>
        </w:rPr>
        <w:t>Kinder</w:t>
      </w:r>
      <w:r w:rsidR="00CB40B0" w:rsidRPr="005D5A41">
        <w:rPr>
          <w:rFonts w:ascii="Arial" w:hAnsi="Arial" w:cs="Arial"/>
          <w:color w:val="363636"/>
          <w:shd w:val="clear" w:color="auto" w:fill="FFFFFF"/>
        </w:rPr>
        <w:t>n sogar au</w:t>
      </w:r>
      <w:r w:rsidRPr="005D5A41">
        <w:rPr>
          <w:rFonts w:ascii="Arial" w:hAnsi="Arial" w:cs="Arial"/>
          <w:color w:val="363636"/>
          <w:shd w:val="clear" w:color="auto" w:fill="FFFFFF"/>
        </w:rPr>
        <w:t xml:space="preserve">f </w:t>
      </w:r>
      <w:r w:rsidR="00CB40B0" w:rsidRPr="005D5A41">
        <w:rPr>
          <w:rFonts w:ascii="Arial" w:hAnsi="Arial" w:cs="Arial"/>
          <w:color w:val="363636"/>
          <w:shd w:val="clear" w:color="auto" w:fill="FFFFFF"/>
        </w:rPr>
        <w:t xml:space="preserve">57,3 </w:t>
      </w:r>
      <w:r w:rsidRPr="005D5A41">
        <w:rPr>
          <w:rFonts w:ascii="Arial" w:hAnsi="Arial" w:cs="Arial"/>
          <w:color w:val="363636"/>
          <w:shd w:val="clear" w:color="auto" w:fill="FFFFFF"/>
        </w:rPr>
        <w:t>Prozent</w:t>
      </w:r>
      <w:r w:rsidR="00CB40B0" w:rsidRPr="005D5A41">
        <w:rPr>
          <w:rFonts w:ascii="Arial" w:hAnsi="Arial" w:cs="Arial"/>
          <w:color w:val="363636"/>
          <w:shd w:val="clear" w:color="auto" w:fill="FFFFFF"/>
        </w:rPr>
        <w:t>.</w:t>
      </w:r>
    </w:p>
    <w:p w14:paraId="56182613" w14:textId="77777777" w:rsidR="00CB40B0" w:rsidRPr="005D5A41" w:rsidRDefault="00CB40B0" w:rsidP="000276F6">
      <w:pPr>
        <w:rPr>
          <w:rFonts w:ascii="Arial" w:hAnsi="Arial" w:cs="Arial"/>
          <w:color w:val="363636"/>
          <w:shd w:val="clear" w:color="auto" w:fill="FFFFFF"/>
        </w:rPr>
      </w:pPr>
    </w:p>
    <w:p w14:paraId="3AEB3B41" w14:textId="6EEB999C" w:rsidR="000553B1" w:rsidRPr="005D5A41" w:rsidRDefault="00CF438D" w:rsidP="008013CA">
      <w:pPr>
        <w:rPr>
          <w:rFonts w:ascii="Arial" w:hAnsi="Arial" w:cs="Arial"/>
          <w:color w:val="363636"/>
          <w:shd w:val="clear" w:color="auto" w:fill="FFFFFF"/>
        </w:rPr>
      </w:pPr>
      <w:r w:rsidRPr="005D5A41">
        <w:rPr>
          <w:rFonts w:ascii="Arial" w:hAnsi="Arial" w:cs="Arial"/>
          <w:color w:val="363636"/>
          <w:shd w:val="clear" w:color="auto" w:fill="FFFFFF"/>
        </w:rPr>
        <w:t xml:space="preserve">In </w:t>
      </w:r>
      <w:r w:rsidR="007A44C5" w:rsidRPr="005D5A41">
        <w:rPr>
          <w:rFonts w:ascii="Arial" w:hAnsi="Arial" w:cs="Arial"/>
          <w:color w:val="363636"/>
          <w:shd w:val="clear" w:color="auto" w:fill="FFFFFF"/>
        </w:rPr>
        <w:t>26 der 28</w:t>
      </w:r>
      <w:r w:rsidRPr="005D5A41">
        <w:rPr>
          <w:rFonts w:ascii="Arial" w:hAnsi="Arial" w:cs="Arial"/>
          <w:color w:val="363636"/>
          <w:shd w:val="clear" w:color="auto" w:fill="FFFFFF"/>
        </w:rPr>
        <w:t xml:space="preserve"> Mitgliedstaaten der EU sowie in </w:t>
      </w:r>
      <w:r w:rsidR="00DE3889">
        <w:rPr>
          <w:rFonts w:ascii="Arial" w:hAnsi="Arial" w:cs="Arial"/>
          <w:color w:val="363636"/>
          <w:shd w:val="clear" w:color="auto" w:fill="FFFFFF"/>
        </w:rPr>
        <w:t>Nordm</w:t>
      </w:r>
      <w:r w:rsidRPr="005D5A41">
        <w:rPr>
          <w:rFonts w:ascii="Arial" w:hAnsi="Arial" w:cs="Arial"/>
          <w:color w:val="363636"/>
          <w:shd w:val="clear" w:color="auto" w:fill="FFFFFF"/>
        </w:rPr>
        <w:t>azedonien</w:t>
      </w:r>
      <w:r w:rsidR="007A44C5" w:rsidRPr="005D5A41">
        <w:rPr>
          <w:rFonts w:ascii="Arial" w:hAnsi="Arial" w:cs="Arial"/>
          <w:color w:val="363636"/>
          <w:shd w:val="clear" w:color="auto" w:fill="FFFFFF"/>
        </w:rPr>
        <w:t>, Montenegro</w:t>
      </w:r>
      <w:r w:rsidRPr="005D5A41">
        <w:rPr>
          <w:rFonts w:ascii="Arial" w:hAnsi="Arial" w:cs="Arial"/>
          <w:color w:val="363636"/>
          <w:shd w:val="clear" w:color="auto" w:fill="FFFFFF"/>
        </w:rPr>
        <w:t xml:space="preserve"> und der Türkei war </w:t>
      </w:r>
      <w:r w:rsidR="008013CA" w:rsidRPr="005D5A41">
        <w:rPr>
          <w:rFonts w:ascii="Arial" w:hAnsi="Arial" w:cs="Arial"/>
          <w:color w:val="363636"/>
          <w:shd w:val="clear" w:color="auto" w:fill="FFFFFF"/>
        </w:rPr>
        <w:t xml:space="preserve">im Jahr 2017 </w:t>
      </w:r>
      <w:r w:rsidRPr="005D5A41">
        <w:rPr>
          <w:rFonts w:ascii="Arial" w:hAnsi="Arial" w:cs="Arial"/>
          <w:color w:val="363636"/>
          <w:shd w:val="clear" w:color="auto" w:fill="FFFFFF"/>
        </w:rPr>
        <w:t xml:space="preserve">die Erwerbstätigenquote der Frauen mit drei oder mehr Kindern niedriger als die </w:t>
      </w:r>
      <w:r w:rsidR="008013CA" w:rsidRPr="005D5A41">
        <w:rPr>
          <w:rFonts w:ascii="Arial" w:hAnsi="Arial" w:cs="Arial"/>
          <w:color w:val="363636"/>
          <w:shd w:val="clear" w:color="auto" w:fill="FFFFFF"/>
        </w:rPr>
        <w:t xml:space="preserve">Erwerbstätigenquote </w:t>
      </w:r>
      <w:r w:rsidRPr="005D5A41">
        <w:rPr>
          <w:rFonts w:ascii="Arial" w:hAnsi="Arial" w:cs="Arial"/>
          <w:color w:val="363636"/>
          <w:shd w:val="clear" w:color="auto" w:fill="FFFFFF"/>
        </w:rPr>
        <w:t>der Frauen mit zwei oder weniger Kindern</w:t>
      </w:r>
      <w:r w:rsidR="007A44C5" w:rsidRPr="005D5A41">
        <w:rPr>
          <w:rFonts w:ascii="Arial" w:hAnsi="Arial" w:cs="Arial"/>
          <w:color w:val="363636"/>
          <w:shd w:val="clear" w:color="auto" w:fill="FFFFFF"/>
        </w:rPr>
        <w:t xml:space="preserve"> und </w:t>
      </w:r>
      <w:r w:rsidR="00CF7EA1">
        <w:rPr>
          <w:rFonts w:ascii="Arial" w:hAnsi="Arial" w:cs="Arial"/>
          <w:color w:val="363636"/>
          <w:shd w:val="clear" w:color="auto" w:fill="FFFFFF"/>
        </w:rPr>
        <w:t xml:space="preserve">auch </w:t>
      </w:r>
      <w:r w:rsidR="00022B22" w:rsidRPr="005D5A41">
        <w:rPr>
          <w:rFonts w:ascii="Arial" w:hAnsi="Arial" w:cs="Arial"/>
          <w:color w:val="363636"/>
          <w:shd w:val="clear" w:color="auto" w:fill="FFFFFF"/>
        </w:rPr>
        <w:t xml:space="preserve">niedriger </w:t>
      </w:r>
      <w:r w:rsidR="007A44C5" w:rsidRPr="005D5A41">
        <w:rPr>
          <w:rFonts w:ascii="Arial" w:hAnsi="Arial" w:cs="Arial"/>
          <w:color w:val="363636"/>
          <w:shd w:val="clear" w:color="auto" w:fill="FFFFFF"/>
        </w:rPr>
        <w:t xml:space="preserve">als die </w:t>
      </w:r>
      <w:r w:rsidR="00AA4E4F" w:rsidRPr="005D5A41">
        <w:rPr>
          <w:rFonts w:ascii="Arial" w:hAnsi="Arial" w:cs="Arial"/>
          <w:color w:val="363636"/>
          <w:shd w:val="clear" w:color="auto" w:fill="FFFFFF"/>
        </w:rPr>
        <w:t xml:space="preserve">Quote </w:t>
      </w:r>
      <w:r w:rsidR="007A44C5" w:rsidRPr="005D5A41">
        <w:rPr>
          <w:rFonts w:ascii="Arial" w:hAnsi="Arial" w:cs="Arial"/>
          <w:color w:val="363636"/>
          <w:shd w:val="clear" w:color="auto" w:fill="FFFFFF"/>
        </w:rPr>
        <w:t xml:space="preserve">der Frauen </w:t>
      </w:r>
      <w:r w:rsidRPr="005D5A41">
        <w:rPr>
          <w:rFonts w:ascii="Arial" w:hAnsi="Arial" w:cs="Arial"/>
          <w:color w:val="363636"/>
          <w:shd w:val="clear" w:color="auto" w:fill="FFFFFF"/>
        </w:rPr>
        <w:t>ohne Kinder</w:t>
      </w:r>
      <w:r w:rsidR="007A44C5" w:rsidRPr="005D5A41">
        <w:rPr>
          <w:rFonts w:ascii="Arial" w:hAnsi="Arial" w:cs="Arial"/>
          <w:color w:val="363636"/>
          <w:shd w:val="clear" w:color="auto" w:fill="FFFFFF"/>
        </w:rPr>
        <w:t xml:space="preserve"> (Zypern und Dänemark wichen hiervon ab)</w:t>
      </w:r>
      <w:r w:rsidRPr="005D5A41">
        <w:rPr>
          <w:rFonts w:ascii="Arial" w:hAnsi="Arial" w:cs="Arial"/>
          <w:color w:val="363636"/>
          <w:shd w:val="clear" w:color="auto" w:fill="FFFFFF"/>
        </w:rPr>
        <w:t xml:space="preserve">. </w:t>
      </w:r>
      <w:r w:rsidR="008013CA" w:rsidRPr="005D5A41">
        <w:rPr>
          <w:rFonts w:ascii="Arial" w:hAnsi="Arial" w:cs="Arial"/>
          <w:color w:val="363636"/>
          <w:shd w:val="clear" w:color="auto" w:fill="FFFFFF"/>
        </w:rPr>
        <w:t xml:space="preserve">Allerdings war </w:t>
      </w:r>
      <w:r w:rsidR="00022B22" w:rsidRPr="005D5A41">
        <w:rPr>
          <w:rFonts w:ascii="Arial" w:hAnsi="Arial" w:cs="Arial"/>
          <w:color w:val="363636"/>
          <w:shd w:val="clear" w:color="auto" w:fill="FFFFFF"/>
        </w:rPr>
        <w:t xml:space="preserve">– abweichend vom EU-Durchschnitt – </w:t>
      </w:r>
      <w:r w:rsidR="008013CA" w:rsidRPr="005D5A41">
        <w:rPr>
          <w:rFonts w:ascii="Arial" w:hAnsi="Arial" w:cs="Arial"/>
          <w:color w:val="363636"/>
          <w:shd w:val="clear" w:color="auto" w:fill="FFFFFF"/>
        </w:rPr>
        <w:t xml:space="preserve">die Erwerbstätigenquote der Frauen mit zwei Kindern bei 17 der 31 hier betrachteten Staaten höher als die </w:t>
      </w:r>
      <w:r w:rsidR="00022B22">
        <w:rPr>
          <w:rFonts w:ascii="Arial" w:hAnsi="Arial" w:cs="Arial"/>
          <w:color w:val="363636"/>
          <w:shd w:val="clear" w:color="auto" w:fill="FFFFFF"/>
        </w:rPr>
        <w:t xml:space="preserve">jeweilige </w:t>
      </w:r>
      <w:r w:rsidR="008013CA" w:rsidRPr="005D5A41">
        <w:rPr>
          <w:rFonts w:ascii="Arial" w:hAnsi="Arial" w:cs="Arial"/>
          <w:color w:val="363636"/>
          <w:shd w:val="clear" w:color="auto" w:fill="FFFFFF"/>
        </w:rPr>
        <w:t>Quote der Frauen mit einem Kind.</w:t>
      </w:r>
      <w:r w:rsidR="005D5A41" w:rsidRPr="005D5A41">
        <w:rPr>
          <w:rFonts w:ascii="Arial" w:hAnsi="Arial" w:cs="Arial"/>
          <w:color w:val="363636"/>
          <w:shd w:val="clear" w:color="auto" w:fill="FFFFFF"/>
        </w:rPr>
        <w:t xml:space="preserve"> </w:t>
      </w:r>
      <w:r w:rsidR="000553B1" w:rsidRPr="005D5A41">
        <w:rPr>
          <w:rFonts w:ascii="Arial" w:hAnsi="Arial" w:cs="Arial"/>
          <w:color w:val="363636"/>
          <w:shd w:val="clear" w:color="auto" w:fill="FFFFFF"/>
        </w:rPr>
        <w:t>In Bezug auf Deutschland fällt auf, dass die Erwerbstätigenquote der Frauen mit drei oder mehr Kindern im Jahr 2017 sehr viel niedriger war als die Erwerbstätigenquote der Frauen ohne Kinder (53,8 gegenüber 85,2 Prozent). Nur in Bulgarien und Ungarn war der Abstand zwischen den beiden Quoten noch größer.</w:t>
      </w:r>
    </w:p>
    <w:p w14:paraId="661C765C" w14:textId="77777777" w:rsidR="000553B1" w:rsidRPr="005D5A41" w:rsidRDefault="000553B1" w:rsidP="008013CA">
      <w:pPr>
        <w:rPr>
          <w:rFonts w:ascii="Arial" w:hAnsi="Arial" w:cs="Arial"/>
          <w:color w:val="363636"/>
          <w:shd w:val="clear" w:color="auto" w:fill="FFFFFF"/>
        </w:rPr>
      </w:pPr>
    </w:p>
    <w:p w14:paraId="1229AABA" w14:textId="77777777" w:rsidR="002C0D29" w:rsidRPr="005D5A41" w:rsidRDefault="00CF438D" w:rsidP="000276F6">
      <w:pPr>
        <w:rPr>
          <w:rFonts w:ascii="Arial" w:hAnsi="Arial" w:cs="Arial"/>
          <w:color w:val="363636"/>
          <w:shd w:val="clear" w:color="auto" w:fill="FFFFFF"/>
        </w:rPr>
      </w:pPr>
      <w:r w:rsidRPr="005D5A41">
        <w:rPr>
          <w:rFonts w:ascii="Arial" w:hAnsi="Arial" w:cs="Arial"/>
          <w:color w:val="363636"/>
          <w:shd w:val="clear" w:color="auto" w:fill="FFFFFF"/>
        </w:rPr>
        <w:t xml:space="preserve">Während sich </w:t>
      </w:r>
      <w:r w:rsidR="004E51B7" w:rsidRPr="005D5A41">
        <w:rPr>
          <w:rFonts w:ascii="Arial" w:hAnsi="Arial" w:cs="Arial"/>
          <w:color w:val="363636"/>
          <w:shd w:val="clear" w:color="auto" w:fill="FFFFFF"/>
        </w:rPr>
        <w:t xml:space="preserve">EU-weit </w:t>
      </w:r>
      <w:r w:rsidRPr="005D5A41">
        <w:rPr>
          <w:rFonts w:ascii="Arial" w:hAnsi="Arial" w:cs="Arial"/>
          <w:color w:val="363636"/>
          <w:shd w:val="clear" w:color="auto" w:fill="FFFFFF"/>
        </w:rPr>
        <w:t>die Erwerbstätigenquote der Frauen mit steigender Kinderzahl verringert, gilt für die Männer fast das Gegenteil</w:t>
      </w:r>
      <w:r w:rsidR="004E51B7" w:rsidRPr="005D5A41">
        <w:rPr>
          <w:rFonts w:ascii="Arial" w:hAnsi="Arial" w:cs="Arial"/>
          <w:color w:val="363636"/>
          <w:shd w:val="clear" w:color="auto" w:fill="FFFFFF"/>
        </w:rPr>
        <w:t>:</w:t>
      </w:r>
      <w:r w:rsidRPr="005D5A41">
        <w:rPr>
          <w:rFonts w:ascii="Arial" w:hAnsi="Arial" w:cs="Arial"/>
          <w:color w:val="363636"/>
          <w:shd w:val="clear" w:color="auto" w:fill="FFFFFF"/>
        </w:rPr>
        <w:t xml:space="preserve"> Im Jahr 20</w:t>
      </w:r>
      <w:r w:rsidR="004E51B7" w:rsidRPr="005D5A41">
        <w:rPr>
          <w:rFonts w:ascii="Arial" w:hAnsi="Arial" w:cs="Arial"/>
          <w:color w:val="363636"/>
          <w:shd w:val="clear" w:color="auto" w:fill="FFFFFF"/>
        </w:rPr>
        <w:t>17</w:t>
      </w:r>
      <w:r w:rsidRPr="005D5A41">
        <w:rPr>
          <w:rFonts w:ascii="Arial" w:hAnsi="Arial" w:cs="Arial"/>
          <w:color w:val="363636"/>
          <w:shd w:val="clear" w:color="auto" w:fill="FFFFFF"/>
        </w:rPr>
        <w:t xml:space="preserve"> </w:t>
      </w:r>
      <w:r w:rsidR="004E51B7" w:rsidRPr="005D5A41">
        <w:rPr>
          <w:rFonts w:ascii="Arial" w:hAnsi="Arial" w:cs="Arial"/>
          <w:color w:val="363636"/>
          <w:shd w:val="clear" w:color="auto" w:fill="FFFFFF"/>
        </w:rPr>
        <w:t xml:space="preserve">lag </w:t>
      </w:r>
      <w:r w:rsidRPr="005D5A41">
        <w:rPr>
          <w:rFonts w:ascii="Arial" w:hAnsi="Arial" w:cs="Arial"/>
          <w:color w:val="363636"/>
          <w:shd w:val="clear" w:color="auto" w:fill="FFFFFF"/>
        </w:rPr>
        <w:t xml:space="preserve">die Erwerbstätigenquote der Männer </w:t>
      </w:r>
      <w:r w:rsidR="004E51B7" w:rsidRPr="005D5A41">
        <w:rPr>
          <w:rFonts w:ascii="Arial" w:hAnsi="Arial" w:cs="Arial"/>
          <w:color w:val="363636"/>
          <w:shd w:val="clear" w:color="auto" w:fill="FFFFFF"/>
        </w:rPr>
        <w:t xml:space="preserve">ohne Kinder bei 81,1 Prozent. Die Quote der Männer mit einem Kind </w:t>
      </w:r>
      <w:proofErr w:type="gramStart"/>
      <w:r w:rsidR="004E51B7" w:rsidRPr="005D5A41">
        <w:rPr>
          <w:rFonts w:ascii="Arial" w:hAnsi="Arial" w:cs="Arial"/>
          <w:color w:val="363636"/>
          <w:shd w:val="clear" w:color="auto" w:fill="FFFFFF"/>
        </w:rPr>
        <w:t>war</w:t>
      </w:r>
      <w:proofErr w:type="gramEnd"/>
      <w:r w:rsidR="004E51B7" w:rsidRPr="005D5A41">
        <w:rPr>
          <w:rFonts w:ascii="Arial" w:hAnsi="Arial" w:cs="Arial"/>
          <w:color w:val="363636"/>
          <w:shd w:val="clear" w:color="auto" w:fill="FFFFFF"/>
        </w:rPr>
        <w:t xml:space="preserve"> mit 89,2 Prozent 8,1 Prozentpunkte höher. </w:t>
      </w:r>
      <w:r w:rsidRPr="005D5A41">
        <w:rPr>
          <w:rFonts w:ascii="Arial" w:hAnsi="Arial" w:cs="Arial"/>
          <w:color w:val="363636"/>
          <w:shd w:val="clear" w:color="auto" w:fill="FFFFFF"/>
        </w:rPr>
        <w:t xml:space="preserve">Bei zwei Kindern steigt die </w:t>
      </w:r>
      <w:r w:rsidR="004E51B7" w:rsidRPr="005D5A41">
        <w:rPr>
          <w:rFonts w:ascii="Arial" w:hAnsi="Arial" w:cs="Arial"/>
          <w:color w:val="363636"/>
          <w:shd w:val="clear" w:color="auto" w:fill="FFFFFF"/>
        </w:rPr>
        <w:t xml:space="preserve">Erwerbstätigenquote sogar auf </w:t>
      </w:r>
      <w:r w:rsidRPr="005D5A41">
        <w:rPr>
          <w:rFonts w:ascii="Arial" w:hAnsi="Arial" w:cs="Arial"/>
          <w:color w:val="363636"/>
          <w:shd w:val="clear" w:color="auto" w:fill="FFFFFF"/>
        </w:rPr>
        <w:t>9</w:t>
      </w:r>
      <w:r w:rsidR="004E51B7" w:rsidRPr="005D5A41">
        <w:rPr>
          <w:rFonts w:ascii="Arial" w:hAnsi="Arial" w:cs="Arial"/>
          <w:color w:val="363636"/>
          <w:shd w:val="clear" w:color="auto" w:fill="FFFFFF"/>
        </w:rPr>
        <w:t>1</w:t>
      </w:r>
      <w:r w:rsidRPr="005D5A41">
        <w:rPr>
          <w:rFonts w:ascii="Arial" w:hAnsi="Arial" w:cs="Arial"/>
          <w:color w:val="363636"/>
          <w:shd w:val="clear" w:color="auto" w:fill="FFFFFF"/>
        </w:rPr>
        <w:t>,</w:t>
      </w:r>
      <w:r w:rsidR="004E51B7" w:rsidRPr="005D5A41">
        <w:rPr>
          <w:rFonts w:ascii="Arial" w:hAnsi="Arial" w:cs="Arial"/>
          <w:color w:val="363636"/>
          <w:shd w:val="clear" w:color="auto" w:fill="FFFFFF"/>
        </w:rPr>
        <w:t>8</w:t>
      </w:r>
      <w:r w:rsidRPr="005D5A41">
        <w:rPr>
          <w:rFonts w:ascii="Arial" w:hAnsi="Arial" w:cs="Arial"/>
          <w:color w:val="363636"/>
          <w:shd w:val="clear" w:color="auto" w:fill="FFFFFF"/>
        </w:rPr>
        <w:t xml:space="preserve"> Prozent. Erst bei den Männern mit drei oder mehr Kindern sinkt die Erwerbstätigenquote der Männer auf EU-Ebene auf 8</w:t>
      </w:r>
      <w:r w:rsidR="004E51B7" w:rsidRPr="005D5A41">
        <w:rPr>
          <w:rFonts w:ascii="Arial" w:hAnsi="Arial" w:cs="Arial"/>
          <w:color w:val="363636"/>
          <w:shd w:val="clear" w:color="auto" w:fill="FFFFFF"/>
        </w:rPr>
        <w:t>6</w:t>
      </w:r>
      <w:r w:rsidRPr="005D5A41">
        <w:rPr>
          <w:rFonts w:ascii="Arial" w:hAnsi="Arial" w:cs="Arial"/>
          <w:color w:val="363636"/>
          <w:shd w:val="clear" w:color="auto" w:fill="FFFFFF"/>
        </w:rPr>
        <w:t>,</w:t>
      </w:r>
      <w:r w:rsidR="004E51B7" w:rsidRPr="005D5A41">
        <w:rPr>
          <w:rFonts w:ascii="Arial" w:hAnsi="Arial" w:cs="Arial"/>
          <w:color w:val="363636"/>
          <w:shd w:val="clear" w:color="auto" w:fill="FFFFFF"/>
        </w:rPr>
        <w:t>9</w:t>
      </w:r>
      <w:r w:rsidRPr="005D5A41">
        <w:rPr>
          <w:rFonts w:ascii="Arial" w:hAnsi="Arial" w:cs="Arial"/>
          <w:color w:val="363636"/>
          <w:shd w:val="clear" w:color="auto" w:fill="FFFFFF"/>
        </w:rPr>
        <w:t xml:space="preserve"> Prozent – die Quote l</w:t>
      </w:r>
      <w:r w:rsidR="004E51B7" w:rsidRPr="005D5A41">
        <w:rPr>
          <w:rFonts w:ascii="Arial" w:hAnsi="Arial" w:cs="Arial"/>
          <w:color w:val="363636"/>
          <w:shd w:val="clear" w:color="auto" w:fill="FFFFFF"/>
        </w:rPr>
        <w:t>a</w:t>
      </w:r>
      <w:r w:rsidRPr="005D5A41">
        <w:rPr>
          <w:rFonts w:ascii="Arial" w:hAnsi="Arial" w:cs="Arial"/>
          <w:color w:val="363636"/>
          <w:shd w:val="clear" w:color="auto" w:fill="FFFFFF"/>
        </w:rPr>
        <w:t>g</w:t>
      </w:r>
      <w:r w:rsidR="004E51B7" w:rsidRPr="005D5A41">
        <w:rPr>
          <w:rFonts w:ascii="Arial" w:hAnsi="Arial" w:cs="Arial"/>
          <w:color w:val="363636"/>
          <w:shd w:val="clear" w:color="auto" w:fill="FFFFFF"/>
        </w:rPr>
        <w:t xml:space="preserve"> </w:t>
      </w:r>
      <w:r w:rsidRPr="005D5A41">
        <w:rPr>
          <w:rFonts w:ascii="Arial" w:hAnsi="Arial" w:cs="Arial"/>
          <w:color w:val="363636"/>
          <w:shd w:val="clear" w:color="auto" w:fill="FFFFFF"/>
        </w:rPr>
        <w:t>damit aber immer noch 5,</w:t>
      </w:r>
      <w:r w:rsidR="004E51B7" w:rsidRPr="005D5A41">
        <w:rPr>
          <w:rFonts w:ascii="Arial" w:hAnsi="Arial" w:cs="Arial"/>
          <w:color w:val="363636"/>
          <w:shd w:val="clear" w:color="auto" w:fill="FFFFFF"/>
        </w:rPr>
        <w:t>8</w:t>
      </w:r>
      <w:r w:rsidRPr="005D5A41">
        <w:rPr>
          <w:rFonts w:ascii="Arial" w:hAnsi="Arial" w:cs="Arial"/>
          <w:color w:val="363636"/>
          <w:shd w:val="clear" w:color="auto" w:fill="FFFFFF"/>
        </w:rPr>
        <w:t xml:space="preserve"> Prozentpunkte über der Quote der Männer ohne Kinder und </w:t>
      </w:r>
      <w:r w:rsidR="004E51B7" w:rsidRPr="005D5A41">
        <w:rPr>
          <w:rFonts w:ascii="Arial" w:hAnsi="Arial" w:cs="Arial"/>
          <w:color w:val="363636"/>
          <w:shd w:val="clear" w:color="auto" w:fill="FFFFFF"/>
        </w:rPr>
        <w:t>29</w:t>
      </w:r>
      <w:r w:rsidRPr="005D5A41">
        <w:rPr>
          <w:rFonts w:ascii="Arial" w:hAnsi="Arial" w:cs="Arial"/>
          <w:color w:val="363636"/>
          <w:shd w:val="clear" w:color="auto" w:fill="FFFFFF"/>
        </w:rPr>
        <w:t>,</w:t>
      </w:r>
      <w:r w:rsidR="004E51B7" w:rsidRPr="005D5A41">
        <w:rPr>
          <w:rFonts w:ascii="Arial" w:hAnsi="Arial" w:cs="Arial"/>
          <w:color w:val="363636"/>
          <w:shd w:val="clear" w:color="auto" w:fill="FFFFFF"/>
        </w:rPr>
        <w:t>6</w:t>
      </w:r>
      <w:r w:rsidRPr="005D5A41">
        <w:rPr>
          <w:rFonts w:ascii="Arial" w:hAnsi="Arial" w:cs="Arial"/>
          <w:color w:val="363636"/>
          <w:shd w:val="clear" w:color="auto" w:fill="FFFFFF"/>
        </w:rPr>
        <w:t xml:space="preserve"> Prozentpunkte über der Erwerbstätigenquote der Frauen mit drei oder mehr Kindern.</w:t>
      </w:r>
    </w:p>
    <w:p w14:paraId="1E37F187" w14:textId="77777777" w:rsidR="00E95A50" w:rsidRPr="005D5A41" w:rsidRDefault="00E95A50" w:rsidP="00E95A50">
      <w:pPr>
        <w:rPr>
          <w:rFonts w:ascii="Arial" w:hAnsi="Arial" w:cs="Arial"/>
          <w:color w:val="363636"/>
          <w:shd w:val="clear" w:color="auto" w:fill="FFFFFF"/>
        </w:rPr>
      </w:pPr>
    </w:p>
    <w:p w14:paraId="4F2DF633" w14:textId="5C6517E2" w:rsidR="002C0D29" w:rsidRPr="005D5A41" w:rsidRDefault="003C2E8D" w:rsidP="002C0D29">
      <w:pPr>
        <w:rPr>
          <w:rFonts w:ascii="Arial" w:hAnsi="Arial" w:cs="Arial"/>
          <w:color w:val="FF0000"/>
          <w:shd w:val="clear" w:color="auto" w:fill="FFFFFF"/>
        </w:rPr>
      </w:pPr>
      <w:r>
        <w:rPr>
          <w:rFonts w:ascii="Arial" w:hAnsi="Arial" w:cs="Arial"/>
          <w:color w:val="363636"/>
          <w:shd w:val="clear" w:color="auto" w:fill="FFFFFF"/>
        </w:rPr>
        <w:t>Grundsätzlich lässt sich d</w:t>
      </w:r>
      <w:r w:rsidR="00CF438D" w:rsidRPr="005D5A41">
        <w:rPr>
          <w:rFonts w:ascii="Arial" w:hAnsi="Arial" w:cs="Arial"/>
          <w:color w:val="363636"/>
          <w:shd w:val="clear" w:color="auto" w:fill="FFFFFF"/>
        </w:rPr>
        <w:t xml:space="preserve">ieses Muster </w:t>
      </w:r>
      <w:r w:rsidR="00E95A50" w:rsidRPr="005D5A41">
        <w:rPr>
          <w:rFonts w:ascii="Arial" w:hAnsi="Arial" w:cs="Arial"/>
          <w:color w:val="363636"/>
          <w:shd w:val="clear" w:color="auto" w:fill="FFFFFF"/>
        </w:rPr>
        <w:t xml:space="preserve">bei den Männern </w:t>
      </w:r>
      <w:r w:rsidR="00CF438D" w:rsidRPr="005D5A41">
        <w:rPr>
          <w:rFonts w:ascii="Arial" w:hAnsi="Arial" w:cs="Arial"/>
          <w:color w:val="363636"/>
          <w:shd w:val="clear" w:color="auto" w:fill="FFFFFF"/>
        </w:rPr>
        <w:t>für das Jahr 20</w:t>
      </w:r>
      <w:r w:rsidR="004E51B7" w:rsidRPr="005D5A41">
        <w:rPr>
          <w:rFonts w:ascii="Arial" w:hAnsi="Arial" w:cs="Arial"/>
          <w:color w:val="363636"/>
          <w:shd w:val="clear" w:color="auto" w:fill="FFFFFF"/>
        </w:rPr>
        <w:t>17</w:t>
      </w:r>
      <w:r w:rsidR="00CF438D" w:rsidRPr="005D5A41">
        <w:rPr>
          <w:rFonts w:ascii="Arial" w:hAnsi="Arial" w:cs="Arial"/>
          <w:color w:val="363636"/>
          <w:shd w:val="clear" w:color="auto" w:fill="FFFFFF"/>
        </w:rPr>
        <w:t xml:space="preserve"> mit wenigen Ausnahmen in allen hier betrachteten Staaten finden.</w:t>
      </w:r>
      <w:r w:rsidR="00E95A50" w:rsidRPr="005D5A41">
        <w:rPr>
          <w:rFonts w:ascii="Arial" w:hAnsi="Arial" w:cs="Arial"/>
          <w:color w:val="363636"/>
          <w:shd w:val="clear" w:color="auto" w:fill="FFFFFF"/>
        </w:rPr>
        <w:t xml:space="preserve"> Erwähnenswerte Abweichungen </w:t>
      </w:r>
      <w:r w:rsidR="00022B22">
        <w:rPr>
          <w:rFonts w:ascii="Arial" w:hAnsi="Arial" w:cs="Arial"/>
          <w:color w:val="363636"/>
          <w:shd w:val="clear" w:color="auto" w:fill="FFFFFF"/>
        </w:rPr>
        <w:t>gab es in</w:t>
      </w:r>
      <w:r w:rsidR="00E95A50" w:rsidRPr="005D5A41">
        <w:rPr>
          <w:rFonts w:ascii="Arial" w:hAnsi="Arial" w:cs="Arial"/>
          <w:color w:val="363636"/>
          <w:shd w:val="clear" w:color="auto" w:fill="FFFFFF"/>
        </w:rPr>
        <w:t xml:space="preserve"> Estland, Bulgarien und Rumänien</w:t>
      </w:r>
      <w:r w:rsidR="002549B1" w:rsidRPr="005D5A41">
        <w:rPr>
          <w:rFonts w:ascii="Arial" w:hAnsi="Arial" w:cs="Arial"/>
          <w:color w:val="363636"/>
          <w:shd w:val="clear" w:color="auto" w:fill="FFFFFF"/>
        </w:rPr>
        <w:t>:</w:t>
      </w:r>
      <w:r w:rsidR="00E95A50" w:rsidRPr="005D5A41">
        <w:rPr>
          <w:rFonts w:ascii="Arial" w:hAnsi="Arial" w:cs="Arial"/>
          <w:color w:val="363636"/>
          <w:shd w:val="clear" w:color="auto" w:fill="FFFFFF"/>
        </w:rPr>
        <w:t xml:space="preserve"> In </w:t>
      </w:r>
      <w:r w:rsidR="00CF438D" w:rsidRPr="005D5A41">
        <w:rPr>
          <w:rFonts w:ascii="Arial" w:hAnsi="Arial" w:cs="Arial"/>
          <w:color w:val="363636"/>
          <w:shd w:val="clear" w:color="auto" w:fill="FFFFFF"/>
        </w:rPr>
        <w:t xml:space="preserve">Estland </w:t>
      </w:r>
      <w:r w:rsidR="00E95A50" w:rsidRPr="005D5A41">
        <w:rPr>
          <w:rFonts w:ascii="Arial" w:hAnsi="Arial" w:cs="Arial"/>
          <w:color w:val="363636"/>
          <w:shd w:val="clear" w:color="auto" w:fill="FFFFFF"/>
        </w:rPr>
        <w:t xml:space="preserve">war </w:t>
      </w:r>
      <w:r w:rsidR="00CF438D" w:rsidRPr="005D5A41">
        <w:rPr>
          <w:rFonts w:ascii="Arial" w:hAnsi="Arial" w:cs="Arial"/>
          <w:color w:val="363636"/>
          <w:shd w:val="clear" w:color="auto" w:fill="FFFFFF"/>
        </w:rPr>
        <w:t>die Erwerbstätigenquote der Männer mit drei oder mehr Kindern leicht höher als die der Männer mit zwei Kindern</w:t>
      </w:r>
      <w:r w:rsidR="00E95A50" w:rsidRPr="005D5A41">
        <w:rPr>
          <w:rFonts w:ascii="Arial" w:hAnsi="Arial" w:cs="Arial"/>
          <w:color w:val="363636"/>
          <w:shd w:val="clear" w:color="auto" w:fill="FFFFFF"/>
        </w:rPr>
        <w:t xml:space="preserve">. </w:t>
      </w:r>
      <w:r w:rsidR="00022B22">
        <w:rPr>
          <w:rFonts w:ascii="Arial" w:hAnsi="Arial" w:cs="Arial"/>
          <w:color w:val="363636"/>
          <w:shd w:val="clear" w:color="auto" w:fill="FFFFFF"/>
        </w:rPr>
        <w:t>Und s</w:t>
      </w:r>
      <w:r w:rsidR="00E95A50" w:rsidRPr="005D5A41">
        <w:rPr>
          <w:rFonts w:ascii="Arial" w:hAnsi="Arial" w:cs="Arial"/>
          <w:color w:val="363636"/>
          <w:shd w:val="clear" w:color="auto" w:fill="FFFFFF"/>
        </w:rPr>
        <w:t xml:space="preserve">owohl in </w:t>
      </w:r>
      <w:r w:rsidR="00CF438D" w:rsidRPr="005D5A41">
        <w:rPr>
          <w:rFonts w:ascii="Arial" w:hAnsi="Arial" w:cs="Arial"/>
          <w:color w:val="363636"/>
          <w:shd w:val="clear" w:color="auto" w:fill="FFFFFF"/>
        </w:rPr>
        <w:t>Bulgarien</w:t>
      </w:r>
      <w:r w:rsidR="00E95A50" w:rsidRPr="005D5A41">
        <w:rPr>
          <w:rFonts w:ascii="Arial" w:hAnsi="Arial" w:cs="Arial"/>
          <w:color w:val="363636"/>
          <w:shd w:val="clear" w:color="auto" w:fill="FFFFFF"/>
        </w:rPr>
        <w:t xml:space="preserve"> als auch in </w:t>
      </w:r>
      <w:r w:rsidR="00CF438D" w:rsidRPr="005D5A41">
        <w:rPr>
          <w:rFonts w:ascii="Arial" w:hAnsi="Arial" w:cs="Arial"/>
          <w:color w:val="363636"/>
          <w:shd w:val="clear" w:color="auto" w:fill="FFFFFF"/>
        </w:rPr>
        <w:t>Rumänien</w:t>
      </w:r>
      <w:r w:rsidR="00E95A50" w:rsidRPr="005D5A41">
        <w:rPr>
          <w:rFonts w:ascii="Arial" w:hAnsi="Arial" w:cs="Arial"/>
          <w:color w:val="363636"/>
          <w:shd w:val="clear" w:color="auto" w:fill="FFFFFF"/>
        </w:rPr>
        <w:t xml:space="preserve"> lag die Erwerbstätigenquote der Männer mit drei oder mehr Kindern unter der Quote der Männer ohne Kinder (-18,7 bzw. -2,2 Prozentpunkte). Zudem war in Rumänien – </w:t>
      </w:r>
      <w:r w:rsidR="00E95A50" w:rsidRPr="005D5A41">
        <w:rPr>
          <w:rFonts w:ascii="Arial" w:hAnsi="Arial" w:cs="Arial"/>
          <w:color w:val="363636"/>
          <w:shd w:val="clear" w:color="auto" w:fill="FFFFFF"/>
        </w:rPr>
        <w:lastRenderedPageBreak/>
        <w:t xml:space="preserve">abweichend vom EU-Durchschnitt – </w:t>
      </w:r>
      <w:r w:rsidR="00CF438D" w:rsidRPr="005D5A41">
        <w:rPr>
          <w:rFonts w:ascii="Arial" w:hAnsi="Arial" w:cs="Arial"/>
          <w:color w:val="363636"/>
          <w:shd w:val="clear" w:color="auto" w:fill="FFFFFF"/>
        </w:rPr>
        <w:t xml:space="preserve">die Erwerbstätigenquote der Männer mit </w:t>
      </w:r>
      <w:r w:rsidR="00E95A50" w:rsidRPr="005D5A41">
        <w:rPr>
          <w:rFonts w:ascii="Arial" w:hAnsi="Arial" w:cs="Arial"/>
          <w:color w:val="363636"/>
          <w:shd w:val="clear" w:color="auto" w:fill="FFFFFF"/>
        </w:rPr>
        <w:t xml:space="preserve">zwei Kindern </w:t>
      </w:r>
      <w:r w:rsidR="00CF438D" w:rsidRPr="005D5A41">
        <w:rPr>
          <w:rFonts w:ascii="Arial" w:hAnsi="Arial" w:cs="Arial"/>
          <w:color w:val="363636"/>
          <w:shd w:val="clear" w:color="auto" w:fill="FFFFFF"/>
        </w:rPr>
        <w:t xml:space="preserve">niedriger als die der Männer </w:t>
      </w:r>
      <w:r w:rsidR="00E95A50" w:rsidRPr="005D5A41">
        <w:rPr>
          <w:rFonts w:ascii="Arial" w:hAnsi="Arial" w:cs="Arial"/>
          <w:color w:val="363636"/>
          <w:shd w:val="clear" w:color="auto" w:fill="FFFFFF"/>
        </w:rPr>
        <w:t>mit einem Kind</w:t>
      </w:r>
      <w:r w:rsidR="00CF438D" w:rsidRPr="005D5A41">
        <w:rPr>
          <w:rFonts w:ascii="Arial" w:hAnsi="Arial" w:cs="Arial"/>
          <w:color w:val="363636"/>
          <w:shd w:val="clear" w:color="auto" w:fill="FFFFFF"/>
        </w:rPr>
        <w:t>.</w:t>
      </w:r>
      <w:r w:rsidR="00CF438D" w:rsidRPr="005D5A41">
        <w:rPr>
          <w:rFonts w:ascii="Arial" w:hAnsi="Arial" w:cs="Arial"/>
          <w:color w:val="363636"/>
          <w:shd w:val="clear" w:color="auto" w:fill="FFFFFF"/>
        </w:rPr>
        <w:br/>
      </w:r>
      <w:r w:rsidR="00CF438D" w:rsidRPr="005D5A41">
        <w:rPr>
          <w:rFonts w:ascii="Arial" w:hAnsi="Arial" w:cs="Arial"/>
          <w:color w:val="363636"/>
        </w:rPr>
        <w:br/>
      </w:r>
      <w:r w:rsidR="00CF438D" w:rsidRPr="005D5A41">
        <w:rPr>
          <w:rFonts w:ascii="Arial" w:hAnsi="Arial" w:cs="Arial"/>
          <w:color w:val="363636"/>
          <w:shd w:val="clear" w:color="auto" w:fill="FFFFFF"/>
        </w:rPr>
        <w:t xml:space="preserve">Werden die einzelnen Erwerbstätigenquoten der Frauen mit den entsprechenden Quoten der Männer verglichen, so lagen bezogen auf die Frauen und Männer mit Kindern </w:t>
      </w:r>
      <w:r w:rsidR="00891105">
        <w:rPr>
          <w:rFonts w:ascii="Arial" w:hAnsi="Arial" w:cs="Arial"/>
          <w:color w:val="363636"/>
          <w:shd w:val="clear" w:color="auto" w:fill="FFFFFF"/>
        </w:rPr>
        <w:t>die</w:t>
      </w:r>
      <w:r w:rsidR="00CF438D" w:rsidRPr="005D5A41">
        <w:rPr>
          <w:rFonts w:ascii="Arial" w:hAnsi="Arial" w:cs="Arial"/>
          <w:color w:val="363636"/>
          <w:shd w:val="clear" w:color="auto" w:fill="FFFFFF"/>
        </w:rPr>
        <w:t xml:space="preserve"> Quoten der Männer in allen </w:t>
      </w:r>
      <w:r w:rsidR="002C0D29" w:rsidRPr="005D5A41">
        <w:rPr>
          <w:rFonts w:ascii="Arial" w:hAnsi="Arial" w:cs="Arial"/>
          <w:color w:val="363636"/>
          <w:shd w:val="clear" w:color="auto" w:fill="FFFFFF"/>
        </w:rPr>
        <w:t>31 hier betrachteten S</w:t>
      </w:r>
      <w:r w:rsidR="00CF438D" w:rsidRPr="005D5A41">
        <w:rPr>
          <w:rFonts w:ascii="Arial" w:hAnsi="Arial" w:cs="Arial"/>
          <w:color w:val="363636"/>
          <w:shd w:val="clear" w:color="auto" w:fill="FFFFFF"/>
        </w:rPr>
        <w:t>taaten über den Erwerbstätigenquoten der Frauen. Lediglich bei den Frauen und Männern ohne Kinder war die Erwerbstätigenquote der Frauen im Jahr 20</w:t>
      </w:r>
      <w:r w:rsidR="002C0D29" w:rsidRPr="005D5A41">
        <w:rPr>
          <w:rFonts w:ascii="Arial" w:hAnsi="Arial" w:cs="Arial"/>
          <w:color w:val="363636"/>
          <w:shd w:val="clear" w:color="auto" w:fill="FFFFFF"/>
        </w:rPr>
        <w:t>17</w:t>
      </w:r>
      <w:r w:rsidR="00CF438D" w:rsidRPr="005D5A41">
        <w:rPr>
          <w:rFonts w:ascii="Arial" w:hAnsi="Arial" w:cs="Arial"/>
          <w:color w:val="363636"/>
          <w:shd w:val="clear" w:color="auto" w:fill="FFFFFF"/>
        </w:rPr>
        <w:t xml:space="preserve"> in </w:t>
      </w:r>
      <w:r w:rsidR="002C0D29" w:rsidRPr="005D5A41">
        <w:rPr>
          <w:rFonts w:ascii="Arial" w:hAnsi="Arial" w:cs="Arial"/>
          <w:color w:val="363636"/>
          <w:shd w:val="clear" w:color="auto" w:fill="FFFFFF"/>
        </w:rPr>
        <w:t xml:space="preserve">sieben </w:t>
      </w:r>
      <w:r w:rsidR="00CF438D" w:rsidRPr="005D5A41">
        <w:rPr>
          <w:rFonts w:ascii="Arial" w:hAnsi="Arial" w:cs="Arial"/>
          <w:color w:val="363636"/>
          <w:shd w:val="clear" w:color="auto" w:fill="FFFFFF"/>
        </w:rPr>
        <w:t>Staaten höher als die Quote der Männer</w:t>
      </w:r>
      <w:r w:rsidR="002C0D29" w:rsidRPr="005D5A41">
        <w:rPr>
          <w:rFonts w:ascii="Arial" w:hAnsi="Arial" w:cs="Arial"/>
          <w:color w:val="363636"/>
          <w:shd w:val="clear" w:color="auto" w:fill="FFFFFF"/>
        </w:rPr>
        <w:t xml:space="preserve"> (nennenswert war die Differenz dabei in Litauen mit 7,3 Prozentpunkten sowie in Finnland, Lettland und Estland, wo die Differenz zwischen 2,3 und 1,</w:t>
      </w:r>
      <w:r w:rsidR="009935CB" w:rsidRPr="005D5A41">
        <w:rPr>
          <w:rFonts w:ascii="Arial" w:hAnsi="Arial" w:cs="Arial"/>
          <w:color w:val="363636"/>
          <w:shd w:val="clear" w:color="auto" w:fill="FFFFFF"/>
        </w:rPr>
        <w:t>9</w:t>
      </w:r>
      <w:r w:rsidR="002C0D29" w:rsidRPr="005D5A41">
        <w:rPr>
          <w:rFonts w:ascii="Arial" w:hAnsi="Arial" w:cs="Arial"/>
          <w:color w:val="363636"/>
          <w:shd w:val="clear" w:color="auto" w:fill="FFFFFF"/>
        </w:rPr>
        <w:t xml:space="preserve"> Prozentpunkten lag).</w:t>
      </w:r>
      <w:r w:rsidR="00CF438D" w:rsidRPr="005D5A41">
        <w:rPr>
          <w:rFonts w:ascii="Arial" w:hAnsi="Arial" w:cs="Arial"/>
          <w:color w:val="363636"/>
          <w:shd w:val="clear" w:color="auto" w:fill="FFFFFF"/>
        </w:rPr>
        <w:t> </w:t>
      </w:r>
      <w:r w:rsidR="00CF438D" w:rsidRPr="005D5A41">
        <w:rPr>
          <w:rFonts w:ascii="Arial" w:hAnsi="Arial" w:cs="Arial"/>
          <w:color w:val="363636"/>
          <w:shd w:val="clear" w:color="auto" w:fill="FFFFFF"/>
        </w:rPr>
        <w:br/>
      </w:r>
    </w:p>
    <w:p w14:paraId="3DDBB3A3" w14:textId="530D7081" w:rsidR="00DA4DE2" w:rsidRPr="005D5A41" w:rsidRDefault="00DA4DE2">
      <w:pPr>
        <w:rPr>
          <w:rFonts w:ascii="Arial" w:hAnsi="Arial"/>
        </w:rPr>
      </w:pPr>
      <w:r w:rsidRPr="005D5A41">
        <w:rPr>
          <w:rStyle w:val="Absatz-Standardschriftart1"/>
          <w:rFonts w:ascii="Arial" w:hAnsi="Arial"/>
          <w:color w:val="FF0000"/>
        </w:rPr>
        <w:t>Datenquelle</w:t>
      </w:r>
    </w:p>
    <w:p w14:paraId="30873A0D" w14:textId="77777777" w:rsidR="00DA4DE2" w:rsidRPr="00130273" w:rsidRDefault="00DA4DE2">
      <w:pPr>
        <w:rPr>
          <w:rFonts w:ascii="Arial" w:hAnsi="Arial" w:cs="Arial"/>
          <w:color w:val="363636"/>
          <w:shd w:val="clear" w:color="auto" w:fill="FFFFFF"/>
        </w:rPr>
      </w:pPr>
    </w:p>
    <w:p w14:paraId="53B2BB0F" w14:textId="5E9E7135" w:rsidR="00DA4DE2" w:rsidRPr="00130273" w:rsidRDefault="00992CA9">
      <w:pPr>
        <w:rPr>
          <w:rFonts w:ascii="Arial" w:hAnsi="Arial" w:cs="Arial"/>
          <w:color w:val="363636"/>
          <w:shd w:val="clear" w:color="auto" w:fill="FFFFFF"/>
        </w:rPr>
      </w:pPr>
      <w:r w:rsidRPr="00130273">
        <w:rPr>
          <w:rFonts w:ascii="Arial" w:hAnsi="Arial" w:cs="Arial"/>
          <w:color w:val="363636"/>
          <w:shd w:val="clear" w:color="auto" w:fill="FFFFFF"/>
        </w:rPr>
        <w:t xml:space="preserve">Eurostat: Online-Datenbank: </w:t>
      </w:r>
      <w:r w:rsidR="00A6197B" w:rsidRPr="00A6197B">
        <w:rPr>
          <w:rFonts w:ascii="Arial" w:hAnsi="Arial" w:cs="Arial"/>
          <w:color w:val="363636"/>
          <w:shd w:val="clear" w:color="auto" w:fill="FFFFFF"/>
        </w:rPr>
        <w:t>Beschäftigungsquote von Erwachsenen nach Geschlecht, Altersgruppe, Bildungsabschluss, Zahl der Kinder und Alter des jüngsten Kindes (Stand: 04/2018)</w:t>
      </w:r>
    </w:p>
    <w:p w14:paraId="1D8D118C" w14:textId="77777777" w:rsidR="00992CA9" w:rsidRPr="00130273" w:rsidRDefault="00992CA9">
      <w:pPr>
        <w:rPr>
          <w:rFonts w:ascii="Arial" w:hAnsi="Arial" w:cs="Arial"/>
          <w:color w:val="363636"/>
          <w:shd w:val="clear" w:color="auto" w:fill="FFFFFF"/>
        </w:rPr>
      </w:pPr>
    </w:p>
    <w:p w14:paraId="0ABF0BBD" w14:textId="77777777" w:rsidR="00DA4DE2" w:rsidRDefault="00DA4DE2">
      <w:pPr>
        <w:rPr>
          <w:rStyle w:val="Absatz-Standardschriftart1"/>
          <w:rFonts w:ascii="Arial" w:hAnsi="Arial"/>
          <w:color w:val="FF0000"/>
        </w:rPr>
      </w:pPr>
      <w:r>
        <w:rPr>
          <w:rStyle w:val="Absatz-Standardschriftart1"/>
          <w:rFonts w:ascii="Arial" w:hAnsi="Arial"/>
          <w:color w:val="FF0000"/>
        </w:rPr>
        <w:t>Begriffe, methodische Anmerkungen oder Lesehilfen</w:t>
      </w:r>
    </w:p>
    <w:p w14:paraId="0FE1A2AD" w14:textId="77777777" w:rsidR="00ED04A8" w:rsidRPr="0077242A" w:rsidRDefault="00ED04A8">
      <w:pPr>
        <w:rPr>
          <w:rFonts w:ascii="Arial" w:hAnsi="Arial" w:cs="Arial"/>
          <w:color w:val="363636"/>
          <w:shd w:val="clear" w:color="auto" w:fill="FFFFFF"/>
        </w:rPr>
      </w:pPr>
    </w:p>
    <w:p w14:paraId="63B044AF" w14:textId="716A48B6" w:rsidR="00D01D86" w:rsidRDefault="00CF438D" w:rsidP="00D01D86">
      <w:pPr>
        <w:rPr>
          <w:rFonts w:ascii="Arial" w:hAnsi="Arial" w:cs="Arial"/>
          <w:color w:val="363636"/>
          <w:shd w:val="clear" w:color="auto" w:fill="FFFFFF"/>
        </w:rPr>
      </w:pPr>
      <w:r w:rsidRPr="0077242A">
        <w:rPr>
          <w:rFonts w:ascii="Arial" w:hAnsi="Arial" w:cs="Arial"/>
          <w:color w:val="363636"/>
          <w:shd w:val="clear" w:color="auto" w:fill="FFFFFF"/>
        </w:rPr>
        <w:t>Die</w:t>
      </w:r>
      <w:r w:rsidRPr="00A508F9">
        <w:rPr>
          <w:rStyle w:val="Absatz-Standardschriftart1"/>
          <w:rFonts w:ascii="Arial" w:hAnsi="Arial"/>
          <w:color w:val="000000"/>
        </w:rPr>
        <w:t xml:space="preserve"> </w:t>
      </w:r>
      <w:r w:rsidRPr="00E129AF">
        <w:rPr>
          <w:rStyle w:val="Absatz-Standardschriftart1"/>
          <w:rFonts w:ascii="Arial" w:hAnsi="Arial"/>
          <w:b/>
          <w:color w:val="000000"/>
        </w:rPr>
        <w:t>Erwerbstätigenquote</w:t>
      </w:r>
      <w:r w:rsidRPr="00A508F9">
        <w:rPr>
          <w:rStyle w:val="Absatz-Standardschriftart1"/>
          <w:rFonts w:ascii="Arial" w:hAnsi="Arial"/>
          <w:color w:val="000000"/>
        </w:rPr>
        <w:t xml:space="preserve"> </w:t>
      </w:r>
      <w:r w:rsidRPr="0077242A">
        <w:rPr>
          <w:rStyle w:val="Absatz-Standardschriftart1"/>
          <w:rFonts w:ascii="Arial" w:hAnsi="Arial" w:cs="Arial"/>
          <w:color w:val="000000"/>
        </w:rPr>
        <w:t xml:space="preserve">gibt den Anteil der Erwerbstätigen an der Bevölkerung derselben Altersgruppe in Prozent an. Hier beziehen sich die Erwerbstätigenquoten auf </w:t>
      </w:r>
      <w:r w:rsidRPr="0077242A">
        <w:rPr>
          <w:rFonts w:ascii="Arial" w:hAnsi="Arial" w:cs="Arial"/>
          <w:color w:val="363636"/>
          <w:shd w:val="clear" w:color="auto" w:fill="FFFFFF"/>
        </w:rPr>
        <w:t xml:space="preserve">die Altersgruppe der 25- bis unter </w:t>
      </w:r>
      <w:r w:rsidR="00B01482">
        <w:rPr>
          <w:rFonts w:ascii="Arial" w:hAnsi="Arial" w:cs="Arial"/>
          <w:color w:val="363636"/>
          <w:shd w:val="clear" w:color="auto" w:fill="FFFFFF"/>
        </w:rPr>
        <w:t>5</w:t>
      </w:r>
      <w:r w:rsidRPr="0077242A">
        <w:rPr>
          <w:rFonts w:ascii="Arial" w:hAnsi="Arial" w:cs="Arial"/>
          <w:color w:val="363636"/>
          <w:shd w:val="clear" w:color="auto" w:fill="FFFFFF"/>
        </w:rPr>
        <w:t xml:space="preserve">5-Jährigen, </w:t>
      </w:r>
      <w:r w:rsidR="00B01482">
        <w:rPr>
          <w:rFonts w:ascii="Arial" w:hAnsi="Arial" w:cs="Arial"/>
          <w:color w:val="363636"/>
          <w:shd w:val="clear" w:color="auto" w:fill="FFFFFF"/>
        </w:rPr>
        <w:t>da in diesen Lebensjahren am häufig</w:t>
      </w:r>
      <w:r w:rsidR="00D01D86">
        <w:rPr>
          <w:rFonts w:ascii="Arial" w:hAnsi="Arial" w:cs="Arial"/>
          <w:color w:val="363636"/>
          <w:shd w:val="clear" w:color="auto" w:fill="FFFFFF"/>
        </w:rPr>
        <w:t>st</w:t>
      </w:r>
      <w:r w:rsidR="00B01482">
        <w:rPr>
          <w:rFonts w:ascii="Arial" w:hAnsi="Arial" w:cs="Arial"/>
          <w:color w:val="363636"/>
          <w:shd w:val="clear" w:color="auto" w:fill="FFFFFF"/>
        </w:rPr>
        <w:t>en eine Familie gegründet wird bzw. die</w:t>
      </w:r>
      <w:r w:rsidR="00D01D86">
        <w:rPr>
          <w:rFonts w:ascii="Arial" w:hAnsi="Arial" w:cs="Arial"/>
          <w:color w:val="363636"/>
          <w:shd w:val="clear" w:color="auto" w:fill="FFFFFF"/>
        </w:rPr>
        <w:t xml:space="preserve"> Personen dieser </w:t>
      </w:r>
      <w:r w:rsidR="00B01482">
        <w:rPr>
          <w:rFonts w:ascii="Arial" w:hAnsi="Arial" w:cs="Arial"/>
          <w:color w:val="363636"/>
          <w:shd w:val="clear" w:color="auto" w:fill="FFFFFF"/>
        </w:rPr>
        <w:t>Altersgruppe am häufigsten mit Kindern zusammenleb</w:t>
      </w:r>
      <w:r w:rsidR="00D01D86">
        <w:rPr>
          <w:rFonts w:ascii="Arial" w:hAnsi="Arial" w:cs="Arial"/>
          <w:color w:val="363636"/>
          <w:shd w:val="clear" w:color="auto" w:fill="FFFFFF"/>
        </w:rPr>
        <w:t>en</w:t>
      </w:r>
      <w:r w:rsidR="00B01482">
        <w:rPr>
          <w:rFonts w:ascii="Arial" w:hAnsi="Arial" w:cs="Arial"/>
          <w:color w:val="363636"/>
          <w:shd w:val="clear" w:color="auto" w:fill="FFFFFF"/>
        </w:rPr>
        <w:t>.</w:t>
      </w:r>
      <w:r w:rsidR="005D5A41">
        <w:rPr>
          <w:rFonts w:ascii="Arial" w:hAnsi="Arial" w:cs="Arial"/>
          <w:color w:val="363636"/>
          <w:shd w:val="clear" w:color="auto" w:fill="FFFFFF"/>
        </w:rPr>
        <w:t xml:space="preserve"> </w:t>
      </w:r>
      <w:r w:rsidRPr="00D01D86">
        <w:rPr>
          <w:rFonts w:ascii="Arial" w:hAnsi="Arial" w:cs="Arial"/>
          <w:color w:val="363636"/>
          <w:shd w:val="clear" w:color="auto" w:fill="FFFFFF"/>
        </w:rPr>
        <w:t>Als </w:t>
      </w:r>
      <w:r w:rsidRPr="00D01D86">
        <w:rPr>
          <w:rFonts w:ascii="Arial" w:hAnsi="Arial" w:cs="Arial"/>
          <w:b/>
          <w:bCs/>
        </w:rPr>
        <w:t>Kinder</w:t>
      </w:r>
      <w:r w:rsidRPr="00D01D86">
        <w:rPr>
          <w:rFonts w:ascii="Arial" w:hAnsi="Arial" w:cs="Arial"/>
          <w:color w:val="363636"/>
          <w:shd w:val="clear" w:color="auto" w:fill="FFFFFF"/>
        </w:rPr>
        <w:t> gelten dabei all</w:t>
      </w:r>
      <w:r w:rsidR="00D01D86" w:rsidRPr="00D01D86">
        <w:rPr>
          <w:rFonts w:ascii="Arial" w:hAnsi="Arial" w:cs="Arial"/>
          <w:color w:val="363636"/>
          <w:shd w:val="clear" w:color="auto" w:fill="FFFFFF"/>
        </w:rPr>
        <w:t>e ökonomisch abhängigen Haushaltsmitglieder unter 2</w:t>
      </w:r>
      <w:r w:rsidRPr="00D01D86">
        <w:rPr>
          <w:rFonts w:ascii="Arial" w:hAnsi="Arial" w:cs="Arial"/>
          <w:color w:val="363636"/>
          <w:shd w:val="clear" w:color="auto" w:fill="FFFFFF"/>
        </w:rPr>
        <w:t>5 Jahren</w:t>
      </w:r>
      <w:r w:rsidR="00D01D86" w:rsidRPr="00D01D86">
        <w:rPr>
          <w:rFonts w:ascii="Arial" w:hAnsi="Arial" w:cs="Arial"/>
          <w:color w:val="363636"/>
          <w:shd w:val="clear" w:color="auto" w:fill="FFFFFF"/>
        </w:rPr>
        <w:t>. Darunter fallen grundsätzlich alle unter 15-Jährigen. Bei den 15- bis unter 25-Jährigen wird die ökonomische Abhängigkeit überprüft.</w:t>
      </w:r>
    </w:p>
    <w:p w14:paraId="4B3DAACF" w14:textId="77777777" w:rsidR="002F1BFB" w:rsidRDefault="002F1BFB" w:rsidP="00D01D86">
      <w:pPr>
        <w:rPr>
          <w:rFonts w:ascii="Arial" w:hAnsi="Arial" w:cs="Arial"/>
          <w:color w:val="363636"/>
          <w:shd w:val="clear" w:color="auto" w:fill="FFFFFF"/>
        </w:rPr>
      </w:pPr>
    </w:p>
    <w:p w14:paraId="7E30237F" w14:textId="6FAB2FC8" w:rsidR="00AB14BB" w:rsidRDefault="00AB14BB" w:rsidP="00AB14BB">
      <w:pPr>
        <w:rPr>
          <w:rStyle w:val="Absatz-Standardschriftart1"/>
          <w:rFonts w:ascii="Arial" w:hAnsi="Arial"/>
          <w:color w:val="000000"/>
        </w:rPr>
      </w:pPr>
      <w:r>
        <w:rPr>
          <w:rStyle w:val="Absatz-Standardschriftart1"/>
          <w:rFonts w:ascii="Arial" w:hAnsi="Arial"/>
          <w:b/>
          <w:color w:val="000000"/>
        </w:rPr>
        <w:t>Erwerbstätige</w:t>
      </w:r>
      <w:r>
        <w:rPr>
          <w:rStyle w:val="Absatz-Standardschriftart1"/>
          <w:rFonts w:ascii="Arial" w:hAnsi="Arial"/>
          <w:color w:val="000000"/>
        </w:rPr>
        <w:t xml:space="preserve"> sind </w:t>
      </w:r>
      <w:r w:rsidR="00646306">
        <w:rPr>
          <w:rStyle w:val="Absatz-Standardschriftart1"/>
          <w:rFonts w:ascii="Arial" w:hAnsi="Arial"/>
          <w:color w:val="000000"/>
        </w:rPr>
        <w:t xml:space="preserve">grundsätzlich </w:t>
      </w:r>
      <w:r w:rsidRPr="000077C7">
        <w:rPr>
          <w:rStyle w:val="Absatz-Standardschriftart1"/>
          <w:rFonts w:ascii="Arial" w:hAnsi="Arial"/>
          <w:color w:val="000000"/>
        </w:rPr>
        <w:t xml:space="preserve">alle </w:t>
      </w:r>
      <w:r>
        <w:rPr>
          <w:rStyle w:val="Absatz-Standardschriftart1"/>
          <w:rFonts w:ascii="Arial" w:hAnsi="Arial"/>
          <w:color w:val="000000"/>
        </w:rPr>
        <w:t xml:space="preserve">Personen im Alter von mindestens 15 Jahren, die in der </w:t>
      </w:r>
      <w:r w:rsidRPr="000077C7">
        <w:rPr>
          <w:rStyle w:val="Absatz-Standardschriftart1"/>
          <w:rFonts w:ascii="Arial" w:hAnsi="Arial"/>
          <w:color w:val="000000"/>
        </w:rPr>
        <w:t xml:space="preserve">Bezugswoche </w:t>
      </w:r>
      <w:r>
        <w:rPr>
          <w:rStyle w:val="Absatz-Standardschriftart1"/>
          <w:rFonts w:ascii="Arial" w:hAnsi="Arial"/>
          <w:color w:val="000000"/>
        </w:rPr>
        <w:t xml:space="preserve">(der EU-Arbeitskräfteerhebung) </w:t>
      </w:r>
      <w:r>
        <w:rPr>
          <w:rFonts w:ascii="Arial" w:hAnsi="Arial" w:cs="Arial"/>
          <w:color w:val="363636"/>
          <w:shd w:val="clear" w:color="auto" w:fill="FFFFFF"/>
        </w:rPr>
        <w:t>gegen Entgelt, zur Gewinnerzielung oder zur Mehrung des Familieneinkommens</w:t>
      </w:r>
      <w:r>
        <w:rPr>
          <w:rStyle w:val="Absatz-Standardschriftart1"/>
          <w:rFonts w:ascii="Arial" w:hAnsi="Arial"/>
          <w:color w:val="000000"/>
        </w:rPr>
        <w:t xml:space="preserve"> mindestens eine Stunde gearbeitet haben sowie alle Personen, die nur vorübergehend von ihrer Arbeit abwesend sind (zum Beispiel aufgrund von Krankheit, Urlaub, Streik, Aus- oder Weiterbildungsmaßnahmen).</w:t>
      </w:r>
    </w:p>
    <w:p w14:paraId="2BB0F475" w14:textId="77777777" w:rsidR="005D5A41" w:rsidRDefault="005D5A41" w:rsidP="00AB14BB">
      <w:pPr>
        <w:rPr>
          <w:rStyle w:val="Absatz-Standardschriftart1"/>
          <w:rFonts w:ascii="Arial" w:hAnsi="Arial"/>
          <w:color w:val="000000"/>
        </w:rPr>
      </w:pPr>
    </w:p>
    <w:p w14:paraId="3D08EDDB" w14:textId="77777777" w:rsidR="00D2082D" w:rsidRDefault="00D2082D" w:rsidP="00D2082D">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7" w:tgtFrame="extern" w:history="1">
        <w:proofErr w:type="spellStart"/>
        <w:r w:rsidRPr="00595F8B">
          <w:rPr>
            <w:rFonts w:ascii="Arial" w:hAnsi="Arial"/>
            <w:sz w:val="20"/>
            <w:szCs w:val="20"/>
          </w:rPr>
          <w:t>by-nc-nd</w:t>
        </w:r>
        <w:proofErr w:type="spellEnd"/>
        <w:r w:rsidRPr="00595F8B">
          <w:rPr>
            <w:rFonts w:ascii="Arial" w:hAnsi="Arial"/>
            <w:sz w:val="20"/>
            <w:szCs w:val="20"/>
          </w:rPr>
          <w:t>/3.0/de/</w:t>
        </w:r>
      </w:hyperlink>
      <w:r>
        <w:rPr>
          <w:rFonts w:ascii="Arial" w:hAnsi="Arial"/>
          <w:sz w:val="20"/>
          <w:szCs w:val="20"/>
        </w:rPr>
        <w:t xml:space="preserve"> veröffentlicht. </w:t>
      </w:r>
    </w:p>
    <w:p w14:paraId="104B203A" w14:textId="788CDAFD" w:rsidR="00F56C6E" w:rsidRDefault="00D2082D">
      <w:pPr>
        <w:rPr>
          <w:rFonts w:ascii="Arial" w:hAnsi="Arial"/>
          <w:sz w:val="20"/>
          <w:szCs w:val="20"/>
        </w:rPr>
      </w:pPr>
      <w:r>
        <w:rPr>
          <w:rFonts w:ascii="Arial" w:hAnsi="Arial"/>
          <w:sz w:val="20"/>
          <w:szCs w:val="20"/>
        </w:rPr>
        <w:t>Bundeszentrale für politische Bildung 201</w:t>
      </w:r>
      <w:r w:rsidR="00711D70">
        <w:rPr>
          <w:rFonts w:ascii="Arial" w:hAnsi="Arial"/>
          <w:sz w:val="20"/>
          <w:szCs w:val="20"/>
        </w:rPr>
        <w:t>9</w:t>
      </w:r>
      <w:r>
        <w:rPr>
          <w:rFonts w:ascii="Arial" w:hAnsi="Arial"/>
          <w:sz w:val="20"/>
          <w:szCs w:val="20"/>
        </w:rPr>
        <w:t xml:space="preserve"> | </w:t>
      </w:r>
      <w:hyperlink r:id="rId8" w:history="1">
        <w:r w:rsidRPr="00595F8B">
          <w:rPr>
            <w:rFonts w:ascii="Arial" w:hAnsi="Arial"/>
            <w:sz w:val="20"/>
            <w:szCs w:val="20"/>
          </w:rPr>
          <w:t>www.bpb.de</w:t>
        </w:r>
      </w:hyperlink>
    </w:p>
    <w:sectPr w:rsidR="00F56C6E">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dale Sans UI">
    <w:altName w:val="Segoe UI"/>
    <w:charset w:val="00"/>
    <w:family w:val="swiss"/>
    <w:pitch w:val="variable"/>
    <w:sig w:usb0="00000001"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860203"/>
    <w:multiLevelType w:val="multilevel"/>
    <w:tmpl w:val="924AC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282382"/>
    <w:multiLevelType w:val="hybridMultilevel"/>
    <w:tmpl w:val="EE3AE3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C45539C"/>
    <w:multiLevelType w:val="hybridMultilevel"/>
    <w:tmpl w:val="8D1CF7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FDF6079"/>
    <w:multiLevelType w:val="multilevel"/>
    <w:tmpl w:val="76C6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4F4D8B"/>
    <w:multiLevelType w:val="hybridMultilevel"/>
    <w:tmpl w:val="85AA6CC8"/>
    <w:lvl w:ilvl="0" w:tplc="2726275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A330702"/>
    <w:multiLevelType w:val="multilevel"/>
    <w:tmpl w:val="F81E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2"/>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313"/>
    <w:rsid w:val="00006E78"/>
    <w:rsid w:val="000114C7"/>
    <w:rsid w:val="00022B22"/>
    <w:rsid w:val="0002482A"/>
    <w:rsid w:val="000276F6"/>
    <w:rsid w:val="0003364A"/>
    <w:rsid w:val="00044964"/>
    <w:rsid w:val="00047707"/>
    <w:rsid w:val="000553B1"/>
    <w:rsid w:val="00056826"/>
    <w:rsid w:val="00056EDA"/>
    <w:rsid w:val="00057605"/>
    <w:rsid w:val="00062A38"/>
    <w:rsid w:val="000633E9"/>
    <w:rsid w:val="00070A93"/>
    <w:rsid w:val="000728FC"/>
    <w:rsid w:val="00075182"/>
    <w:rsid w:val="000771FC"/>
    <w:rsid w:val="00091182"/>
    <w:rsid w:val="00094195"/>
    <w:rsid w:val="000967A8"/>
    <w:rsid w:val="000A1861"/>
    <w:rsid w:val="000A20C8"/>
    <w:rsid w:val="000A3CFA"/>
    <w:rsid w:val="000A5B99"/>
    <w:rsid w:val="000A5FC7"/>
    <w:rsid w:val="000B14E0"/>
    <w:rsid w:val="000B6FD4"/>
    <w:rsid w:val="000E3D65"/>
    <w:rsid w:val="000E4B99"/>
    <w:rsid w:val="000E4F4A"/>
    <w:rsid w:val="001018BD"/>
    <w:rsid w:val="00103015"/>
    <w:rsid w:val="00104A93"/>
    <w:rsid w:val="001069B4"/>
    <w:rsid w:val="00120C90"/>
    <w:rsid w:val="001261E3"/>
    <w:rsid w:val="00130273"/>
    <w:rsid w:val="00131BAE"/>
    <w:rsid w:val="001332BD"/>
    <w:rsid w:val="00146B0F"/>
    <w:rsid w:val="00154664"/>
    <w:rsid w:val="001626DA"/>
    <w:rsid w:val="001647B2"/>
    <w:rsid w:val="00165C1C"/>
    <w:rsid w:val="00170C35"/>
    <w:rsid w:val="00182BDC"/>
    <w:rsid w:val="001854EE"/>
    <w:rsid w:val="00185E3E"/>
    <w:rsid w:val="00192110"/>
    <w:rsid w:val="001A113B"/>
    <w:rsid w:val="001A6020"/>
    <w:rsid w:val="001C3B0D"/>
    <w:rsid w:val="001D41D8"/>
    <w:rsid w:val="001E064E"/>
    <w:rsid w:val="001F0331"/>
    <w:rsid w:val="001F117A"/>
    <w:rsid w:val="001F57E0"/>
    <w:rsid w:val="001F7E45"/>
    <w:rsid w:val="00203BE9"/>
    <w:rsid w:val="00212AAE"/>
    <w:rsid w:val="00231C75"/>
    <w:rsid w:val="00233842"/>
    <w:rsid w:val="00234140"/>
    <w:rsid w:val="00244B4E"/>
    <w:rsid w:val="00250510"/>
    <w:rsid w:val="002548C0"/>
    <w:rsid w:val="002549B1"/>
    <w:rsid w:val="0026000F"/>
    <w:rsid w:val="00261EB3"/>
    <w:rsid w:val="002637A4"/>
    <w:rsid w:val="002724A4"/>
    <w:rsid w:val="00273A77"/>
    <w:rsid w:val="00274006"/>
    <w:rsid w:val="00282BAF"/>
    <w:rsid w:val="002850DE"/>
    <w:rsid w:val="00292358"/>
    <w:rsid w:val="002A0178"/>
    <w:rsid w:val="002A3736"/>
    <w:rsid w:val="002C0D29"/>
    <w:rsid w:val="002D2A96"/>
    <w:rsid w:val="002D64F4"/>
    <w:rsid w:val="002D7B06"/>
    <w:rsid w:val="002E019E"/>
    <w:rsid w:val="002E2E39"/>
    <w:rsid w:val="002F089A"/>
    <w:rsid w:val="002F1BFB"/>
    <w:rsid w:val="002F3EE8"/>
    <w:rsid w:val="003046C6"/>
    <w:rsid w:val="00307CBE"/>
    <w:rsid w:val="003119B8"/>
    <w:rsid w:val="00313D9A"/>
    <w:rsid w:val="00324B3D"/>
    <w:rsid w:val="003313AA"/>
    <w:rsid w:val="003408F5"/>
    <w:rsid w:val="00345F0E"/>
    <w:rsid w:val="003628D8"/>
    <w:rsid w:val="00380040"/>
    <w:rsid w:val="00380BB3"/>
    <w:rsid w:val="00382E13"/>
    <w:rsid w:val="0039046A"/>
    <w:rsid w:val="00392237"/>
    <w:rsid w:val="003957BD"/>
    <w:rsid w:val="003A3BC9"/>
    <w:rsid w:val="003A6A52"/>
    <w:rsid w:val="003C2E8D"/>
    <w:rsid w:val="003D7D6F"/>
    <w:rsid w:val="003E6CBC"/>
    <w:rsid w:val="003E7AFC"/>
    <w:rsid w:val="003F4572"/>
    <w:rsid w:val="00402CFF"/>
    <w:rsid w:val="004030EB"/>
    <w:rsid w:val="0040687B"/>
    <w:rsid w:val="0042100B"/>
    <w:rsid w:val="0044060D"/>
    <w:rsid w:val="00442648"/>
    <w:rsid w:val="00450D21"/>
    <w:rsid w:val="00455F52"/>
    <w:rsid w:val="00457DB5"/>
    <w:rsid w:val="00471DA5"/>
    <w:rsid w:val="00472226"/>
    <w:rsid w:val="00476543"/>
    <w:rsid w:val="00486A15"/>
    <w:rsid w:val="004903E1"/>
    <w:rsid w:val="004C124B"/>
    <w:rsid w:val="004D1793"/>
    <w:rsid w:val="004D1E26"/>
    <w:rsid w:val="004D2EFE"/>
    <w:rsid w:val="004E3A93"/>
    <w:rsid w:val="004E4C93"/>
    <w:rsid w:val="004E51B7"/>
    <w:rsid w:val="004F4BF5"/>
    <w:rsid w:val="00520C79"/>
    <w:rsid w:val="00524EF9"/>
    <w:rsid w:val="005334DC"/>
    <w:rsid w:val="005345B6"/>
    <w:rsid w:val="005417FA"/>
    <w:rsid w:val="0054225B"/>
    <w:rsid w:val="0056591A"/>
    <w:rsid w:val="00571D2A"/>
    <w:rsid w:val="005726D3"/>
    <w:rsid w:val="00577A3F"/>
    <w:rsid w:val="00584938"/>
    <w:rsid w:val="00585D1D"/>
    <w:rsid w:val="0059302E"/>
    <w:rsid w:val="005A3391"/>
    <w:rsid w:val="005A5739"/>
    <w:rsid w:val="005B11AC"/>
    <w:rsid w:val="005B7E92"/>
    <w:rsid w:val="005D07AC"/>
    <w:rsid w:val="005D5A41"/>
    <w:rsid w:val="005E1DB7"/>
    <w:rsid w:val="005F32F5"/>
    <w:rsid w:val="0060015E"/>
    <w:rsid w:val="00602231"/>
    <w:rsid w:val="006109EF"/>
    <w:rsid w:val="0061211A"/>
    <w:rsid w:val="006150DD"/>
    <w:rsid w:val="00616F70"/>
    <w:rsid w:val="006323DA"/>
    <w:rsid w:val="0063248C"/>
    <w:rsid w:val="00632CBC"/>
    <w:rsid w:val="00642ABD"/>
    <w:rsid w:val="00646306"/>
    <w:rsid w:val="006602B4"/>
    <w:rsid w:val="00664B0D"/>
    <w:rsid w:val="00664C93"/>
    <w:rsid w:val="006701F4"/>
    <w:rsid w:val="00684772"/>
    <w:rsid w:val="0069060F"/>
    <w:rsid w:val="006960F9"/>
    <w:rsid w:val="006A46F3"/>
    <w:rsid w:val="006A7A5E"/>
    <w:rsid w:val="006B10DA"/>
    <w:rsid w:val="006B3C96"/>
    <w:rsid w:val="006B4A78"/>
    <w:rsid w:val="006B5BE8"/>
    <w:rsid w:val="006C0CFD"/>
    <w:rsid w:val="006D360F"/>
    <w:rsid w:val="006D3D9F"/>
    <w:rsid w:val="006F5E22"/>
    <w:rsid w:val="007035C2"/>
    <w:rsid w:val="00711D70"/>
    <w:rsid w:val="00725CC5"/>
    <w:rsid w:val="0072693B"/>
    <w:rsid w:val="007452F8"/>
    <w:rsid w:val="007454FA"/>
    <w:rsid w:val="00745D2D"/>
    <w:rsid w:val="00754295"/>
    <w:rsid w:val="007577D3"/>
    <w:rsid w:val="0077242A"/>
    <w:rsid w:val="00775BE9"/>
    <w:rsid w:val="0077656D"/>
    <w:rsid w:val="007769A8"/>
    <w:rsid w:val="00790559"/>
    <w:rsid w:val="007911A5"/>
    <w:rsid w:val="00793642"/>
    <w:rsid w:val="00796326"/>
    <w:rsid w:val="007A14AB"/>
    <w:rsid w:val="007A1977"/>
    <w:rsid w:val="007A44C5"/>
    <w:rsid w:val="007C6AE7"/>
    <w:rsid w:val="007D23B3"/>
    <w:rsid w:val="007D4949"/>
    <w:rsid w:val="007E3A6D"/>
    <w:rsid w:val="007F0063"/>
    <w:rsid w:val="008013CA"/>
    <w:rsid w:val="00801B1A"/>
    <w:rsid w:val="0080363F"/>
    <w:rsid w:val="00805D15"/>
    <w:rsid w:val="0081742B"/>
    <w:rsid w:val="008215E2"/>
    <w:rsid w:val="008227EE"/>
    <w:rsid w:val="008241C6"/>
    <w:rsid w:val="008261D9"/>
    <w:rsid w:val="0083066B"/>
    <w:rsid w:val="0084713E"/>
    <w:rsid w:val="00854D3A"/>
    <w:rsid w:val="00857767"/>
    <w:rsid w:val="00860554"/>
    <w:rsid w:val="00870C48"/>
    <w:rsid w:val="0087634E"/>
    <w:rsid w:val="0087639E"/>
    <w:rsid w:val="00880907"/>
    <w:rsid w:val="00891105"/>
    <w:rsid w:val="008A0BC8"/>
    <w:rsid w:val="008B3920"/>
    <w:rsid w:val="008C3A0D"/>
    <w:rsid w:val="008C5587"/>
    <w:rsid w:val="008D2AA3"/>
    <w:rsid w:val="008E09E2"/>
    <w:rsid w:val="008F1E2B"/>
    <w:rsid w:val="00900B96"/>
    <w:rsid w:val="0091448C"/>
    <w:rsid w:val="00936424"/>
    <w:rsid w:val="00936B67"/>
    <w:rsid w:val="0094069F"/>
    <w:rsid w:val="00942C62"/>
    <w:rsid w:val="00943563"/>
    <w:rsid w:val="00945FBA"/>
    <w:rsid w:val="0095124B"/>
    <w:rsid w:val="00957272"/>
    <w:rsid w:val="00961704"/>
    <w:rsid w:val="00983706"/>
    <w:rsid w:val="00984083"/>
    <w:rsid w:val="009853B7"/>
    <w:rsid w:val="00992CA9"/>
    <w:rsid w:val="009935CB"/>
    <w:rsid w:val="009A148A"/>
    <w:rsid w:val="009A6D43"/>
    <w:rsid w:val="009C2DA4"/>
    <w:rsid w:val="009C3B9C"/>
    <w:rsid w:val="009D3C20"/>
    <w:rsid w:val="009E19D8"/>
    <w:rsid w:val="009E7EFF"/>
    <w:rsid w:val="009F01E0"/>
    <w:rsid w:val="009F1B71"/>
    <w:rsid w:val="009F527D"/>
    <w:rsid w:val="00A11189"/>
    <w:rsid w:val="00A12FAD"/>
    <w:rsid w:val="00A141DD"/>
    <w:rsid w:val="00A21184"/>
    <w:rsid w:val="00A328FA"/>
    <w:rsid w:val="00A354D5"/>
    <w:rsid w:val="00A35B7E"/>
    <w:rsid w:val="00A42406"/>
    <w:rsid w:val="00A42C87"/>
    <w:rsid w:val="00A43C4E"/>
    <w:rsid w:val="00A5070B"/>
    <w:rsid w:val="00A6197B"/>
    <w:rsid w:val="00A62140"/>
    <w:rsid w:val="00A62313"/>
    <w:rsid w:val="00A714B0"/>
    <w:rsid w:val="00A71784"/>
    <w:rsid w:val="00A8044F"/>
    <w:rsid w:val="00A806CA"/>
    <w:rsid w:val="00A8154B"/>
    <w:rsid w:val="00A82A5A"/>
    <w:rsid w:val="00AA0193"/>
    <w:rsid w:val="00AA0AFC"/>
    <w:rsid w:val="00AA4E4F"/>
    <w:rsid w:val="00AA7E5D"/>
    <w:rsid w:val="00AB0872"/>
    <w:rsid w:val="00AB14BB"/>
    <w:rsid w:val="00AC2C3E"/>
    <w:rsid w:val="00AD166C"/>
    <w:rsid w:val="00AF1717"/>
    <w:rsid w:val="00AF2C78"/>
    <w:rsid w:val="00AF7486"/>
    <w:rsid w:val="00B01482"/>
    <w:rsid w:val="00B02F47"/>
    <w:rsid w:val="00B0637F"/>
    <w:rsid w:val="00B072B2"/>
    <w:rsid w:val="00B1272A"/>
    <w:rsid w:val="00B12E8D"/>
    <w:rsid w:val="00B1401B"/>
    <w:rsid w:val="00B277D3"/>
    <w:rsid w:val="00B31A0E"/>
    <w:rsid w:val="00B35C4B"/>
    <w:rsid w:val="00B45E85"/>
    <w:rsid w:val="00B469CC"/>
    <w:rsid w:val="00B54805"/>
    <w:rsid w:val="00B54CE7"/>
    <w:rsid w:val="00B6608C"/>
    <w:rsid w:val="00B7080B"/>
    <w:rsid w:val="00B77218"/>
    <w:rsid w:val="00B80F18"/>
    <w:rsid w:val="00B979DD"/>
    <w:rsid w:val="00BA15AC"/>
    <w:rsid w:val="00BB1263"/>
    <w:rsid w:val="00BB26AA"/>
    <w:rsid w:val="00BB6C21"/>
    <w:rsid w:val="00BD04A0"/>
    <w:rsid w:val="00BE37AA"/>
    <w:rsid w:val="00C10280"/>
    <w:rsid w:val="00C10832"/>
    <w:rsid w:val="00C31020"/>
    <w:rsid w:val="00C31E1F"/>
    <w:rsid w:val="00C354AC"/>
    <w:rsid w:val="00C422E3"/>
    <w:rsid w:val="00C47797"/>
    <w:rsid w:val="00C53B8A"/>
    <w:rsid w:val="00C6236B"/>
    <w:rsid w:val="00C66EA6"/>
    <w:rsid w:val="00C7500E"/>
    <w:rsid w:val="00C80BC0"/>
    <w:rsid w:val="00C81708"/>
    <w:rsid w:val="00C91250"/>
    <w:rsid w:val="00CA3446"/>
    <w:rsid w:val="00CA344B"/>
    <w:rsid w:val="00CB40B0"/>
    <w:rsid w:val="00CB6DE3"/>
    <w:rsid w:val="00CB7535"/>
    <w:rsid w:val="00CD3113"/>
    <w:rsid w:val="00CE41FE"/>
    <w:rsid w:val="00CE4643"/>
    <w:rsid w:val="00CF26D2"/>
    <w:rsid w:val="00CF438D"/>
    <w:rsid w:val="00CF45D4"/>
    <w:rsid w:val="00CF4EE0"/>
    <w:rsid w:val="00CF7EA1"/>
    <w:rsid w:val="00D016FE"/>
    <w:rsid w:val="00D01D86"/>
    <w:rsid w:val="00D13775"/>
    <w:rsid w:val="00D2082D"/>
    <w:rsid w:val="00D210F6"/>
    <w:rsid w:val="00D3750A"/>
    <w:rsid w:val="00D41A52"/>
    <w:rsid w:val="00D42D77"/>
    <w:rsid w:val="00D513E7"/>
    <w:rsid w:val="00D552DC"/>
    <w:rsid w:val="00D76851"/>
    <w:rsid w:val="00D82041"/>
    <w:rsid w:val="00D93546"/>
    <w:rsid w:val="00D937C5"/>
    <w:rsid w:val="00D979BF"/>
    <w:rsid w:val="00DA4DE2"/>
    <w:rsid w:val="00DA6BF5"/>
    <w:rsid w:val="00DB0F4F"/>
    <w:rsid w:val="00DC356D"/>
    <w:rsid w:val="00DC5572"/>
    <w:rsid w:val="00DD07BE"/>
    <w:rsid w:val="00DD704E"/>
    <w:rsid w:val="00DE3889"/>
    <w:rsid w:val="00E0541B"/>
    <w:rsid w:val="00E06DD4"/>
    <w:rsid w:val="00E219E9"/>
    <w:rsid w:val="00E33E79"/>
    <w:rsid w:val="00E412CA"/>
    <w:rsid w:val="00E51C68"/>
    <w:rsid w:val="00E53FDF"/>
    <w:rsid w:val="00E73B38"/>
    <w:rsid w:val="00E761FB"/>
    <w:rsid w:val="00E80D4F"/>
    <w:rsid w:val="00E95A50"/>
    <w:rsid w:val="00E96224"/>
    <w:rsid w:val="00EA163E"/>
    <w:rsid w:val="00EB6B7E"/>
    <w:rsid w:val="00EB76F9"/>
    <w:rsid w:val="00EB792A"/>
    <w:rsid w:val="00EC12E6"/>
    <w:rsid w:val="00EC6873"/>
    <w:rsid w:val="00ED04A8"/>
    <w:rsid w:val="00ED224D"/>
    <w:rsid w:val="00F155A1"/>
    <w:rsid w:val="00F158D2"/>
    <w:rsid w:val="00F1767E"/>
    <w:rsid w:val="00F17897"/>
    <w:rsid w:val="00F2373F"/>
    <w:rsid w:val="00F425F6"/>
    <w:rsid w:val="00F447CB"/>
    <w:rsid w:val="00F44DC4"/>
    <w:rsid w:val="00F56391"/>
    <w:rsid w:val="00F56C6E"/>
    <w:rsid w:val="00F64B9C"/>
    <w:rsid w:val="00F7210A"/>
    <w:rsid w:val="00F72974"/>
    <w:rsid w:val="00F7597D"/>
    <w:rsid w:val="00F81EEF"/>
    <w:rsid w:val="00F9239D"/>
    <w:rsid w:val="00F93CC0"/>
    <w:rsid w:val="00F955B6"/>
    <w:rsid w:val="00FA2623"/>
    <w:rsid w:val="00FA2A7D"/>
    <w:rsid w:val="00FA6586"/>
    <w:rsid w:val="00FA7B31"/>
    <w:rsid w:val="00FB7F7C"/>
    <w:rsid w:val="00FC4D73"/>
    <w:rsid w:val="00FC69DF"/>
    <w:rsid w:val="00FC7DEE"/>
    <w:rsid w:val="00FD033D"/>
    <w:rsid w:val="00FD4A5E"/>
    <w:rsid w:val="00FE2EE9"/>
    <w:rsid w:val="00FE7A86"/>
    <w:rsid w:val="00FF39B3"/>
    <w:rsid w:val="00FF492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088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line="100" w:lineRule="atLeast"/>
    </w:pPr>
    <w:rPr>
      <w:sz w:val="24"/>
      <w:szCs w:val="24"/>
      <w:lang w:eastAsia="ar-SA"/>
    </w:rPr>
  </w:style>
  <w:style w:type="paragraph" w:styleId="berschrift1">
    <w:name w:val="heading 1"/>
    <w:basedOn w:val="Standard"/>
    <w:link w:val="berschrift1Zchn"/>
    <w:uiPriority w:val="9"/>
    <w:qFormat/>
    <w:rsid w:val="00D210F6"/>
    <w:pPr>
      <w:suppressAutoHyphens w:val="0"/>
      <w:spacing w:before="100" w:beforeAutospacing="1" w:after="100" w:afterAutospacing="1" w:line="240" w:lineRule="auto"/>
      <w:outlineLvl w:val="0"/>
    </w:pPr>
    <w:rPr>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Hyperlink1">
    <w:name w:val="Hyperlink1"/>
    <w:rPr>
      <w:color w:val="0000FF"/>
      <w:u w:val="single"/>
    </w:rPr>
  </w:style>
  <w:style w:type="character" w:customStyle="1" w:styleId="Kommentarzeichen1">
    <w:name w:val="Kommentarzeichen1"/>
    <w:rPr>
      <w:sz w:val="16"/>
    </w:rPr>
  </w:style>
  <w:style w:type="character" w:customStyle="1" w:styleId="Fett1">
    <w:name w:val="Fett1"/>
    <w:rPr>
      <w:b/>
      <w:bCs/>
    </w:rPr>
  </w:style>
  <w:style w:type="character" w:styleId="HTMLAkronym">
    <w:name w:val="HTML Acronym"/>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pPr>
      <w:spacing w:after="120"/>
    </w:pPr>
  </w:style>
  <w:style w:type="paragraph" w:styleId="Liste">
    <w:name w:val="List"/>
    <w:basedOn w:val="Textkrper"/>
    <w:rPr>
      <w:rFonts w:ascii="Arial" w:hAnsi="Arial" w:cs="Andale Sans UI"/>
    </w:rPr>
  </w:style>
  <w:style w:type="paragraph" w:customStyle="1" w:styleId="Beschriftung1">
    <w:name w:val="Beschriftung1"/>
    <w:basedOn w:val="Standard"/>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customStyle="1" w:styleId="Default">
    <w:name w:val="Default"/>
    <w:pPr>
      <w:suppressAutoHyphens/>
      <w:autoSpaceDE w:val="0"/>
      <w:spacing w:line="100" w:lineRule="atLeast"/>
    </w:pPr>
    <w:rPr>
      <w:rFonts w:ascii="Arial" w:eastAsia="Arial" w:hAnsi="Arial" w:cs="Arial"/>
      <w:color w:val="000000"/>
      <w:sz w:val="24"/>
      <w:szCs w:val="24"/>
      <w:lang w:eastAsia="ar-SA"/>
    </w:rPr>
  </w:style>
  <w:style w:type="paragraph" w:customStyle="1" w:styleId="Kommentartext1">
    <w:name w:val="Kommentartext1"/>
    <w:basedOn w:val="Standard"/>
    <w:rPr>
      <w:sz w:val="20"/>
    </w:rPr>
  </w:style>
  <w:style w:type="paragraph" w:styleId="Sprechblasentext">
    <w:name w:val="Balloon Text"/>
    <w:basedOn w:val="Standard"/>
    <w:rPr>
      <w:rFonts w:ascii="Tahoma" w:hAnsi="Tahoma" w:cs="Andale Sans UI"/>
      <w:sz w:val="16"/>
      <w:szCs w:val="16"/>
    </w:rPr>
  </w:style>
  <w:style w:type="paragraph" w:styleId="StandardWeb">
    <w:name w:val="Normal (Web)"/>
    <w:basedOn w:val="Standard"/>
    <w:uiPriority w:val="99"/>
    <w:pPr>
      <w:spacing w:before="100" w:after="100"/>
    </w:pPr>
  </w:style>
  <w:style w:type="character" w:styleId="Kommentarzeichen">
    <w:name w:val="annotation reference"/>
    <w:uiPriority w:val="99"/>
    <w:semiHidden/>
    <w:unhideWhenUsed/>
    <w:rsid w:val="00CA344B"/>
    <w:rPr>
      <w:sz w:val="16"/>
      <w:szCs w:val="16"/>
    </w:rPr>
  </w:style>
  <w:style w:type="paragraph" w:styleId="Kommentartext">
    <w:name w:val="annotation text"/>
    <w:basedOn w:val="Standard"/>
    <w:link w:val="KommentartextZchn"/>
    <w:uiPriority w:val="99"/>
    <w:semiHidden/>
    <w:unhideWhenUsed/>
    <w:rsid w:val="00CA344B"/>
    <w:rPr>
      <w:sz w:val="20"/>
      <w:szCs w:val="20"/>
    </w:rPr>
  </w:style>
  <w:style w:type="character" w:customStyle="1" w:styleId="KommentartextZchn">
    <w:name w:val="Kommentartext Zchn"/>
    <w:link w:val="Kommentartext"/>
    <w:uiPriority w:val="99"/>
    <w:semiHidden/>
    <w:rsid w:val="00CA344B"/>
    <w:rPr>
      <w:lang w:eastAsia="ar-SA"/>
    </w:rPr>
  </w:style>
  <w:style w:type="paragraph" w:styleId="Kommentarthema">
    <w:name w:val="annotation subject"/>
    <w:basedOn w:val="Kommentartext"/>
    <w:next w:val="Kommentartext"/>
    <w:link w:val="KommentarthemaZchn"/>
    <w:uiPriority w:val="99"/>
    <w:semiHidden/>
    <w:unhideWhenUsed/>
    <w:rsid w:val="00CA344B"/>
    <w:rPr>
      <w:b/>
      <w:bCs/>
    </w:rPr>
  </w:style>
  <w:style w:type="character" w:customStyle="1" w:styleId="KommentarthemaZchn">
    <w:name w:val="Kommentarthema Zchn"/>
    <w:link w:val="Kommentarthema"/>
    <w:uiPriority w:val="99"/>
    <w:semiHidden/>
    <w:rsid w:val="00CA344B"/>
    <w:rPr>
      <w:b/>
      <w:bCs/>
      <w:lang w:eastAsia="ar-SA"/>
    </w:rPr>
  </w:style>
  <w:style w:type="character" w:customStyle="1" w:styleId="leftside">
    <w:name w:val="left_side"/>
    <w:basedOn w:val="Absatz-Standardschriftart"/>
    <w:rsid w:val="00233842"/>
  </w:style>
  <w:style w:type="paragraph" w:styleId="Listenabsatz">
    <w:name w:val="List Paragraph"/>
    <w:basedOn w:val="Standard"/>
    <w:uiPriority w:val="34"/>
    <w:qFormat/>
    <w:rsid w:val="00A328FA"/>
    <w:pPr>
      <w:ind w:left="720"/>
      <w:contextualSpacing/>
    </w:pPr>
  </w:style>
  <w:style w:type="character" w:customStyle="1" w:styleId="berschrift1Zchn">
    <w:name w:val="Überschrift 1 Zchn"/>
    <w:basedOn w:val="Absatz-Standardschriftart"/>
    <w:link w:val="berschrift1"/>
    <w:uiPriority w:val="9"/>
    <w:rsid w:val="00D210F6"/>
    <w:rPr>
      <w:b/>
      <w:bCs/>
      <w:kern w:val="36"/>
      <w:sz w:val="48"/>
      <w:szCs w:val="48"/>
    </w:rPr>
  </w:style>
  <w:style w:type="character" w:styleId="Fett">
    <w:name w:val="Strong"/>
    <w:basedOn w:val="Absatz-Standardschriftart"/>
    <w:uiPriority w:val="22"/>
    <w:qFormat/>
    <w:rsid w:val="00992C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line="100" w:lineRule="atLeast"/>
    </w:pPr>
    <w:rPr>
      <w:sz w:val="24"/>
      <w:szCs w:val="24"/>
      <w:lang w:eastAsia="ar-SA"/>
    </w:rPr>
  </w:style>
  <w:style w:type="paragraph" w:styleId="berschrift1">
    <w:name w:val="heading 1"/>
    <w:basedOn w:val="Standard"/>
    <w:link w:val="berschrift1Zchn"/>
    <w:uiPriority w:val="9"/>
    <w:qFormat/>
    <w:rsid w:val="00D210F6"/>
    <w:pPr>
      <w:suppressAutoHyphens w:val="0"/>
      <w:spacing w:before="100" w:beforeAutospacing="1" w:after="100" w:afterAutospacing="1" w:line="240" w:lineRule="auto"/>
      <w:outlineLvl w:val="0"/>
    </w:pPr>
    <w:rPr>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Hyperlink1">
    <w:name w:val="Hyperlink1"/>
    <w:rPr>
      <w:color w:val="0000FF"/>
      <w:u w:val="single"/>
    </w:rPr>
  </w:style>
  <w:style w:type="character" w:customStyle="1" w:styleId="Kommentarzeichen1">
    <w:name w:val="Kommentarzeichen1"/>
    <w:rPr>
      <w:sz w:val="16"/>
    </w:rPr>
  </w:style>
  <w:style w:type="character" w:customStyle="1" w:styleId="Fett1">
    <w:name w:val="Fett1"/>
    <w:rPr>
      <w:b/>
      <w:bCs/>
    </w:rPr>
  </w:style>
  <w:style w:type="character" w:styleId="HTMLAkronym">
    <w:name w:val="HTML Acronym"/>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eastAsia="Andale Sans UI" w:hAnsi="Arial" w:cs="Andale Sans UI"/>
      <w:sz w:val="26"/>
      <w:szCs w:val="28"/>
    </w:rPr>
  </w:style>
  <w:style w:type="paragraph" w:styleId="Textkrper">
    <w:name w:val="Body Text"/>
    <w:basedOn w:val="Standard"/>
    <w:pPr>
      <w:spacing w:after="120"/>
    </w:pPr>
  </w:style>
  <w:style w:type="paragraph" w:styleId="Liste">
    <w:name w:val="List"/>
    <w:basedOn w:val="Textkrper"/>
    <w:rPr>
      <w:rFonts w:ascii="Arial" w:hAnsi="Arial" w:cs="Andale Sans UI"/>
    </w:rPr>
  </w:style>
  <w:style w:type="paragraph" w:customStyle="1" w:styleId="Beschriftung1">
    <w:name w:val="Beschriftung1"/>
    <w:basedOn w:val="Standard"/>
    <w:pPr>
      <w:suppressLineNumbers/>
      <w:spacing w:before="120" w:after="120"/>
    </w:pPr>
    <w:rPr>
      <w:rFonts w:ascii="Arial" w:hAnsi="Arial" w:cs="Andale Sans UI"/>
      <w:i/>
      <w:iCs/>
      <w:sz w:val="22"/>
    </w:rPr>
  </w:style>
  <w:style w:type="paragraph" w:customStyle="1" w:styleId="Verzeichnis">
    <w:name w:val="Verzeichnis"/>
    <w:basedOn w:val="Standard"/>
    <w:pPr>
      <w:suppressLineNumbers/>
    </w:pPr>
    <w:rPr>
      <w:rFonts w:ascii="Arial" w:hAnsi="Arial" w:cs="Andale Sans UI"/>
    </w:rPr>
  </w:style>
  <w:style w:type="paragraph" w:customStyle="1" w:styleId="Default">
    <w:name w:val="Default"/>
    <w:pPr>
      <w:suppressAutoHyphens/>
      <w:autoSpaceDE w:val="0"/>
      <w:spacing w:line="100" w:lineRule="atLeast"/>
    </w:pPr>
    <w:rPr>
      <w:rFonts w:ascii="Arial" w:eastAsia="Arial" w:hAnsi="Arial" w:cs="Arial"/>
      <w:color w:val="000000"/>
      <w:sz w:val="24"/>
      <w:szCs w:val="24"/>
      <w:lang w:eastAsia="ar-SA"/>
    </w:rPr>
  </w:style>
  <w:style w:type="paragraph" w:customStyle="1" w:styleId="Kommentartext1">
    <w:name w:val="Kommentartext1"/>
    <w:basedOn w:val="Standard"/>
    <w:rPr>
      <w:sz w:val="20"/>
    </w:rPr>
  </w:style>
  <w:style w:type="paragraph" w:styleId="Sprechblasentext">
    <w:name w:val="Balloon Text"/>
    <w:basedOn w:val="Standard"/>
    <w:rPr>
      <w:rFonts w:ascii="Tahoma" w:hAnsi="Tahoma" w:cs="Andale Sans UI"/>
      <w:sz w:val="16"/>
      <w:szCs w:val="16"/>
    </w:rPr>
  </w:style>
  <w:style w:type="paragraph" w:styleId="StandardWeb">
    <w:name w:val="Normal (Web)"/>
    <w:basedOn w:val="Standard"/>
    <w:uiPriority w:val="99"/>
    <w:pPr>
      <w:spacing w:before="100" w:after="100"/>
    </w:pPr>
  </w:style>
  <w:style w:type="character" w:styleId="Kommentarzeichen">
    <w:name w:val="annotation reference"/>
    <w:uiPriority w:val="99"/>
    <w:semiHidden/>
    <w:unhideWhenUsed/>
    <w:rsid w:val="00CA344B"/>
    <w:rPr>
      <w:sz w:val="16"/>
      <w:szCs w:val="16"/>
    </w:rPr>
  </w:style>
  <w:style w:type="paragraph" w:styleId="Kommentartext">
    <w:name w:val="annotation text"/>
    <w:basedOn w:val="Standard"/>
    <w:link w:val="KommentartextZchn"/>
    <w:uiPriority w:val="99"/>
    <w:semiHidden/>
    <w:unhideWhenUsed/>
    <w:rsid w:val="00CA344B"/>
    <w:rPr>
      <w:sz w:val="20"/>
      <w:szCs w:val="20"/>
    </w:rPr>
  </w:style>
  <w:style w:type="character" w:customStyle="1" w:styleId="KommentartextZchn">
    <w:name w:val="Kommentartext Zchn"/>
    <w:link w:val="Kommentartext"/>
    <w:uiPriority w:val="99"/>
    <w:semiHidden/>
    <w:rsid w:val="00CA344B"/>
    <w:rPr>
      <w:lang w:eastAsia="ar-SA"/>
    </w:rPr>
  </w:style>
  <w:style w:type="paragraph" w:styleId="Kommentarthema">
    <w:name w:val="annotation subject"/>
    <w:basedOn w:val="Kommentartext"/>
    <w:next w:val="Kommentartext"/>
    <w:link w:val="KommentarthemaZchn"/>
    <w:uiPriority w:val="99"/>
    <w:semiHidden/>
    <w:unhideWhenUsed/>
    <w:rsid w:val="00CA344B"/>
    <w:rPr>
      <w:b/>
      <w:bCs/>
    </w:rPr>
  </w:style>
  <w:style w:type="character" w:customStyle="1" w:styleId="KommentarthemaZchn">
    <w:name w:val="Kommentarthema Zchn"/>
    <w:link w:val="Kommentarthema"/>
    <w:uiPriority w:val="99"/>
    <w:semiHidden/>
    <w:rsid w:val="00CA344B"/>
    <w:rPr>
      <w:b/>
      <w:bCs/>
      <w:lang w:eastAsia="ar-SA"/>
    </w:rPr>
  </w:style>
  <w:style w:type="character" w:customStyle="1" w:styleId="leftside">
    <w:name w:val="left_side"/>
    <w:basedOn w:val="Absatz-Standardschriftart"/>
    <w:rsid w:val="00233842"/>
  </w:style>
  <w:style w:type="paragraph" w:styleId="Listenabsatz">
    <w:name w:val="List Paragraph"/>
    <w:basedOn w:val="Standard"/>
    <w:uiPriority w:val="34"/>
    <w:qFormat/>
    <w:rsid w:val="00A328FA"/>
    <w:pPr>
      <w:ind w:left="720"/>
      <w:contextualSpacing/>
    </w:pPr>
  </w:style>
  <w:style w:type="character" w:customStyle="1" w:styleId="berschrift1Zchn">
    <w:name w:val="Überschrift 1 Zchn"/>
    <w:basedOn w:val="Absatz-Standardschriftart"/>
    <w:link w:val="berschrift1"/>
    <w:uiPriority w:val="9"/>
    <w:rsid w:val="00D210F6"/>
    <w:rPr>
      <w:b/>
      <w:bCs/>
      <w:kern w:val="36"/>
      <w:sz w:val="48"/>
      <w:szCs w:val="48"/>
    </w:rPr>
  </w:style>
  <w:style w:type="character" w:styleId="Fett">
    <w:name w:val="Strong"/>
    <w:basedOn w:val="Absatz-Standardschriftart"/>
    <w:uiPriority w:val="22"/>
    <w:qFormat/>
    <w:rsid w:val="00992C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0907">
      <w:bodyDiv w:val="1"/>
      <w:marLeft w:val="0"/>
      <w:marRight w:val="0"/>
      <w:marTop w:val="0"/>
      <w:marBottom w:val="0"/>
      <w:divBdr>
        <w:top w:val="none" w:sz="0" w:space="0" w:color="auto"/>
        <w:left w:val="none" w:sz="0" w:space="0" w:color="auto"/>
        <w:bottom w:val="none" w:sz="0" w:space="0" w:color="auto"/>
        <w:right w:val="none" w:sz="0" w:space="0" w:color="auto"/>
      </w:divBdr>
    </w:div>
    <w:div w:id="156383410">
      <w:bodyDiv w:val="1"/>
      <w:marLeft w:val="0"/>
      <w:marRight w:val="0"/>
      <w:marTop w:val="0"/>
      <w:marBottom w:val="0"/>
      <w:divBdr>
        <w:top w:val="none" w:sz="0" w:space="0" w:color="auto"/>
        <w:left w:val="none" w:sz="0" w:space="0" w:color="auto"/>
        <w:bottom w:val="none" w:sz="0" w:space="0" w:color="auto"/>
        <w:right w:val="none" w:sz="0" w:space="0" w:color="auto"/>
      </w:divBdr>
    </w:div>
    <w:div w:id="737898313">
      <w:bodyDiv w:val="1"/>
      <w:marLeft w:val="0"/>
      <w:marRight w:val="0"/>
      <w:marTop w:val="0"/>
      <w:marBottom w:val="0"/>
      <w:divBdr>
        <w:top w:val="none" w:sz="0" w:space="0" w:color="auto"/>
        <w:left w:val="none" w:sz="0" w:space="0" w:color="auto"/>
        <w:bottom w:val="none" w:sz="0" w:space="0" w:color="auto"/>
        <w:right w:val="none" w:sz="0" w:space="0" w:color="auto"/>
      </w:divBdr>
      <w:divsChild>
        <w:div w:id="1617636006">
          <w:marLeft w:val="0"/>
          <w:marRight w:val="0"/>
          <w:marTop w:val="0"/>
          <w:marBottom w:val="0"/>
          <w:divBdr>
            <w:top w:val="none" w:sz="0" w:space="0" w:color="auto"/>
            <w:left w:val="none" w:sz="0" w:space="0" w:color="auto"/>
            <w:bottom w:val="none" w:sz="0" w:space="0" w:color="auto"/>
            <w:right w:val="none" w:sz="0" w:space="0" w:color="auto"/>
          </w:divBdr>
          <w:divsChild>
            <w:div w:id="1352105667">
              <w:marLeft w:val="0"/>
              <w:marRight w:val="0"/>
              <w:marTop w:val="0"/>
              <w:marBottom w:val="0"/>
              <w:divBdr>
                <w:top w:val="none" w:sz="0" w:space="0" w:color="auto"/>
                <w:left w:val="none" w:sz="0" w:space="0" w:color="auto"/>
                <w:bottom w:val="none" w:sz="0" w:space="0" w:color="auto"/>
                <w:right w:val="none" w:sz="0" w:space="0" w:color="auto"/>
              </w:divBdr>
            </w:div>
            <w:div w:id="10235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77165">
      <w:bodyDiv w:val="1"/>
      <w:marLeft w:val="0"/>
      <w:marRight w:val="0"/>
      <w:marTop w:val="0"/>
      <w:marBottom w:val="0"/>
      <w:divBdr>
        <w:top w:val="none" w:sz="0" w:space="0" w:color="auto"/>
        <w:left w:val="none" w:sz="0" w:space="0" w:color="auto"/>
        <w:bottom w:val="none" w:sz="0" w:space="0" w:color="auto"/>
        <w:right w:val="none" w:sz="0" w:space="0" w:color="auto"/>
      </w:divBdr>
      <w:divsChild>
        <w:div w:id="1989624828">
          <w:marLeft w:val="0"/>
          <w:marRight w:val="0"/>
          <w:marTop w:val="0"/>
          <w:marBottom w:val="0"/>
          <w:divBdr>
            <w:top w:val="none" w:sz="0" w:space="0" w:color="auto"/>
            <w:left w:val="none" w:sz="0" w:space="0" w:color="auto"/>
            <w:bottom w:val="none" w:sz="0" w:space="0" w:color="auto"/>
            <w:right w:val="none" w:sz="0" w:space="0" w:color="auto"/>
          </w:divBdr>
        </w:div>
        <w:div w:id="697773718">
          <w:marLeft w:val="0"/>
          <w:marRight w:val="0"/>
          <w:marTop w:val="0"/>
          <w:marBottom w:val="0"/>
          <w:divBdr>
            <w:top w:val="none" w:sz="0" w:space="0" w:color="auto"/>
            <w:left w:val="none" w:sz="0" w:space="0" w:color="auto"/>
            <w:bottom w:val="none" w:sz="0" w:space="0" w:color="auto"/>
            <w:right w:val="none" w:sz="0" w:space="0" w:color="auto"/>
          </w:divBdr>
        </w:div>
      </w:divsChild>
    </w:div>
    <w:div w:id="1162770894">
      <w:bodyDiv w:val="1"/>
      <w:marLeft w:val="0"/>
      <w:marRight w:val="0"/>
      <w:marTop w:val="0"/>
      <w:marBottom w:val="0"/>
      <w:divBdr>
        <w:top w:val="none" w:sz="0" w:space="0" w:color="auto"/>
        <w:left w:val="none" w:sz="0" w:space="0" w:color="auto"/>
        <w:bottom w:val="none" w:sz="0" w:space="0" w:color="auto"/>
        <w:right w:val="none" w:sz="0" w:space="0" w:color="auto"/>
      </w:divBdr>
      <w:divsChild>
        <w:div w:id="1316957759">
          <w:marLeft w:val="0"/>
          <w:marRight w:val="0"/>
          <w:marTop w:val="0"/>
          <w:marBottom w:val="0"/>
          <w:divBdr>
            <w:top w:val="none" w:sz="0" w:space="0" w:color="auto"/>
            <w:left w:val="none" w:sz="0" w:space="0" w:color="auto"/>
            <w:bottom w:val="none" w:sz="0" w:space="0" w:color="auto"/>
            <w:right w:val="none" w:sz="0" w:space="0" w:color="auto"/>
          </w:divBdr>
          <w:divsChild>
            <w:div w:id="387849811">
              <w:marLeft w:val="0"/>
              <w:marRight w:val="0"/>
              <w:marTop w:val="0"/>
              <w:marBottom w:val="0"/>
              <w:divBdr>
                <w:top w:val="none" w:sz="0" w:space="0" w:color="auto"/>
                <w:left w:val="none" w:sz="0" w:space="0" w:color="auto"/>
                <w:bottom w:val="none" w:sz="0" w:space="0" w:color="auto"/>
                <w:right w:val="none" w:sz="0" w:space="0" w:color="auto"/>
              </w:divBdr>
            </w:div>
            <w:div w:id="14745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88477">
      <w:bodyDiv w:val="1"/>
      <w:marLeft w:val="0"/>
      <w:marRight w:val="0"/>
      <w:marTop w:val="0"/>
      <w:marBottom w:val="0"/>
      <w:divBdr>
        <w:top w:val="none" w:sz="0" w:space="0" w:color="auto"/>
        <w:left w:val="none" w:sz="0" w:space="0" w:color="auto"/>
        <w:bottom w:val="none" w:sz="0" w:space="0" w:color="auto"/>
        <w:right w:val="none" w:sz="0" w:space="0" w:color="auto"/>
      </w:divBdr>
    </w:div>
    <w:div w:id="1472793789">
      <w:bodyDiv w:val="1"/>
      <w:marLeft w:val="0"/>
      <w:marRight w:val="0"/>
      <w:marTop w:val="0"/>
      <w:marBottom w:val="0"/>
      <w:divBdr>
        <w:top w:val="none" w:sz="0" w:space="0" w:color="auto"/>
        <w:left w:val="none" w:sz="0" w:space="0" w:color="auto"/>
        <w:bottom w:val="none" w:sz="0" w:space="0" w:color="auto"/>
        <w:right w:val="none" w:sz="0" w:space="0" w:color="auto"/>
      </w:divBdr>
      <w:divsChild>
        <w:div w:id="338775948">
          <w:marLeft w:val="0"/>
          <w:marRight w:val="0"/>
          <w:marTop w:val="0"/>
          <w:marBottom w:val="0"/>
          <w:divBdr>
            <w:top w:val="none" w:sz="0" w:space="0" w:color="auto"/>
            <w:left w:val="none" w:sz="0" w:space="0" w:color="auto"/>
            <w:bottom w:val="none" w:sz="0" w:space="0" w:color="auto"/>
            <w:right w:val="none" w:sz="0" w:space="0" w:color="auto"/>
          </w:divBdr>
          <w:divsChild>
            <w:div w:id="1208253601">
              <w:marLeft w:val="0"/>
              <w:marRight w:val="0"/>
              <w:marTop w:val="0"/>
              <w:marBottom w:val="0"/>
              <w:divBdr>
                <w:top w:val="none" w:sz="0" w:space="0" w:color="auto"/>
                <w:left w:val="none" w:sz="0" w:space="0" w:color="auto"/>
                <w:bottom w:val="none" w:sz="0" w:space="0" w:color="auto"/>
                <w:right w:val="none" w:sz="0" w:space="0" w:color="auto"/>
              </w:divBdr>
            </w:div>
            <w:div w:id="117349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6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 TargetMode="External"/><Relationship Id="rId3" Type="http://schemas.openxmlformats.org/officeDocument/2006/relationships/styles" Target="styles.xml"/><Relationship Id="rId7" Type="http://schemas.openxmlformats.org/officeDocument/2006/relationships/hyperlink" Target="http://creativecommons.org/licenses/by-nc-nd/3.0/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E54C0-52CE-4F2C-9456-439D48B85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4788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Fakten</vt:lpstr>
    </vt:vector>
  </TitlesOfParts>
  <Company>BPB</Company>
  <LinksUpToDate>false</LinksUpToDate>
  <CharactersWithSpaces>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Fakten</dc:title>
  <dc:creator>Fossi</dc:creator>
  <cp:lastModifiedBy>Christian Hartmann</cp:lastModifiedBy>
  <cp:revision>6</cp:revision>
  <cp:lastPrinted>2112-12-31T22:00:00Z</cp:lastPrinted>
  <dcterms:created xsi:type="dcterms:W3CDTF">2019-01-25T09:30:00Z</dcterms:created>
  <dcterms:modified xsi:type="dcterms:W3CDTF">2019-02-25T09:37:00Z</dcterms:modified>
</cp:coreProperties>
</file>