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5347A" w14:textId="595514F7" w:rsidR="00F81EEF" w:rsidRPr="00F81EEF" w:rsidRDefault="00F81EEF" w:rsidP="00F81EEF">
      <w:pPr>
        <w:rPr>
          <w:rFonts w:ascii="Arial" w:hAnsi="Arial" w:cs="Arial"/>
          <w:b/>
          <w:color w:val="363636"/>
          <w:shd w:val="clear" w:color="auto" w:fill="FFFFFF"/>
        </w:rPr>
      </w:pPr>
      <w:bookmarkStart w:id="0" w:name="_GoBack"/>
      <w:bookmarkEnd w:id="0"/>
      <w:r w:rsidRPr="00476543">
        <w:rPr>
          <w:rFonts w:ascii="Arial" w:hAnsi="Arial" w:cs="Arial"/>
          <w:b/>
          <w:color w:val="363636"/>
          <w:shd w:val="clear" w:color="auto" w:fill="FFFFFF"/>
        </w:rPr>
        <w:t>Aufgrund der sich nur relativ langsam verändernden Arbeitslosenzahlen kann schnell übersehen werde</w:t>
      </w:r>
      <w:r w:rsidR="00476543" w:rsidRPr="00476543">
        <w:rPr>
          <w:rFonts w:ascii="Arial" w:hAnsi="Arial" w:cs="Arial"/>
          <w:b/>
          <w:color w:val="363636"/>
          <w:shd w:val="clear" w:color="auto" w:fill="FFFFFF"/>
        </w:rPr>
        <w:t>n</w:t>
      </w:r>
      <w:r w:rsidRPr="00476543">
        <w:rPr>
          <w:rFonts w:ascii="Arial" w:hAnsi="Arial" w:cs="Arial"/>
          <w:b/>
          <w:color w:val="363636"/>
          <w:shd w:val="clear" w:color="auto" w:fill="FFFFFF"/>
        </w:rPr>
        <w:t>, dass es sich bei de</w:t>
      </w:r>
      <w:r w:rsidR="001332BD">
        <w:rPr>
          <w:rFonts w:ascii="Arial" w:hAnsi="Arial" w:cs="Arial"/>
          <w:b/>
          <w:color w:val="363636"/>
          <w:shd w:val="clear" w:color="auto" w:fill="FFFFFF"/>
        </w:rPr>
        <w:t>n</w:t>
      </w:r>
      <w:r w:rsidRPr="00476543">
        <w:rPr>
          <w:rFonts w:ascii="Arial" w:hAnsi="Arial" w:cs="Arial"/>
          <w:b/>
          <w:color w:val="363636"/>
          <w:shd w:val="clear" w:color="auto" w:fill="FFFFFF"/>
        </w:rPr>
        <w:t xml:space="preserve"> Arbeitslosen nicht um eine statische Gruppe handelt</w:t>
      </w:r>
      <w:r w:rsidR="00476543" w:rsidRPr="00476543">
        <w:rPr>
          <w:rFonts w:ascii="Arial" w:hAnsi="Arial" w:cs="Arial"/>
          <w:b/>
          <w:color w:val="363636"/>
          <w:shd w:val="clear" w:color="auto" w:fill="FFFFFF"/>
        </w:rPr>
        <w:t xml:space="preserve">. </w:t>
      </w:r>
      <w:r w:rsidR="00664B0D">
        <w:rPr>
          <w:rFonts w:ascii="Arial" w:hAnsi="Arial" w:cs="Arial"/>
          <w:b/>
          <w:color w:val="363636"/>
          <w:shd w:val="clear" w:color="auto" w:fill="FFFFFF"/>
        </w:rPr>
        <w:t xml:space="preserve">Im Gegenteil gibt es jedes Jahr Millionen Zu- und Abgänge. </w:t>
      </w:r>
      <w:r w:rsidR="00476543" w:rsidRPr="00476543">
        <w:rPr>
          <w:rFonts w:ascii="Arial" w:hAnsi="Arial" w:cs="Arial"/>
          <w:b/>
          <w:color w:val="363636"/>
          <w:shd w:val="clear" w:color="auto" w:fill="FFFFFF"/>
        </w:rPr>
        <w:t xml:space="preserve">So war beispielsweise zum </w:t>
      </w:r>
      <w:r w:rsidR="00476543" w:rsidRPr="00F81EEF">
        <w:rPr>
          <w:rFonts w:ascii="Arial" w:hAnsi="Arial" w:cs="Arial"/>
          <w:b/>
          <w:color w:val="363636"/>
          <w:shd w:val="clear" w:color="auto" w:fill="FFFFFF"/>
        </w:rPr>
        <w:t xml:space="preserve">Zeitpunkt </w:t>
      </w:r>
      <w:r w:rsidR="00476543">
        <w:rPr>
          <w:rFonts w:ascii="Arial" w:hAnsi="Arial" w:cs="Arial"/>
          <w:b/>
          <w:color w:val="363636"/>
          <w:shd w:val="clear" w:color="auto" w:fill="FFFFFF"/>
        </w:rPr>
        <w:t>einer</w:t>
      </w:r>
      <w:r w:rsidR="00476543" w:rsidRPr="00F81EEF">
        <w:rPr>
          <w:rFonts w:ascii="Arial" w:hAnsi="Arial" w:cs="Arial"/>
          <w:b/>
          <w:color w:val="363636"/>
          <w:shd w:val="clear" w:color="auto" w:fill="FFFFFF"/>
        </w:rPr>
        <w:t xml:space="preserve"> Erhebung </w:t>
      </w:r>
      <w:r w:rsidR="00476543">
        <w:rPr>
          <w:rFonts w:ascii="Arial" w:hAnsi="Arial" w:cs="Arial"/>
          <w:b/>
          <w:color w:val="363636"/>
          <w:shd w:val="clear" w:color="auto" w:fill="FFFFFF"/>
        </w:rPr>
        <w:t xml:space="preserve">von Eurostat </w:t>
      </w:r>
      <w:r w:rsidR="00476543" w:rsidRPr="00F81EEF">
        <w:rPr>
          <w:rFonts w:ascii="Arial" w:hAnsi="Arial" w:cs="Arial"/>
          <w:b/>
          <w:color w:val="363636"/>
          <w:shd w:val="clear" w:color="auto" w:fill="FFFFFF"/>
        </w:rPr>
        <w:t>im Jahr 2017</w:t>
      </w:r>
      <w:r w:rsidR="00476543">
        <w:rPr>
          <w:rFonts w:ascii="Arial" w:hAnsi="Arial" w:cs="Arial"/>
          <w:b/>
          <w:color w:val="363636"/>
          <w:shd w:val="clear" w:color="auto" w:fill="FFFFFF"/>
        </w:rPr>
        <w:t xml:space="preserve"> von </w:t>
      </w:r>
      <w:r w:rsidRPr="00F81EEF">
        <w:rPr>
          <w:rFonts w:ascii="Arial" w:hAnsi="Arial" w:cs="Arial"/>
          <w:b/>
          <w:color w:val="363636"/>
          <w:shd w:val="clear" w:color="auto" w:fill="FFFFFF"/>
        </w:rPr>
        <w:t>18,8 Millionen Arbeitslose</w:t>
      </w:r>
      <w:r w:rsidR="00476543">
        <w:rPr>
          <w:rFonts w:ascii="Arial" w:hAnsi="Arial" w:cs="Arial"/>
          <w:b/>
          <w:color w:val="363636"/>
          <w:shd w:val="clear" w:color="auto" w:fill="FFFFFF"/>
        </w:rPr>
        <w:t xml:space="preserve">n </w:t>
      </w:r>
      <w:r w:rsidRPr="00F81EEF">
        <w:rPr>
          <w:rFonts w:ascii="Arial" w:hAnsi="Arial" w:cs="Arial"/>
          <w:b/>
          <w:color w:val="363636"/>
          <w:shd w:val="clear" w:color="auto" w:fill="FFFFFF"/>
        </w:rPr>
        <w:t>rund ein Viertel weniger als 3 Monate lang arbeitslos</w:t>
      </w:r>
      <w:r w:rsidR="00476543">
        <w:rPr>
          <w:rFonts w:ascii="Arial" w:hAnsi="Arial" w:cs="Arial"/>
          <w:b/>
          <w:color w:val="363636"/>
          <w:shd w:val="clear" w:color="auto" w:fill="FFFFFF"/>
        </w:rPr>
        <w:t xml:space="preserve">. Bei </w:t>
      </w:r>
      <w:r w:rsidRPr="00F81EEF">
        <w:rPr>
          <w:rFonts w:ascii="Arial" w:hAnsi="Arial" w:cs="Arial"/>
          <w:b/>
          <w:color w:val="363636"/>
          <w:shd w:val="clear" w:color="auto" w:fill="FFFFFF"/>
        </w:rPr>
        <w:t xml:space="preserve">29,6 Prozent waren es 3 bis 11 Monate. </w:t>
      </w:r>
      <w:r w:rsidR="00476543">
        <w:rPr>
          <w:rFonts w:ascii="Arial" w:hAnsi="Arial" w:cs="Arial"/>
          <w:b/>
          <w:color w:val="363636"/>
          <w:shd w:val="clear" w:color="auto" w:fill="FFFFFF"/>
        </w:rPr>
        <w:t>24 Monate oder länger waren</w:t>
      </w:r>
      <w:r w:rsidR="00476543" w:rsidRPr="00476543">
        <w:rPr>
          <w:rFonts w:ascii="Arial" w:hAnsi="Arial" w:cs="Arial"/>
          <w:b/>
          <w:color w:val="363636"/>
          <w:shd w:val="clear" w:color="auto" w:fill="FFFFFF"/>
        </w:rPr>
        <w:t xml:space="preserve"> </w:t>
      </w:r>
      <w:r w:rsidR="00476543" w:rsidRPr="00F81EEF">
        <w:rPr>
          <w:rFonts w:ascii="Arial" w:hAnsi="Arial" w:cs="Arial"/>
          <w:b/>
          <w:color w:val="363636"/>
          <w:shd w:val="clear" w:color="auto" w:fill="FFFFFF"/>
        </w:rPr>
        <w:t>EU-</w:t>
      </w:r>
      <w:r w:rsidR="00476543">
        <w:rPr>
          <w:rFonts w:ascii="Arial" w:hAnsi="Arial" w:cs="Arial"/>
          <w:b/>
          <w:color w:val="363636"/>
          <w:shd w:val="clear" w:color="auto" w:fill="FFFFFF"/>
        </w:rPr>
        <w:t xml:space="preserve">weit </w:t>
      </w:r>
      <w:r w:rsidR="00476543" w:rsidRPr="00F81EEF">
        <w:rPr>
          <w:rFonts w:ascii="Arial" w:hAnsi="Arial" w:cs="Arial"/>
          <w:b/>
          <w:color w:val="363636"/>
          <w:shd w:val="clear" w:color="auto" w:fill="FFFFFF"/>
        </w:rPr>
        <w:t>28,1 Prozent arbeitslos</w:t>
      </w:r>
      <w:r w:rsidR="00476543">
        <w:rPr>
          <w:rFonts w:ascii="Arial" w:hAnsi="Arial" w:cs="Arial"/>
          <w:b/>
          <w:color w:val="363636"/>
          <w:shd w:val="clear" w:color="auto" w:fill="FFFFFF"/>
        </w:rPr>
        <w:t xml:space="preserve">. Während </w:t>
      </w:r>
      <w:r w:rsidRPr="00F81EEF">
        <w:rPr>
          <w:rFonts w:ascii="Arial" w:hAnsi="Arial" w:cs="Arial"/>
          <w:b/>
          <w:color w:val="363636"/>
          <w:shd w:val="clear" w:color="auto" w:fill="FFFFFF"/>
        </w:rPr>
        <w:t xml:space="preserve">bei der Dauer der Arbeitslosigkeit </w:t>
      </w:r>
      <w:r w:rsidR="00476543">
        <w:rPr>
          <w:rFonts w:ascii="Arial" w:hAnsi="Arial" w:cs="Arial"/>
          <w:b/>
          <w:color w:val="363636"/>
          <w:shd w:val="clear" w:color="auto" w:fill="FFFFFF"/>
        </w:rPr>
        <w:t xml:space="preserve">die </w:t>
      </w:r>
      <w:r w:rsidRPr="00F81EEF">
        <w:rPr>
          <w:rFonts w:ascii="Arial" w:hAnsi="Arial" w:cs="Arial"/>
          <w:b/>
          <w:color w:val="363636"/>
          <w:shd w:val="clear" w:color="auto" w:fill="FFFFFF"/>
        </w:rPr>
        <w:t>Unterschiede zwischen den Geschlechtern</w:t>
      </w:r>
      <w:r w:rsidR="00476543">
        <w:rPr>
          <w:rFonts w:ascii="Arial" w:hAnsi="Arial" w:cs="Arial"/>
          <w:b/>
          <w:color w:val="363636"/>
          <w:shd w:val="clear" w:color="auto" w:fill="FFFFFF"/>
        </w:rPr>
        <w:t xml:space="preserve"> gering sind, sind sie zwischen </w:t>
      </w:r>
      <w:r w:rsidRPr="00F81EEF">
        <w:rPr>
          <w:rFonts w:ascii="Arial" w:hAnsi="Arial" w:cs="Arial"/>
          <w:b/>
          <w:color w:val="363636"/>
          <w:shd w:val="clear" w:color="auto" w:fill="FFFFFF"/>
        </w:rPr>
        <w:t xml:space="preserve">den einzelnen </w:t>
      </w:r>
      <w:r w:rsidR="00900B96">
        <w:rPr>
          <w:rFonts w:ascii="Arial" w:hAnsi="Arial" w:cs="Arial"/>
          <w:b/>
          <w:color w:val="363636"/>
          <w:shd w:val="clear" w:color="auto" w:fill="FFFFFF"/>
        </w:rPr>
        <w:t>EU-</w:t>
      </w:r>
      <w:r w:rsidRPr="00F81EEF">
        <w:rPr>
          <w:rFonts w:ascii="Arial" w:hAnsi="Arial" w:cs="Arial"/>
          <w:b/>
          <w:color w:val="363636"/>
          <w:shd w:val="clear" w:color="auto" w:fill="FFFFFF"/>
        </w:rPr>
        <w:t xml:space="preserve">Mitgliedstaaten </w:t>
      </w:r>
      <w:r w:rsidR="00476543">
        <w:rPr>
          <w:rFonts w:ascii="Arial" w:hAnsi="Arial" w:cs="Arial"/>
          <w:b/>
          <w:color w:val="363636"/>
          <w:shd w:val="clear" w:color="auto" w:fill="FFFFFF"/>
        </w:rPr>
        <w:t xml:space="preserve">umso größer. So waren </w:t>
      </w:r>
      <w:r w:rsidRPr="00F81EEF">
        <w:rPr>
          <w:rFonts w:ascii="Arial" w:hAnsi="Arial" w:cs="Arial"/>
          <w:b/>
          <w:color w:val="363636"/>
          <w:shd w:val="clear" w:color="auto" w:fill="FFFFFF"/>
        </w:rPr>
        <w:t xml:space="preserve">2017 in Griechenland 52,5 Prozent der Arbeitslosen bereits 24 Monate oder länger arbeitslos. Darauf folgten die Slowakei (45,0 Prozent), Italien (38,4 Prozent) und Bulgarien (36,4 Prozent). Auf der anderen Seite </w:t>
      </w:r>
      <w:r w:rsidR="00476543">
        <w:rPr>
          <w:rFonts w:ascii="Arial" w:hAnsi="Arial" w:cs="Arial"/>
          <w:b/>
          <w:color w:val="363636"/>
          <w:shd w:val="clear" w:color="auto" w:fill="FFFFFF"/>
        </w:rPr>
        <w:t xml:space="preserve">standen </w:t>
      </w:r>
      <w:r w:rsidRPr="00F81EEF">
        <w:rPr>
          <w:rFonts w:ascii="Arial" w:hAnsi="Arial" w:cs="Arial"/>
          <w:b/>
          <w:color w:val="363636"/>
          <w:shd w:val="clear" w:color="auto" w:fill="FFFFFF"/>
        </w:rPr>
        <w:t>Schweden (8,0 Prozent)</w:t>
      </w:r>
      <w:r w:rsidR="00476543">
        <w:rPr>
          <w:rFonts w:ascii="Arial" w:hAnsi="Arial" w:cs="Arial"/>
          <w:b/>
          <w:color w:val="363636"/>
          <w:shd w:val="clear" w:color="auto" w:fill="FFFFFF"/>
        </w:rPr>
        <w:t xml:space="preserve"> und </w:t>
      </w:r>
      <w:r w:rsidRPr="00F81EEF">
        <w:rPr>
          <w:rFonts w:ascii="Arial" w:hAnsi="Arial" w:cs="Arial"/>
          <w:b/>
          <w:color w:val="363636"/>
          <w:shd w:val="clear" w:color="auto" w:fill="FFFFFF"/>
        </w:rPr>
        <w:t>Dänemark (9,0 Prozent).</w:t>
      </w:r>
    </w:p>
    <w:p w14:paraId="70A69CBB" w14:textId="77777777" w:rsidR="005B11AC" w:rsidRDefault="005B11AC">
      <w:pPr>
        <w:rPr>
          <w:rStyle w:val="Absatz-Standardschriftart1"/>
          <w:rFonts w:ascii="Arial" w:hAnsi="Arial"/>
          <w:color w:val="FF0000"/>
        </w:rPr>
      </w:pPr>
    </w:p>
    <w:p w14:paraId="2E19F284" w14:textId="34798340" w:rsidR="00192110" w:rsidRPr="00192110" w:rsidRDefault="005E1DB7">
      <w:r w:rsidRPr="00345F0E">
        <w:rPr>
          <w:rStyle w:val="Absatz-Standardschriftart1"/>
          <w:rFonts w:ascii="Arial" w:hAnsi="Arial"/>
          <w:color w:val="FF0000"/>
        </w:rPr>
        <w:t>Fakten</w:t>
      </w:r>
    </w:p>
    <w:p w14:paraId="34AD0B29" w14:textId="77777777" w:rsidR="00192110" w:rsidRPr="00FF4928" w:rsidRDefault="00192110" w:rsidP="000276F6">
      <w:pPr>
        <w:rPr>
          <w:rFonts w:ascii="Arial" w:hAnsi="Arial" w:cs="Arial"/>
          <w:color w:val="363636"/>
          <w:shd w:val="clear" w:color="auto" w:fill="FFFFFF"/>
        </w:rPr>
      </w:pPr>
    </w:p>
    <w:p w14:paraId="3ED52994" w14:textId="12765B2A" w:rsidR="002F089A" w:rsidRPr="00F9239D" w:rsidRDefault="00992CA9" w:rsidP="000276F6">
      <w:pPr>
        <w:rPr>
          <w:rFonts w:ascii="Arial" w:hAnsi="Arial" w:cs="Arial"/>
          <w:color w:val="363636"/>
          <w:shd w:val="clear" w:color="auto" w:fill="FFFFFF"/>
        </w:rPr>
      </w:pPr>
      <w:r w:rsidRPr="00FF4928">
        <w:rPr>
          <w:rFonts w:ascii="Arial" w:hAnsi="Arial" w:cs="Arial"/>
          <w:color w:val="363636"/>
          <w:shd w:val="clear" w:color="auto" w:fill="FFFFFF"/>
        </w:rPr>
        <w:t xml:space="preserve">In der Statistik zur Dauer der Arbeitslosigkeit auf der Ebene der Europäischen Union (EU) erfasste Eurostat </w:t>
      </w:r>
      <w:r w:rsidR="00FF4928" w:rsidRPr="00FF4928">
        <w:rPr>
          <w:rFonts w:ascii="Arial" w:hAnsi="Arial" w:cs="Arial"/>
          <w:color w:val="363636"/>
          <w:shd w:val="clear" w:color="auto" w:fill="FFFFFF"/>
        </w:rPr>
        <w:t xml:space="preserve">18,8 </w:t>
      </w:r>
      <w:r w:rsidRPr="00FF4928">
        <w:rPr>
          <w:rFonts w:ascii="Arial" w:hAnsi="Arial" w:cs="Arial"/>
          <w:color w:val="363636"/>
          <w:shd w:val="clear" w:color="auto" w:fill="FFFFFF"/>
        </w:rPr>
        <w:t>Millionen Arbeitslose</w:t>
      </w:r>
      <w:r w:rsidR="00EC6873" w:rsidRPr="00FF4928">
        <w:rPr>
          <w:rFonts w:ascii="Arial" w:hAnsi="Arial" w:cs="Arial"/>
          <w:color w:val="363636"/>
          <w:shd w:val="clear" w:color="auto" w:fill="FFFFFF"/>
        </w:rPr>
        <w:t xml:space="preserve"> für das Jahr 2017</w:t>
      </w:r>
      <w:r w:rsidRPr="00FF4928">
        <w:rPr>
          <w:rFonts w:ascii="Arial" w:hAnsi="Arial" w:cs="Arial"/>
          <w:color w:val="363636"/>
          <w:shd w:val="clear" w:color="auto" w:fill="FFFFFF"/>
        </w:rPr>
        <w:t xml:space="preserve">. Von diesen war zum Zeitpunkt der Erhebung </w:t>
      </w:r>
      <w:r w:rsidR="00FF4928" w:rsidRPr="00FF4928">
        <w:rPr>
          <w:rFonts w:ascii="Arial" w:hAnsi="Arial" w:cs="Arial"/>
          <w:color w:val="363636"/>
          <w:shd w:val="clear" w:color="auto" w:fill="FFFFFF"/>
        </w:rPr>
        <w:t xml:space="preserve">rund </w:t>
      </w:r>
      <w:r w:rsidRPr="00FF4928">
        <w:rPr>
          <w:rFonts w:ascii="Arial" w:hAnsi="Arial" w:cs="Arial"/>
          <w:color w:val="363636"/>
          <w:shd w:val="clear" w:color="auto" w:fill="FFFFFF"/>
        </w:rPr>
        <w:t>ein Viertel weniger als 3 Monate lang arbeitslos (24,</w:t>
      </w:r>
      <w:r w:rsidR="00FF4928" w:rsidRPr="00FF4928">
        <w:rPr>
          <w:rFonts w:ascii="Arial" w:hAnsi="Arial" w:cs="Arial"/>
          <w:color w:val="363636"/>
          <w:shd w:val="clear" w:color="auto" w:fill="FFFFFF"/>
        </w:rPr>
        <w:t>8</w:t>
      </w:r>
      <w:r w:rsidRPr="00FF4928">
        <w:rPr>
          <w:rFonts w:ascii="Arial" w:hAnsi="Arial" w:cs="Arial"/>
          <w:color w:val="363636"/>
          <w:shd w:val="clear" w:color="auto" w:fill="FFFFFF"/>
        </w:rPr>
        <w:t xml:space="preserve"> Prozent). </w:t>
      </w:r>
      <w:r w:rsidR="00FF4928" w:rsidRPr="00FF4928">
        <w:rPr>
          <w:rFonts w:ascii="Arial" w:hAnsi="Arial" w:cs="Arial"/>
          <w:color w:val="363636"/>
          <w:shd w:val="clear" w:color="auto" w:fill="FFFFFF"/>
        </w:rPr>
        <w:t xml:space="preserve">Bei 29,6 Prozent </w:t>
      </w:r>
      <w:r w:rsidRPr="00FF4928">
        <w:rPr>
          <w:rFonts w:ascii="Arial" w:hAnsi="Arial" w:cs="Arial"/>
          <w:color w:val="363636"/>
          <w:shd w:val="clear" w:color="auto" w:fill="FFFFFF"/>
        </w:rPr>
        <w:t xml:space="preserve">waren es 3 bis 11 Monate. </w:t>
      </w:r>
      <w:r w:rsidR="00FF4928" w:rsidRPr="00FF4928">
        <w:rPr>
          <w:rFonts w:ascii="Arial" w:hAnsi="Arial" w:cs="Arial"/>
          <w:color w:val="363636"/>
          <w:shd w:val="clear" w:color="auto" w:fill="FFFFFF"/>
        </w:rPr>
        <w:t xml:space="preserve">Rund </w:t>
      </w:r>
      <w:r w:rsidRPr="00FF4928">
        <w:rPr>
          <w:rFonts w:ascii="Arial" w:hAnsi="Arial" w:cs="Arial"/>
          <w:color w:val="363636"/>
          <w:shd w:val="clear" w:color="auto" w:fill="FFFFFF"/>
        </w:rPr>
        <w:t xml:space="preserve">ein </w:t>
      </w:r>
      <w:r w:rsidR="00FF4928" w:rsidRPr="00FF4928">
        <w:rPr>
          <w:rFonts w:ascii="Arial" w:hAnsi="Arial" w:cs="Arial"/>
          <w:color w:val="363636"/>
          <w:shd w:val="clear" w:color="auto" w:fill="FFFFFF"/>
        </w:rPr>
        <w:t xml:space="preserve">Sechstel </w:t>
      </w:r>
      <w:r w:rsidRPr="00FF4928">
        <w:rPr>
          <w:rFonts w:ascii="Arial" w:hAnsi="Arial" w:cs="Arial"/>
          <w:color w:val="363636"/>
          <w:shd w:val="clear" w:color="auto" w:fill="FFFFFF"/>
        </w:rPr>
        <w:t>der Arbeitslosen war 12 bis 23 Monate arbeitslos (</w:t>
      </w:r>
      <w:r w:rsidR="00FF4928" w:rsidRPr="00FF4928">
        <w:rPr>
          <w:rFonts w:ascii="Arial" w:hAnsi="Arial" w:cs="Arial"/>
          <w:color w:val="363636"/>
          <w:shd w:val="clear" w:color="auto" w:fill="FFFFFF"/>
        </w:rPr>
        <w:t>16</w:t>
      </w:r>
      <w:r w:rsidRPr="00FF4928">
        <w:rPr>
          <w:rFonts w:ascii="Arial" w:hAnsi="Arial" w:cs="Arial"/>
          <w:color w:val="363636"/>
          <w:shd w:val="clear" w:color="auto" w:fill="FFFFFF"/>
        </w:rPr>
        <w:t>,</w:t>
      </w:r>
      <w:r w:rsidR="00FF4928" w:rsidRPr="00FF4928">
        <w:rPr>
          <w:rFonts w:ascii="Arial" w:hAnsi="Arial" w:cs="Arial"/>
          <w:color w:val="363636"/>
          <w:shd w:val="clear" w:color="auto" w:fill="FFFFFF"/>
        </w:rPr>
        <w:t>9</w:t>
      </w:r>
      <w:r w:rsidRPr="00FF4928">
        <w:rPr>
          <w:rFonts w:ascii="Arial" w:hAnsi="Arial" w:cs="Arial"/>
          <w:color w:val="363636"/>
          <w:shd w:val="clear" w:color="auto" w:fill="FFFFFF"/>
        </w:rPr>
        <w:t xml:space="preserve"> Prozent), </w:t>
      </w:r>
      <w:r w:rsidR="00FF4928" w:rsidRPr="00FF4928">
        <w:rPr>
          <w:rFonts w:ascii="Arial" w:hAnsi="Arial" w:cs="Arial"/>
          <w:color w:val="363636"/>
          <w:shd w:val="clear" w:color="auto" w:fill="FFFFFF"/>
        </w:rPr>
        <w:t xml:space="preserve">knapp </w:t>
      </w:r>
      <w:r w:rsidRPr="00FF4928">
        <w:rPr>
          <w:rFonts w:ascii="Arial" w:hAnsi="Arial" w:cs="Arial"/>
          <w:color w:val="363636"/>
          <w:shd w:val="clear" w:color="auto" w:fill="FFFFFF"/>
        </w:rPr>
        <w:t xml:space="preserve">jeder </w:t>
      </w:r>
      <w:r w:rsidR="00FF4928" w:rsidRPr="00FF4928">
        <w:rPr>
          <w:rFonts w:ascii="Arial" w:hAnsi="Arial" w:cs="Arial"/>
          <w:color w:val="363636"/>
          <w:shd w:val="clear" w:color="auto" w:fill="FFFFFF"/>
        </w:rPr>
        <w:t>Siebt</w:t>
      </w:r>
      <w:r w:rsidRPr="00FF4928">
        <w:rPr>
          <w:rFonts w:ascii="Arial" w:hAnsi="Arial" w:cs="Arial"/>
          <w:color w:val="363636"/>
          <w:shd w:val="clear" w:color="auto" w:fill="FFFFFF"/>
        </w:rPr>
        <w:t>e 24 bis 47 Monate (</w:t>
      </w:r>
      <w:r w:rsidR="00FF4928" w:rsidRPr="00FF4928">
        <w:rPr>
          <w:rFonts w:ascii="Arial" w:hAnsi="Arial" w:cs="Arial"/>
          <w:color w:val="363636"/>
          <w:shd w:val="clear" w:color="auto" w:fill="FFFFFF"/>
        </w:rPr>
        <w:t>13</w:t>
      </w:r>
      <w:r w:rsidRPr="00FF4928">
        <w:rPr>
          <w:rFonts w:ascii="Arial" w:hAnsi="Arial" w:cs="Arial"/>
          <w:color w:val="363636"/>
          <w:shd w:val="clear" w:color="auto" w:fill="FFFFFF"/>
        </w:rPr>
        <w:t>,</w:t>
      </w:r>
      <w:r w:rsidR="00FF4928" w:rsidRPr="00FF4928">
        <w:rPr>
          <w:rFonts w:ascii="Arial" w:hAnsi="Arial" w:cs="Arial"/>
          <w:color w:val="363636"/>
          <w:shd w:val="clear" w:color="auto" w:fill="FFFFFF"/>
        </w:rPr>
        <w:t>6</w:t>
      </w:r>
      <w:r w:rsidRPr="00FF4928">
        <w:rPr>
          <w:rFonts w:ascii="Arial" w:hAnsi="Arial" w:cs="Arial"/>
          <w:color w:val="363636"/>
          <w:shd w:val="clear" w:color="auto" w:fill="FFFFFF"/>
        </w:rPr>
        <w:t xml:space="preserve"> Prozent). Schließlich waren </w:t>
      </w:r>
      <w:r w:rsidR="00FF4928" w:rsidRPr="00FF4928">
        <w:rPr>
          <w:rFonts w:ascii="Arial" w:hAnsi="Arial" w:cs="Arial"/>
          <w:color w:val="363636"/>
          <w:shd w:val="clear" w:color="auto" w:fill="FFFFFF"/>
        </w:rPr>
        <w:t>14</w:t>
      </w:r>
      <w:r w:rsidRPr="00FF4928">
        <w:rPr>
          <w:rFonts w:ascii="Arial" w:hAnsi="Arial" w:cs="Arial"/>
          <w:color w:val="363636"/>
          <w:shd w:val="clear" w:color="auto" w:fill="FFFFFF"/>
        </w:rPr>
        <w:t>,</w:t>
      </w:r>
      <w:r w:rsidR="00FF4928" w:rsidRPr="00FF4928">
        <w:rPr>
          <w:rFonts w:ascii="Arial" w:hAnsi="Arial" w:cs="Arial"/>
          <w:color w:val="363636"/>
          <w:shd w:val="clear" w:color="auto" w:fill="FFFFFF"/>
        </w:rPr>
        <w:t>6</w:t>
      </w:r>
      <w:r w:rsidRPr="00FF4928">
        <w:rPr>
          <w:rFonts w:ascii="Arial" w:hAnsi="Arial" w:cs="Arial"/>
          <w:color w:val="363636"/>
          <w:shd w:val="clear" w:color="auto" w:fill="FFFFFF"/>
        </w:rPr>
        <w:t xml:space="preserve"> Prozent der Arbeitslosen bereits 48</w:t>
      </w:r>
      <w:r w:rsidR="00725CC5">
        <w:rPr>
          <w:rFonts w:ascii="Arial" w:hAnsi="Arial" w:cs="Arial"/>
          <w:color w:val="363636"/>
          <w:shd w:val="clear" w:color="auto" w:fill="FFFFFF"/>
        </w:rPr>
        <w:t xml:space="preserve"> Monate oder länger arbeitslos.</w:t>
      </w:r>
      <w:r w:rsidRPr="009F01E0">
        <w:rPr>
          <w:rFonts w:ascii="Arial" w:hAnsi="Arial" w:cs="Arial"/>
          <w:color w:val="363636"/>
          <w:shd w:val="clear" w:color="auto" w:fill="FFFFFF"/>
        </w:rPr>
        <w:br/>
      </w:r>
      <w:r w:rsidRPr="000A5B99">
        <w:rPr>
          <w:rFonts w:ascii="Arial" w:hAnsi="Arial" w:cs="Arial"/>
          <w:color w:val="363636"/>
          <w:shd w:val="clear" w:color="auto" w:fill="FFFFFF"/>
        </w:rPr>
        <w:br/>
        <w:t>Bezogen auf die EU bestanden bei der Dauer der Arbeitslosigkeit nur geringfügige Unterschiede zwischen den Geschlechtern. Während bei den Männern 2</w:t>
      </w:r>
      <w:r w:rsidR="004D1E26" w:rsidRPr="000A5B99">
        <w:rPr>
          <w:rFonts w:ascii="Arial" w:hAnsi="Arial" w:cs="Arial"/>
          <w:color w:val="363636"/>
          <w:shd w:val="clear" w:color="auto" w:fill="FFFFFF"/>
        </w:rPr>
        <w:t>4</w:t>
      </w:r>
      <w:r w:rsidRPr="000A5B99">
        <w:rPr>
          <w:rFonts w:ascii="Arial" w:hAnsi="Arial" w:cs="Arial"/>
          <w:color w:val="363636"/>
          <w:shd w:val="clear" w:color="auto" w:fill="FFFFFF"/>
        </w:rPr>
        <w:t>,</w:t>
      </w:r>
      <w:r w:rsidR="004D1E26" w:rsidRPr="000A5B99">
        <w:rPr>
          <w:rFonts w:ascii="Arial" w:hAnsi="Arial" w:cs="Arial"/>
          <w:color w:val="363636"/>
          <w:shd w:val="clear" w:color="auto" w:fill="FFFFFF"/>
        </w:rPr>
        <w:t>6</w:t>
      </w:r>
      <w:r w:rsidRPr="000A5B99">
        <w:rPr>
          <w:rFonts w:ascii="Arial" w:hAnsi="Arial" w:cs="Arial"/>
          <w:color w:val="363636"/>
          <w:shd w:val="clear" w:color="auto" w:fill="FFFFFF"/>
        </w:rPr>
        <w:t xml:space="preserve"> Prozent der Arbeitslosen zum Zeitpunkt der statistischen Erhebung weniger als 3 Monate arbeitslos waren, galt dies für 25,</w:t>
      </w:r>
      <w:r w:rsidR="004D1E26" w:rsidRPr="000A5B99">
        <w:rPr>
          <w:rFonts w:ascii="Arial" w:hAnsi="Arial" w:cs="Arial"/>
          <w:color w:val="363636"/>
          <w:shd w:val="clear" w:color="auto" w:fill="FFFFFF"/>
        </w:rPr>
        <w:t>1</w:t>
      </w:r>
      <w:r w:rsidRPr="000A5B99">
        <w:rPr>
          <w:rFonts w:ascii="Arial" w:hAnsi="Arial" w:cs="Arial"/>
          <w:color w:val="363636"/>
          <w:shd w:val="clear" w:color="auto" w:fill="FFFFFF"/>
        </w:rPr>
        <w:t xml:space="preserve"> Prozent der Frauen. Bei einer Arbeitslosigkeitsdauer von 3 bis 11 Monaten sowie von 12 bis 23 Monaten lagen die </w:t>
      </w:r>
      <w:r w:rsidR="000A5B99">
        <w:rPr>
          <w:rFonts w:ascii="Arial" w:hAnsi="Arial" w:cs="Arial"/>
          <w:color w:val="363636"/>
          <w:shd w:val="clear" w:color="auto" w:fill="FFFFFF"/>
        </w:rPr>
        <w:t xml:space="preserve">Werte </w:t>
      </w:r>
      <w:r w:rsidR="004D1E26" w:rsidRPr="000A5B99">
        <w:rPr>
          <w:rFonts w:ascii="Arial" w:hAnsi="Arial" w:cs="Arial"/>
          <w:color w:val="363636"/>
          <w:shd w:val="clear" w:color="auto" w:fill="FFFFFF"/>
        </w:rPr>
        <w:t xml:space="preserve">der Männer und Frauen ebenfalls dicht beieinander </w:t>
      </w:r>
      <w:r w:rsidRPr="000A5B99">
        <w:rPr>
          <w:rFonts w:ascii="Arial" w:hAnsi="Arial" w:cs="Arial"/>
          <w:color w:val="363636"/>
          <w:shd w:val="clear" w:color="auto" w:fill="FFFFFF"/>
        </w:rPr>
        <w:t>(</w:t>
      </w:r>
      <w:r w:rsidR="004D1E26" w:rsidRPr="000A5B99">
        <w:rPr>
          <w:rFonts w:ascii="Arial" w:hAnsi="Arial" w:cs="Arial"/>
          <w:color w:val="363636"/>
          <w:shd w:val="clear" w:color="auto" w:fill="FFFFFF"/>
        </w:rPr>
        <w:t>29,</w:t>
      </w:r>
      <w:r w:rsidR="000A5B99">
        <w:rPr>
          <w:rFonts w:ascii="Arial" w:hAnsi="Arial" w:cs="Arial"/>
          <w:color w:val="363636"/>
          <w:shd w:val="clear" w:color="auto" w:fill="FFFFFF"/>
        </w:rPr>
        <w:t>5</w:t>
      </w:r>
      <w:r w:rsidR="004D1E26" w:rsidRPr="000A5B99">
        <w:rPr>
          <w:rFonts w:ascii="Arial" w:hAnsi="Arial" w:cs="Arial"/>
          <w:color w:val="363636"/>
          <w:shd w:val="clear" w:color="auto" w:fill="FFFFFF"/>
        </w:rPr>
        <w:t xml:space="preserve"> und 29,</w:t>
      </w:r>
      <w:r w:rsidR="000A5B99">
        <w:rPr>
          <w:rFonts w:ascii="Arial" w:hAnsi="Arial" w:cs="Arial"/>
          <w:color w:val="363636"/>
          <w:shd w:val="clear" w:color="auto" w:fill="FFFFFF"/>
        </w:rPr>
        <w:t>8</w:t>
      </w:r>
      <w:r w:rsidR="004D1E26" w:rsidRPr="000A5B99">
        <w:rPr>
          <w:rFonts w:ascii="Arial" w:hAnsi="Arial" w:cs="Arial"/>
          <w:color w:val="363636"/>
          <w:shd w:val="clear" w:color="auto" w:fill="FFFFFF"/>
        </w:rPr>
        <w:t xml:space="preserve"> Prozent bzw. 16,9 und 16,7</w:t>
      </w:r>
      <w:r w:rsidRPr="000A5B99">
        <w:rPr>
          <w:rFonts w:ascii="Arial" w:hAnsi="Arial" w:cs="Arial"/>
          <w:color w:val="363636"/>
          <w:shd w:val="clear" w:color="auto" w:fill="FFFFFF"/>
        </w:rPr>
        <w:t xml:space="preserve"> Prozent). Schließlich lag der Anteil der Arbeitslosen, die 24 Monate oder länger arbeitslos waren, bei den Männern bei </w:t>
      </w:r>
      <w:r w:rsidR="004D1E26" w:rsidRPr="000A5B99">
        <w:rPr>
          <w:rFonts w:ascii="Arial" w:hAnsi="Arial" w:cs="Arial"/>
          <w:color w:val="363636"/>
          <w:shd w:val="clear" w:color="auto" w:fill="FFFFFF"/>
        </w:rPr>
        <w:t>2</w:t>
      </w:r>
      <w:r w:rsidRPr="000A5B99">
        <w:rPr>
          <w:rFonts w:ascii="Arial" w:hAnsi="Arial" w:cs="Arial"/>
          <w:color w:val="363636"/>
          <w:shd w:val="clear" w:color="auto" w:fill="FFFFFF"/>
        </w:rPr>
        <w:t>8,</w:t>
      </w:r>
      <w:r w:rsidR="004D1E26" w:rsidRPr="000A5B99">
        <w:rPr>
          <w:rFonts w:ascii="Arial" w:hAnsi="Arial" w:cs="Arial"/>
          <w:color w:val="363636"/>
          <w:shd w:val="clear" w:color="auto" w:fill="FFFFFF"/>
        </w:rPr>
        <w:t>3</w:t>
      </w:r>
      <w:r w:rsidRPr="000A5B99">
        <w:rPr>
          <w:rFonts w:ascii="Arial" w:hAnsi="Arial" w:cs="Arial"/>
          <w:color w:val="363636"/>
          <w:shd w:val="clear" w:color="auto" w:fill="FFFFFF"/>
        </w:rPr>
        <w:t xml:space="preserve"> und bei den Frauen bei </w:t>
      </w:r>
      <w:r w:rsidR="004D1E26" w:rsidRPr="000A5B99">
        <w:rPr>
          <w:rFonts w:ascii="Arial" w:hAnsi="Arial" w:cs="Arial"/>
          <w:color w:val="363636"/>
          <w:shd w:val="clear" w:color="auto" w:fill="FFFFFF"/>
        </w:rPr>
        <w:t>27</w:t>
      </w:r>
      <w:r w:rsidRPr="000A5B99">
        <w:rPr>
          <w:rFonts w:ascii="Arial" w:hAnsi="Arial" w:cs="Arial"/>
          <w:color w:val="363636"/>
          <w:shd w:val="clear" w:color="auto" w:fill="FFFFFF"/>
        </w:rPr>
        <w:t>,</w:t>
      </w:r>
      <w:r w:rsidR="004D1E26" w:rsidRPr="000A5B99">
        <w:rPr>
          <w:rFonts w:ascii="Arial" w:hAnsi="Arial" w:cs="Arial"/>
          <w:color w:val="363636"/>
          <w:shd w:val="clear" w:color="auto" w:fill="FFFFFF"/>
        </w:rPr>
        <w:t>8</w:t>
      </w:r>
      <w:r w:rsidRPr="000A5B99">
        <w:rPr>
          <w:rFonts w:ascii="Arial" w:hAnsi="Arial" w:cs="Arial"/>
          <w:color w:val="363636"/>
          <w:shd w:val="clear" w:color="auto" w:fill="FFFFFF"/>
        </w:rPr>
        <w:t xml:space="preserve"> Prozent. </w:t>
      </w:r>
      <w:r w:rsidRPr="000A5B99">
        <w:rPr>
          <w:rFonts w:ascii="Arial" w:hAnsi="Arial" w:cs="Arial"/>
          <w:color w:val="363636"/>
          <w:shd w:val="clear" w:color="auto" w:fill="FFFFFF"/>
        </w:rPr>
        <w:br/>
      </w:r>
      <w:r w:rsidRPr="00F9239D">
        <w:rPr>
          <w:rFonts w:ascii="Arial" w:hAnsi="Arial" w:cs="Arial"/>
          <w:color w:val="363636"/>
          <w:shd w:val="clear" w:color="auto" w:fill="FFFFFF"/>
        </w:rPr>
        <w:br/>
      </w:r>
      <w:r w:rsidR="002637A4">
        <w:rPr>
          <w:rFonts w:ascii="Arial" w:hAnsi="Arial" w:cs="Arial"/>
          <w:color w:val="363636"/>
          <w:shd w:val="clear" w:color="auto" w:fill="FFFFFF"/>
        </w:rPr>
        <w:t xml:space="preserve">Hingegen </w:t>
      </w:r>
      <w:r w:rsidR="002637A4" w:rsidRPr="00C81708">
        <w:rPr>
          <w:rFonts w:ascii="Arial" w:hAnsi="Arial" w:cs="Arial"/>
          <w:color w:val="363636"/>
          <w:shd w:val="clear" w:color="auto" w:fill="FFFFFF"/>
        </w:rPr>
        <w:t xml:space="preserve">finden sich </w:t>
      </w:r>
      <w:r w:rsidR="002637A4">
        <w:rPr>
          <w:rFonts w:ascii="Arial" w:hAnsi="Arial" w:cs="Arial"/>
          <w:color w:val="363636"/>
          <w:shd w:val="clear" w:color="auto" w:fill="FFFFFF"/>
        </w:rPr>
        <w:t>g</w:t>
      </w:r>
      <w:r w:rsidRPr="00C81708">
        <w:rPr>
          <w:rFonts w:ascii="Arial" w:hAnsi="Arial" w:cs="Arial"/>
          <w:color w:val="363636"/>
          <w:shd w:val="clear" w:color="auto" w:fill="FFFFFF"/>
        </w:rPr>
        <w:t>r</w:t>
      </w:r>
      <w:r w:rsidR="00C81708" w:rsidRPr="00C81708">
        <w:rPr>
          <w:rFonts w:ascii="Arial" w:hAnsi="Arial" w:cs="Arial"/>
          <w:color w:val="363636"/>
          <w:shd w:val="clear" w:color="auto" w:fill="FFFFFF"/>
        </w:rPr>
        <w:t>o</w:t>
      </w:r>
      <w:r w:rsidRPr="00C81708">
        <w:rPr>
          <w:rFonts w:ascii="Arial" w:hAnsi="Arial" w:cs="Arial"/>
          <w:color w:val="363636"/>
          <w:shd w:val="clear" w:color="auto" w:fill="FFFFFF"/>
        </w:rPr>
        <w:t>ße</w:t>
      </w:r>
      <w:r w:rsidR="00C81708" w:rsidRPr="00C81708">
        <w:rPr>
          <w:rFonts w:ascii="Arial" w:hAnsi="Arial" w:cs="Arial"/>
          <w:color w:val="363636"/>
          <w:shd w:val="clear" w:color="auto" w:fill="FFFFFF"/>
        </w:rPr>
        <w:t xml:space="preserve"> </w:t>
      </w:r>
      <w:r w:rsidRPr="00C81708">
        <w:rPr>
          <w:rFonts w:ascii="Arial" w:hAnsi="Arial" w:cs="Arial"/>
          <w:color w:val="363636"/>
          <w:shd w:val="clear" w:color="auto" w:fill="FFFFFF"/>
        </w:rPr>
        <w:t>Unterschiede</w:t>
      </w:r>
      <w:r w:rsidR="00C81708" w:rsidRPr="00C81708">
        <w:rPr>
          <w:rFonts w:ascii="Arial" w:hAnsi="Arial" w:cs="Arial"/>
          <w:color w:val="363636"/>
          <w:shd w:val="clear" w:color="auto" w:fill="FFFFFF"/>
        </w:rPr>
        <w:t xml:space="preserve"> zwischen den </w:t>
      </w:r>
      <w:r w:rsidR="00C81708">
        <w:rPr>
          <w:rFonts w:ascii="Arial" w:hAnsi="Arial" w:cs="Arial"/>
          <w:color w:val="363636"/>
          <w:shd w:val="clear" w:color="auto" w:fill="FFFFFF"/>
        </w:rPr>
        <w:t>einzelnen Mitgliedstaaten der EU</w:t>
      </w:r>
      <w:r w:rsidR="002637A4">
        <w:rPr>
          <w:rFonts w:ascii="Arial" w:hAnsi="Arial" w:cs="Arial"/>
          <w:color w:val="363636"/>
          <w:shd w:val="clear" w:color="auto" w:fill="FFFFFF"/>
        </w:rPr>
        <w:t>:</w:t>
      </w:r>
      <w:r w:rsidRPr="00C81708">
        <w:rPr>
          <w:rFonts w:ascii="Arial" w:hAnsi="Arial" w:cs="Arial"/>
          <w:color w:val="363636"/>
          <w:shd w:val="clear" w:color="auto" w:fill="FFFFFF"/>
        </w:rPr>
        <w:t xml:space="preserve"> </w:t>
      </w:r>
      <w:r w:rsidR="00C81708" w:rsidRPr="00C81708">
        <w:rPr>
          <w:rFonts w:ascii="Arial" w:hAnsi="Arial" w:cs="Arial"/>
          <w:color w:val="363636"/>
          <w:shd w:val="clear" w:color="auto" w:fill="FFFFFF"/>
        </w:rPr>
        <w:t xml:space="preserve">Zum Zeitpunkt der </w:t>
      </w:r>
      <w:r w:rsidRPr="00C81708">
        <w:rPr>
          <w:rFonts w:ascii="Arial" w:hAnsi="Arial" w:cs="Arial"/>
          <w:color w:val="363636"/>
          <w:shd w:val="clear" w:color="auto" w:fill="FFFFFF"/>
        </w:rPr>
        <w:t>Erhebung im Jahr 201</w:t>
      </w:r>
      <w:r w:rsidR="00C81708" w:rsidRPr="00C81708">
        <w:rPr>
          <w:rFonts w:ascii="Arial" w:hAnsi="Arial" w:cs="Arial"/>
          <w:color w:val="363636"/>
          <w:shd w:val="clear" w:color="auto" w:fill="FFFFFF"/>
        </w:rPr>
        <w:t>7</w:t>
      </w:r>
      <w:r w:rsidRPr="00F9239D">
        <w:rPr>
          <w:rFonts w:ascii="Arial" w:hAnsi="Arial" w:cs="Arial"/>
          <w:color w:val="363636"/>
          <w:shd w:val="clear" w:color="auto" w:fill="FFFFFF"/>
        </w:rPr>
        <w:t xml:space="preserve"> waren in </w:t>
      </w:r>
      <w:r w:rsidR="00C81708" w:rsidRPr="00F9239D">
        <w:rPr>
          <w:rFonts w:ascii="Arial" w:hAnsi="Arial" w:cs="Arial"/>
          <w:color w:val="363636"/>
          <w:shd w:val="clear" w:color="auto" w:fill="FFFFFF"/>
        </w:rPr>
        <w:t>Griechenland</w:t>
      </w:r>
      <w:r w:rsidRPr="00F9239D">
        <w:rPr>
          <w:rFonts w:ascii="Arial" w:hAnsi="Arial" w:cs="Arial"/>
          <w:color w:val="363636"/>
          <w:shd w:val="clear" w:color="auto" w:fill="FFFFFF"/>
        </w:rPr>
        <w:t xml:space="preserve"> </w:t>
      </w:r>
      <w:r w:rsidR="00C81708" w:rsidRPr="00F9239D">
        <w:rPr>
          <w:rFonts w:ascii="Arial" w:hAnsi="Arial" w:cs="Arial"/>
          <w:color w:val="363636"/>
          <w:shd w:val="clear" w:color="auto" w:fill="FFFFFF"/>
        </w:rPr>
        <w:t>52</w:t>
      </w:r>
      <w:r w:rsidRPr="00F9239D">
        <w:rPr>
          <w:rFonts w:ascii="Arial" w:hAnsi="Arial" w:cs="Arial"/>
          <w:color w:val="363636"/>
          <w:shd w:val="clear" w:color="auto" w:fill="FFFFFF"/>
        </w:rPr>
        <w:t>,</w:t>
      </w:r>
      <w:r w:rsidR="00C81708" w:rsidRPr="00F9239D">
        <w:rPr>
          <w:rFonts w:ascii="Arial" w:hAnsi="Arial" w:cs="Arial"/>
          <w:color w:val="363636"/>
          <w:shd w:val="clear" w:color="auto" w:fill="FFFFFF"/>
        </w:rPr>
        <w:t>5</w:t>
      </w:r>
      <w:r w:rsidRPr="00F9239D">
        <w:rPr>
          <w:rFonts w:ascii="Arial" w:hAnsi="Arial" w:cs="Arial"/>
          <w:color w:val="363636"/>
          <w:shd w:val="clear" w:color="auto" w:fill="FFFFFF"/>
        </w:rPr>
        <w:t xml:space="preserve"> Prozent der Arbeitslosen bereits </w:t>
      </w:r>
      <w:r w:rsidR="003F4572">
        <w:rPr>
          <w:rFonts w:ascii="Arial" w:hAnsi="Arial" w:cs="Arial"/>
          <w:color w:val="363636"/>
          <w:shd w:val="clear" w:color="auto" w:fill="FFFFFF"/>
        </w:rPr>
        <w:t>24</w:t>
      </w:r>
      <w:r w:rsidRPr="00F9239D">
        <w:rPr>
          <w:rFonts w:ascii="Arial" w:hAnsi="Arial" w:cs="Arial"/>
          <w:color w:val="363636"/>
          <w:shd w:val="clear" w:color="auto" w:fill="FFFFFF"/>
        </w:rPr>
        <w:t xml:space="preserve"> </w:t>
      </w:r>
      <w:r w:rsidR="002637A4" w:rsidRPr="00F9239D">
        <w:rPr>
          <w:rFonts w:ascii="Arial" w:hAnsi="Arial" w:cs="Arial"/>
          <w:color w:val="363636"/>
          <w:shd w:val="clear" w:color="auto" w:fill="FFFFFF"/>
        </w:rPr>
        <w:t xml:space="preserve">Monate </w:t>
      </w:r>
      <w:r w:rsidRPr="00F9239D">
        <w:rPr>
          <w:rFonts w:ascii="Arial" w:hAnsi="Arial" w:cs="Arial"/>
          <w:color w:val="363636"/>
          <w:shd w:val="clear" w:color="auto" w:fill="FFFFFF"/>
        </w:rPr>
        <w:t>oder l</w:t>
      </w:r>
      <w:r w:rsidR="002637A4">
        <w:rPr>
          <w:rFonts w:ascii="Arial" w:hAnsi="Arial" w:cs="Arial"/>
          <w:color w:val="363636"/>
          <w:shd w:val="clear" w:color="auto" w:fill="FFFFFF"/>
        </w:rPr>
        <w:t>ä</w:t>
      </w:r>
      <w:r w:rsidRPr="00F9239D">
        <w:rPr>
          <w:rFonts w:ascii="Arial" w:hAnsi="Arial" w:cs="Arial"/>
          <w:color w:val="363636"/>
          <w:shd w:val="clear" w:color="auto" w:fill="FFFFFF"/>
        </w:rPr>
        <w:t>ng</w:t>
      </w:r>
      <w:r w:rsidR="002637A4">
        <w:rPr>
          <w:rFonts w:ascii="Arial" w:hAnsi="Arial" w:cs="Arial"/>
          <w:color w:val="363636"/>
          <w:shd w:val="clear" w:color="auto" w:fill="FFFFFF"/>
        </w:rPr>
        <w:t>er</w:t>
      </w:r>
      <w:r w:rsidRPr="00F9239D">
        <w:rPr>
          <w:rFonts w:ascii="Arial" w:hAnsi="Arial" w:cs="Arial"/>
          <w:color w:val="363636"/>
          <w:shd w:val="clear" w:color="auto" w:fill="FFFFFF"/>
        </w:rPr>
        <w:t xml:space="preserve"> arbeitslos. </w:t>
      </w:r>
      <w:r w:rsidR="00C81708" w:rsidRPr="00F9239D">
        <w:rPr>
          <w:rFonts w:ascii="Arial" w:hAnsi="Arial" w:cs="Arial"/>
          <w:color w:val="363636"/>
          <w:shd w:val="clear" w:color="auto" w:fill="FFFFFF"/>
        </w:rPr>
        <w:t xml:space="preserve">Darauf folgten die Slowakei </w:t>
      </w:r>
      <w:r w:rsidRPr="00F9239D">
        <w:rPr>
          <w:rFonts w:ascii="Arial" w:hAnsi="Arial" w:cs="Arial"/>
          <w:color w:val="363636"/>
          <w:shd w:val="clear" w:color="auto" w:fill="FFFFFF"/>
        </w:rPr>
        <w:t>(</w:t>
      </w:r>
      <w:r w:rsidR="00C81708" w:rsidRPr="00F9239D">
        <w:rPr>
          <w:rFonts w:ascii="Arial" w:hAnsi="Arial" w:cs="Arial"/>
          <w:color w:val="363636"/>
          <w:shd w:val="clear" w:color="auto" w:fill="FFFFFF"/>
        </w:rPr>
        <w:t>45</w:t>
      </w:r>
      <w:r w:rsidRPr="00F9239D">
        <w:rPr>
          <w:rFonts w:ascii="Arial" w:hAnsi="Arial" w:cs="Arial"/>
          <w:color w:val="363636"/>
          <w:shd w:val="clear" w:color="auto" w:fill="FFFFFF"/>
        </w:rPr>
        <w:t>,0 Prozent)</w:t>
      </w:r>
      <w:r w:rsidR="00C81708" w:rsidRPr="00F9239D">
        <w:rPr>
          <w:rFonts w:ascii="Arial" w:hAnsi="Arial" w:cs="Arial"/>
          <w:color w:val="363636"/>
          <w:shd w:val="clear" w:color="auto" w:fill="FFFFFF"/>
        </w:rPr>
        <w:t>, Italien (38,4 Prozent) und Bulgarien (36,4 Prozent)</w:t>
      </w:r>
      <w:r w:rsidRPr="00F9239D">
        <w:rPr>
          <w:rFonts w:ascii="Arial" w:hAnsi="Arial" w:cs="Arial"/>
          <w:color w:val="363636"/>
          <w:shd w:val="clear" w:color="auto" w:fill="FFFFFF"/>
        </w:rPr>
        <w:t>.</w:t>
      </w:r>
      <w:r w:rsidR="00C81708" w:rsidRPr="00F9239D">
        <w:rPr>
          <w:rFonts w:ascii="Arial" w:hAnsi="Arial" w:cs="Arial"/>
          <w:color w:val="363636"/>
          <w:shd w:val="clear" w:color="auto" w:fill="FFFFFF"/>
        </w:rPr>
        <w:t xml:space="preserve"> In Portugal, Belgien und Irland war rund ein Drittel der Arbeitslosen bereits </w:t>
      </w:r>
      <w:r w:rsidR="003F4572">
        <w:rPr>
          <w:rFonts w:ascii="Arial" w:hAnsi="Arial" w:cs="Arial"/>
          <w:color w:val="363636"/>
          <w:shd w:val="clear" w:color="auto" w:fill="FFFFFF"/>
        </w:rPr>
        <w:t>24</w:t>
      </w:r>
      <w:r w:rsidR="00C81708" w:rsidRPr="00F9239D">
        <w:rPr>
          <w:rFonts w:ascii="Arial" w:hAnsi="Arial" w:cs="Arial"/>
          <w:color w:val="363636"/>
          <w:shd w:val="clear" w:color="auto" w:fill="FFFFFF"/>
        </w:rPr>
        <w:t xml:space="preserve"> oder mehr Monate lang arbeitslos.</w:t>
      </w:r>
      <w:r w:rsidR="00F9239D">
        <w:rPr>
          <w:rFonts w:ascii="Arial" w:hAnsi="Arial" w:cs="Arial"/>
          <w:color w:val="363636"/>
          <w:shd w:val="clear" w:color="auto" w:fill="FFFFFF"/>
        </w:rPr>
        <w:t xml:space="preserve"> Werden nur die </w:t>
      </w:r>
      <w:r w:rsidR="00F9239D" w:rsidRPr="00F9239D">
        <w:rPr>
          <w:rFonts w:ascii="Arial" w:hAnsi="Arial" w:cs="Arial"/>
          <w:color w:val="363636"/>
          <w:shd w:val="clear" w:color="auto" w:fill="FFFFFF"/>
        </w:rPr>
        <w:t>Arbeitslosen</w:t>
      </w:r>
      <w:r w:rsidR="00F9239D">
        <w:rPr>
          <w:rFonts w:ascii="Arial" w:hAnsi="Arial" w:cs="Arial"/>
          <w:color w:val="363636"/>
          <w:shd w:val="clear" w:color="auto" w:fill="FFFFFF"/>
        </w:rPr>
        <w:t xml:space="preserve"> betrachtet, die </w:t>
      </w:r>
      <w:r w:rsidR="00F9239D" w:rsidRPr="00F9239D">
        <w:rPr>
          <w:rFonts w:ascii="Arial" w:hAnsi="Arial" w:cs="Arial"/>
          <w:color w:val="363636"/>
          <w:shd w:val="clear" w:color="auto" w:fill="FFFFFF"/>
        </w:rPr>
        <w:t>48 Monate oder länger arbeitslos waren, lagen bis auf Belgien alle Staaten auch hier an der Spitze des Rankings.</w:t>
      </w:r>
      <w:r w:rsidR="00130273">
        <w:rPr>
          <w:rFonts w:ascii="Arial" w:hAnsi="Arial" w:cs="Arial"/>
          <w:color w:val="363636"/>
          <w:shd w:val="clear" w:color="auto" w:fill="FFFFFF"/>
        </w:rPr>
        <w:t xml:space="preserve"> </w:t>
      </w:r>
      <w:r w:rsidR="00F9239D" w:rsidRPr="00F9239D">
        <w:rPr>
          <w:rFonts w:ascii="Arial" w:hAnsi="Arial" w:cs="Arial"/>
          <w:color w:val="363636"/>
          <w:shd w:val="clear" w:color="auto" w:fill="FFFFFF"/>
        </w:rPr>
        <w:t>Außerhalb der EU</w:t>
      </w:r>
      <w:r w:rsidR="00F9239D">
        <w:rPr>
          <w:rFonts w:ascii="Arial" w:hAnsi="Arial" w:cs="Arial"/>
          <w:color w:val="363636"/>
          <w:shd w:val="clear" w:color="auto" w:fill="FFFFFF"/>
        </w:rPr>
        <w:t xml:space="preserve"> fallen von den sechs europäischen Staaten, für die Eurostat Daten bereitstellt</w:t>
      </w:r>
      <w:r w:rsidR="0095124B">
        <w:rPr>
          <w:rFonts w:ascii="Arial" w:hAnsi="Arial" w:cs="Arial"/>
          <w:color w:val="363636"/>
          <w:shd w:val="clear" w:color="auto" w:fill="FFFFFF"/>
        </w:rPr>
        <w:t xml:space="preserve"> (siehe Tabelle unten)</w:t>
      </w:r>
      <w:r w:rsidR="00F9239D">
        <w:rPr>
          <w:rFonts w:ascii="Arial" w:hAnsi="Arial" w:cs="Arial"/>
          <w:color w:val="363636"/>
          <w:shd w:val="clear" w:color="auto" w:fill="FFFFFF"/>
        </w:rPr>
        <w:t xml:space="preserve">, noch die </w:t>
      </w:r>
      <w:r w:rsidR="0095124B" w:rsidRPr="0095124B">
        <w:rPr>
          <w:rFonts w:ascii="Arial" w:hAnsi="Arial" w:cs="Arial"/>
          <w:color w:val="363636"/>
          <w:shd w:val="clear" w:color="auto" w:fill="FFFFFF"/>
        </w:rPr>
        <w:t>ehemalige jugoslawische Republik Mazedonien</w:t>
      </w:r>
      <w:r w:rsidR="0095124B">
        <w:rPr>
          <w:rFonts w:ascii="Arial" w:hAnsi="Arial" w:cs="Arial"/>
          <w:color w:val="363636"/>
          <w:shd w:val="clear" w:color="auto" w:fill="FFFFFF"/>
        </w:rPr>
        <w:t xml:space="preserve"> und Montenegro auf, da dort zum Erhebungszeitpunkt 2017 knapp zwei Drittel der Arbeitslosen mindestens zwei Jahre arbeitslos waren (65,7 bzw. 63,6 Prozent); die Hälfte war sogar vier Jahre oder länger arbeitslos (49,9 bzw. 53,8 Prozent).</w:t>
      </w:r>
    </w:p>
    <w:p w14:paraId="26B59FB1" w14:textId="309CDCE9" w:rsidR="00154664" w:rsidRDefault="00992CA9" w:rsidP="000276F6">
      <w:pPr>
        <w:rPr>
          <w:rFonts w:ascii="Arial" w:hAnsi="Arial" w:cs="Arial"/>
          <w:color w:val="363636"/>
          <w:shd w:val="clear" w:color="auto" w:fill="FFFFFF"/>
        </w:rPr>
      </w:pPr>
      <w:r w:rsidRPr="0072693B">
        <w:rPr>
          <w:rFonts w:ascii="Arial" w:hAnsi="Arial" w:cs="Arial"/>
          <w:color w:val="363636"/>
          <w:shd w:val="clear" w:color="auto" w:fill="FFFFFF"/>
        </w:rPr>
        <w:br/>
        <w:t xml:space="preserve">Auf der anderen Seite war der Anteil der Arbeitslosen, die </w:t>
      </w:r>
      <w:r w:rsidR="003F4572">
        <w:rPr>
          <w:rFonts w:ascii="Arial" w:hAnsi="Arial" w:cs="Arial"/>
          <w:color w:val="363636"/>
          <w:shd w:val="clear" w:color="auto" w:fill="FFFFFF"/>
        </w:rPr>
        <w:t>24</w:t>
      </w:r>
      <w:r w:rsidR="006109EF" w:rsidRPr="0072693B">
        <w:rPr>
          <w:rFonts w:ascii="Arial" w:hAnsi="Arial" w:cs="Arial"/>
          <w:color w:val="363636"/>
          <w:shd w:val="clear" w:color="auto" w:fill="FFFFFF"/>
        </w:rPr>
        <w:t xml:space="preserve"> Monate</w:t>
      </w:r>
      <w:r w:rsidRPr="0072693B">
        <w:rPr>
          <w:rFonts w:ascii="Arial" w:hAnsi="Arial" w:cs="Arial"/>
          <w:color w:val="363636"/>
          <w:shd w:val="clear" w:color="auto" w:fill="FFFFFF"/>
        </w:rPr>
        <w:t xml:space="preserve"> </w:t>
      </w:r>
      <w:r w:rsidR="006109EF">
        <w:rPr>
          <w:rFonts w:ascii="Arial" w:hAnsi="Arial" w:cs="Arial"/>
          <w:color w:val="363636"/>
          <w:shd w:val="clear" w:color="auto" w:fill="FFFFFF"/>
        </w:rPr>
        <w:t xml:space="preserve">oder länger </w:t>
      </w:r>
      <w:r w:rsidRPr="0072693B">
        <w:rPr>
          <w:rFonts w:ascii="Arial" w:hAnsi="Arial" w:cs="Arial"/>
          <w:color w:val="363636"/>
          <w:shd w:val="clear" w:color="auto" w:fill="FFFFFF"/>
        </w:rPr>
        <w:t>arbeitslos waren</w:t>
      </w:r>
      <w:r w:rsidR="006109EF">
        <w:rPr>
          <w:rFonts w:ascii="Arial" w:hAnsi="Arial" w:cs="Arial"/>
          <w:color w:val="363636"/>
          <w:shd w:val="clear" w:color="auto" w:fill="FFFFFF"/>
        </w:rPr>
        <w:t>,</w:t>
      </w:r>
      <w:r w:rsidRPr="0072693B">
        <w:rPr>
          <w:rFonts w:ascii="Arial" w:hAnsi="Arial" w:cs="Arial"/>
          <w:color w:val="363636"/>
          <w:shd w:val="clear" w:color="auto" w:fill="FFFFFF"/>
        </w:rPr>
        <w:t xml:space="preserve"> in Schweden (</w:t>
      </w:r>
      <w:r w:rsidR="0072693B" w:rsidRPr="0072693B">
        <w:rPr>
          <w:rFonts w:ascii="Arial" w:hAnsi="Arial" w:cs="Arial"/>
          <w:color w:val="363636"/>
          <w:shd w:val="clear" w:color="auto" w:fill="FFFFFF"/>
        </w:rPr>
        <w:t>8</w:t>
      </w:r>
      <w:r w:rsidRPr="0072693B">
        <w:rPr>
          <w:rFonts w:ascii="Arial" w:hAnsi="Arial" w:cs="Arial"/>
          <w:color w:val="363636"/>
          <w:shd w:val="clear" w:color="auto" w:fill="FFFFFF"/>
        </w:rPr>
        <w:t>,</w:t>
      </w:r>
      <w:r w:rsidR="0072693B" w:rsidRPr="0072693B">
        <w:rPr>
          <w:rFonts w:ascii="Arial" w:hAnsi="Arial" w:cs="Arial"/>
          <w:color w:val="363636"/>
          <w:shd w:val="clear" w:color="auto" w:fill="FFFFFF"/>
        </w:rPr>
        <w:t>0</w:t>
      </w:r>
      <w:r w:rsidRPr="0072693B">
        <w:rPr>
          <w:rFonts w:ascii="Arial" w:hAnsi="Arial" w:cs="Arial"/>
          <w:color w:val="363636"/>
          <w:shd w:val="clear" w:color="auto" w:fill="FFFFFF"/>
        </w:rPr>
        <w:t xml:space="preserve"> Prozent), Dänemark (</w:t>
      </w:r>
      <w:r w:rsidR="0072693B" w:rsidRPr="0072693B">
        <w:rPr>
          <w:rFonts w:ascii="Arial" w:hAnsi="Arial" w:cs="Arial"/>
          <w:color w:val="363636"/>
          <w:shd w:val="clear" w:color="auto" w:fill="FFFFFF"/>
        </w:rPr>
        <w:t>9</w:t>
      </w:r>
      <w:r w:rsidRPr="0072693B">
        <w:rPr>
          <w:rFonts w:ascii="Arial" w:hAnsi="Arial" w:cs="Arial"/>
          <w:color w:val="363636"/>
          <w:shd w:val="clear" w:color="auto" w:fill="FFFFFF"/>
        </w:rPr>
        <w:t>,</w:t>
      </w:r>
      <w:r w:rsidR="0072693B" w:rsidRPr="0072693B">
        <w:rPr>
          <w:rFonts w:ascii="Arial" w:hAnsi="Arial" w:cs="Arial"/>
          <w:color w:val="363636"/>
          <w:shd w:val="clear" w:color="auto" w:fill="FFFFFF"/>
        </w:rPr>
        <w:t>0</w:t>
      </w:r>
      <w:r w:rsidRPr="0072693B">
        <w:rPr>
          <w:rFonts w:ascii="Arial" w:hAnsi="Arial" w:cs="Arial"/>
          <w:color w:val="363636"/>
          <w:shd w:val="clear" w:color="auto" w:fill="FFFFFF"/>
        </w:rPr>
        <w:t xml:space="preserve"> Prozent), </w:t>
      </w:r>
      <w:r w:rsidR="0072693B" w:rsidRPr="0072693B">
        <w:rPr>
          <w:rFonts w:ascii="Arial" w:hAnsi="Arial" w:cs="Arial"/>
          <w:color w:val="363636"/>
          <w:shd w:val="clear" w:color="auto" w:fill="FFFFFF"/>
        </w:rPr>
        <w:t>Polen</w:t>
      </w:r>
      <w:r w:rsidRPr="0072693B">
        <w:rPr>
          <w:rFonts w:ascii="Arial" w:hAnsi="Arial" w:cs="Arial"/>
          <w:color w:val="363636"/>
          <w:shd w:val="clear" w:color="auto" w:fill="FFFFFF"/>
        </w:rPr>
        <w:t xml:space="preserve"> (</w:t>
      </w:r>
      <w:r w:rsidR="0072693B" w:rsidRPr="0072693B">
        <w:rPr>
          <w:rFonts w:ascii="Arial" w:hAnsi="Arial" w:cs="Arial"/>
          <w:color w:val="363636"/>
          <w:shd w:val="clear" w:color="auto" w:fill="FFFFFF"/>
        </w:rPr>
        <w:t>12</w:t>
      </w:r>
      <w:r w:rsidRPr="0072693B">
        <w:rPr>
          <w:rFonts w:ascii="Arial" w:hAnsi="Arial" w:cs="Arial"/>
          <w:color w:val="363636"/>
          <w:shd w:val="clear" w:color="auto" w:fill="FFFFFF"/>
        </w:rPr>
        <w:t>,</w:t>
      </w:r>
      <w:r w:rsidR="0072693B" w:rsidRPr="0072693B">
        <w:rPr>
          <w:rFonts w:ascii="Arial" w:hAnsi="Arial" w:cs="Arial"/>
          <w:color w:val="363636"/>
          <w:shd w:val="clear" w:color="auto" w:fill="FFFFFF"/>
        </w:rPr>
        <w:t>7</w:t>
      </w:r>
      <w:r w:rsidRPr="0072693B">
        <w:rPr>
          <w:rFonts w:ascii="Arial" w:hAnsi="Arial" w:cs="Arial"/>
          <w:color w:val="363636"/>
          <w:shd w:val="clear" w:color="auto" w:fill="FFFFFF"/>
        </w:rPr>
        <w:t xml:space="preserve"> Prozent), Finnland (</w:t>
      </w:r>
      <w:r w:rsidR="0072693B" w:rsidRPr="0072693B">
        <w:rPr>
          <w:rFonts w:ascii="Arial" w:hAnsi="Arial" w:cs="Arial"/>
          <w:color w:val="363636"/>
          <w:shd w:val="clear" w:color="auto" w:fill="FFFFFF"/>
        </w:rPr>
        <w:t>12</w:t>
      </w:r>
      <w:r w:rsidRPr="0072693B">
        <w:rPr>
          <w:rFonts w:ascii="Arial" w:hAnsi="Arial" w:cs="Arial"/>
          <w:color w:val="363636"/>
          <w:shd w:val="clear" w:color="auto" w:fill="FFFFFF"/>
        </w:rPr>
        <w:t>,</w:t>
      </w:r>
      <w:r w:rsidR="0072693B" w:rsidRPr="0072693B">
        <w:rPr>
          <w:rFonts w:ascii="Arial" w:hAnsi="Arial" w:cs="Arial"/>
          <w:color w:val="363636"/>
          <w:shd w:val="clear" w:color="auto" w:fill="FFFFFF"/>
        </w:rPr>
        <w:t>9</w:t>
      </w:r>
      <w:r w:rsidRPr="0072693B">
        <w:rPr>
          <w:rFonts w:ascii="Arial" w:hAnsi="Arial" w:cs="Arial"/>
          <w:color w:val="363636"/>
          <w:shd w:val="clear" w:color="auto" w:fill="FFFFFF"/>
        </w:rPr>
        <w:t xml:space="preserve"> Prozent), </w:t>
      </w:r>
      <w:r w:rsidR="0072693B" w:rsidRPr="0072693B">
        <w:rPr>
          <w:rFonts w:ascii="Arial" w:hAnsi="Arial" w:cs="Arial"/>
          <w:color w:val="363636"/>
          <w:shd w:val="clear" w:color="auto" w:fill="FFFFFF"/>
        </w:rPr>
        <w:t xml:space="preserve">dem Vereinigten Königreich </w:t>
      </w:r>
      <w:r w:rsidRPr="0072693B">
        <w:rPr>
          <w:rFonts w:ascii="Arial" w:hAnsi="Arial" w:cs="Arial"/>
          <w:color w:val="363636"/>
          <w:shd w:val="clear" w:color="auto" w:fill="FFFFFF"/>
        </w:rPr>
        <w:t>(</w:t>
      </w:r>
      <w:r w:rsidR="0072693B" w:rsidRPr="0072693B">
        <w:rPr>
          <w:rFonts w:ascii="Arial" w:hAnsi="Arial" w:cs="Arial"/>
          <w:color w:val="363636"/>
          <w:shd w:val="clear" w:color="auto" w:fill="FFFFFF"/>
        </w:rPr>
        <w:t>14</w:t>
      </w:r>
      <w:r w:rsidRPr="0072693B">
        <w:rPr>
          <w:rFonts w:ascii="Arial" w:hAnsi="Arial" w:cs="Arial"/>
          <w:color w:val="363636"/>
          <w:shd w:val="clear" w:color="auto" w:fill="FFFFFF"/>
        </w:rPr>
        <w:t>,</w:t>
      </w:r>
      <w:r w:rsidR="0072693B" w:rsidRPr="0072693B">
        <w:rPr>
          <w:rFonts w:ascii="Arial" w:hAnsi="Arial" w:cs="Arial"/>
          <w:color w:val="363636"/>
          <w:shd w:val="clear" w:color="auto" w:fill="FFFFFF"/>
        </w:rPr>
        <w:t>0</w:t>
      </w:r>
      <w:r w:rsidRPr="0072693B">
        <w:rPr>
          <w:rFonts w:ascii="Arial" w:hAnsi="Arial" w:cs="Arial"/>
          <w:color w:val="363636"/>
          <w:shd w:val="clear" w:color="auto" w:fill="FFFFFF"/>
        </w:rPr>
        <w:t xml:space="preserve"> Prozent) und</w:t>
      </w:r>
      <w:r w:rsidR="0072693B" w:rsidRPr="0072693B">
        <w:rPr>
          <w:rFonts w:ascii="Arial" w:hAnsi="Arial" w:cs="Arial"/>
          <w:color w:val="363636"/>
          <w:shd w:val="clear" w:color="auto" w:fill="FFFFFF"/>
        </w:rPr>
        <w:t xml:space="preserve"> </w:t>
      </w:r>
      <w:r w:rsidR="0072693B" w:rsidRPr="0072693B">
        <w:rPr>
          <w:rFonts w:ascii="Arial" w:hAnsi="Arial" w:cs="Arial"/>
          <w:color w:val="363636"/>
          <w:shd w:val="clear" w:color="auto" w:fill="FFFFFF"/>
        </w:rPr>
        <w:lastRenderedPageBreak/>
        <w:t xml:space="preserve">Estland </w:t>
      </w:r>
      <w:r w:rsidRPr="0072693B">
        <w:rPr>
          <w:rFonts w:ascii="Arial" w:hAnsi="Arial" w:cs="Arial"/>
          <w:color w:val="363636"/>
          <w:shd w:val="clear" w:color="auto" w:fill="FFFFFF"/>
        </w:rPr>
        <w:t>(</w:t>
      </w:r>
      <w:r w:rsidR="0072693B" w:rsidRPr="0072693B">
        <w:rPr>
          <w:rFonts w:ascii="Arial" w:hAnsi="Arial" w:cs="Arial"/>
          <w:color w:val="363636"/>
          <w:shd w:val="clear" w:color="auto" w:fill="FFFFFF"/>
        </w:rPr>
        <w:t>14</w:t>
      </w:r>
      <w:r w:rsidRPr="0072693B">
        <w:rPr>
          <w:rFonts w:ascii="Arial" w:hAnsi="Arial" w:cs="Arial"/>
          <w:color w:val="363636"/>
          <w:shd w:val="clear" w:color="auto" w:fill="FFFFFF"/>
        </w:rPr>
        <w:t>,</w:t>
      </w:r>
      <w:r w:rsidR="0072693B" w:rsidRPr="0072693B">
        <w:rPr>
          <w:rFonts w:ascii="Arial" w:hAnsi="Arial" w:cs="Arial"/>
          <w:color w:val="363636"/>
          <w:shd w:val="clear" w:color="auto" w:fill="FFFFFF"/>
        </w:rPr>
        <w:t>4</w:t>
      </w:r>
      <w:r w:rsidRPr="0072693B">
        <w:rPr>
          <w:rFonts w:ascii="Arial" w:hAnsi="Arial" w:cs="Arial"/>
          <w:color w:val="363636"/>
          <w:shd w:val="clear" w:color="auto" w:fill="FFFFFF"/>
        </w:rPr>
        <w:t xml:space="preserve"> Prozent) auffallend niedrig</w:t>
      </w:r>
      <w:r w:rsidR="003F4572">
        <w:rPr>
          <w:rFonts w:ascii="Arial" w:hAnsi="Arial" w:cs="Arial"/>
          <w:color w:val="363636"/>
          <w:shd w:val="clear" w:color="auto" w:fill="FFFFFF"/>
        </w:rPr>
        <w:t xml:space="preserve"> (EU-28: 28,1 Prozent</w:t>
      </w:r>
      <w:r w:rsidR="00154664">
        <w:rPr>
          <w:rFonts w:ascii="Arial" w:hAnsi="Arial" w:cs="Arial"/>
          <w:color w:val="363636"/>
          <w:shd w:val="clear" w:color="auto" w:fill="FFFFFF"/>
        </w:rPr>
        <w:t xml:space="preserve"> / Deutschland: 26,6 Prozent</w:t>
      </w:r>
      <w:r w:rsidR="003F4572">
        <w:rPr>
          <w:rFonts w:ascii="Arial" w:hAnsi="Arial" w:cs="Arial"/>
          <w:color w:val="363636"/>
          <w:shd w:val="clear" w:color="auto" w:fill="FFFFFF"/>
        </w:rPr>
        <w:t>)</w:t>
      </w:r>
      <w:r w:rsidR="00130273">
        <w:rPr>
          <w:rFonts w:ascii="Arial" w:hAnsi="Arial" w:cs="Arial"/>
          <w:color w:val="363636"/>
          <w:shd w:val="clear" w:color="auto" w:fill="FFFFFF"/>
        </w:rPr>
        <w:t xml:space="preserve">. </w:t>
      </w:r>
      <w:r w:rsidRPr="00154664">
        <w:rPr>
          <w:rFonts w:ascii="Arial" w:hAnsi="Arial" w:cs="Arial"/>
          <w:color w:val="363636"/>
          <w:shd w:val="clear" w:color="auto" w:fill="FFFFFF"/>
        </w:rPr>
        <w:t>Entsprechend war beispielsweise der Anteil der Arbeitslosen, die nur sehr kurz – also weniger als 3 Monate – arbeitslos waren</w:t>
      </w:r>
      <w:r w:rsidR="0060015E">
        <w:rPr>
          <w:rFonts w:ascii="Arial" w:hAnsi="Arial" w:cs="Arial"/>
          <w:color w:val="363636"/>
          <w:shd w:val="clear" w:color="auto" w:fill="FFFFFF"/>
        </w:rPr>
        <w:t>,</w:t>
      </w:r>
      <w:r w:rsidRPr="00154664">
        <w:rPr>
          <w:rFonts w:ascii="Arial" w:hAnsi="Arial" w:cs="Arial"/>
          <w:color w:val="363636"/>
          <w:shd w:val="clear" w:color="auto" w:fill="FFFFFF"/>
        </w:rPr>
        <w:t xml:space="preserve"> in Finnland (4</w:t>
      </w:r>
      <w:r w:rsidR="003F4572" w:rsidRPr="00154664">
        <w:rPr>
          <w:rFonts w:ascii="Arial" w:hAnsi="Arial" w:cs="Arial"/>
          <w:color w:val="363636"/>
          <w:shd w:val="clear" w:color="auto" w:fill="FFFFFF"/>
        </w:rPr>
        <w:t>4</w:t>
      </w:r>
      <w:r w:rsidRPr="00154664">
        <w:rPr>
          <w:rFonts w:ascii="Arial" w:hAnsi="Arial" w:cs="Arial"/>
          <w:color w:val="363636"/>
          <w:shd w:val="clear" w:color="auto" w:fill="FFFFFF"/>
        </w:rPr>
        <w:t>,</w:t>
      </w:r>
      <w:r w:rsidR="003F4572" w:rsidRPr="00154664">
        <w:rPr>
          <w:rFonts w:ascii="Arial" w:hAnsi="Arial" w:cs="Arial"/>
          <w:color w:val="363636"/>
          <w:shd w:val="clear" w:color="auto" w:fill="FFFFFF"/>
        </w:rPr>
        <w:t>5</w:t>
      </w:r>
      <w:r w:rsidRPr="00154664">
        <w:rPr>
          <w:rFonts w:ascii="Arial" w:hAnsi="Arial" w:cs="Arial"/>
          <w:color w:val="363636"/>
          <w:shd w:val="clear" w:color="auto" w:fill="FFFFFF"/>
        </w:rPr>
        <w:t xml:space="preserve"> Prozent), Dänemark (4</w:t>
      </w:r>
      <w:r w:rsidR="003F4572" w:rsidRPr="00154664">
        <w:rPr>
          <w:rFonts w:ascii="Arial" w:hAnsi="Arial" w:cs="Arial"/>
          <w:color w:val="363636"/>
          <w:shd w:val="clear" w:color="auto" w:fill="FFFFFF"/>
        </w:rPr>
        <w:t>2</w:t>
      </w:r>
      <w:r w:rsidRPr="00154664">
        <w:rPr>
          <w:rFonts w:ascii="Arial" w:hAnsi="Arial" w:cs="Arial"/>
          <w:color w:val="363636"/>
          <w:shd w:val="clear" w:color="auto" w:fill="FFFFFF"/>
        </w:rPr>
        <w:t>,</w:t>
      </w:r>
      <w:r w:rsidR="003F4572" w:rsidRPr="00154664">
        <w:rPr>
          <w:rFonts w:ascii="Arial" w:hAnsi="Arial" w:cs="Arial"/>
          <w:color w:val="363636"/>
          <w:shd w:val="clear" w:color="auto" w:fill="FFFFFF"/>
        </w:rPr>
        <w:t>9</w:t>
      </w:r>
      <w:r w:rsidRPr="00154664">
        <w:rPr>
          <w:rFonts w:ascii="Arial" w:hAnsi="Arial" w:cs="Arial"/>
          <w:color w:val="363636"/>
          <w:shd w:val="clear" w:color="auto" w:fill="FFFFFF"/>
        </w:rPr>
        <w:t xml:space="preserve"> Prozent)</w:t>
      </w:r>
      <w:r w:rsidR="003F4572" w:rsidRPr="00154664">
        <w:rPr>
          <w:rFonts w:ascii="Arial" w:hAnsi="Arial" w:cs="Arial"/>
          <w:color w:val="363636"/>
          <w:shd w:val="clear" w:color="auto" w:fill="FFFFFF"/>
        </w:rPr>
        <w:t>, dem</w:t>
      </w:r>
      <w:r w:rsidR="003F4572" w:rsidRPr="0072693B">
        <w:rPr>
          <w:rFonts w:ascii="Arial" w:hAnsi="Arial" w:cs="Arial"/>
          <w:color w:val="363636"/>
          <w:shd w:val="clear" w:color="auto" w:fill="FFFFFF"/>
        </w:rPr>
        <w:t xml:space="preserve"> Vereinigten Königreich (</w:t>
      </w:r>
      <w:r w:rsidR="003F4572">
        <w:rPr>
          <w:rFonts w:ascii="Arial" w:hAnsi="Arial" w:cs="Arial"/>
          <w:color w:val="363636"/>
          <w:shd w:val="clear" w:color="auto" w:fill="FFFFFF"/>
        </w:rPr>
        <w:t>42</w:t>
      </w:r>
      <w:r w:rsidR="003F4572" w:rsidRPr="0072693B">
        <w:rPr>
          <w:rFonts w:ascii="Arial" w:hAnsi="Arial" w:cs="Arial"/>
          <w:color w:val="363636"/>
          <w:shd w:val="clear" w:color="auto" w:fill="FFFFFF"/>
        </w:rPr>
        <w:t>,0 Prozent)</w:t>
      </w:r>
      <w:r w:rsidR="003F4572" w:rsidRPr="00154664">
        <w:rPr>
          <w:rFonts w:ascii="Arial" w:hAnsi="Arial" w:cs="Arial"/>
          <w:color w:val="363636"/>
          <w:shd w:val="clear" w:color="auto" w:fill="FFFFFF"/>
        </w:rPr>
        <w:t xml:space="preserve"> </w:t>
      </w:r>
      <w:r w:rsidRPr="00154664">
        <w:rPr>
          <w:rFonts w:ascii="Arial" w:hAnsi="Arial" w:cs="Arial"/>
          <w:color w:val="363636"/>
          <w:shd w:val="clear" w:color="auto" w:fill="FFFFFF"/>
        </w:rPr>
        <w:t>und Schweden (</w:t>
      </w:r>
      <w:r w:rsidR="003F4572" w:rsidRPr="00154664">
        <w:rPr>
          <w:rFonts w:ascii="Arial" w:hAnsi="Arial" w:cs="Arial"/>
          <w:color w:val="363636"/>
          <w:shd w:val="clear" w:color="auto" w:fill="FFFFFF"/>
        </w:rPr>
        <w:t>40</w:t>
      </w:r>
      <w:r w:rsidRPr="00154664">
        <w:rPr>
          <w:rFonts w:ascii="Arial" w:hAnsi="Arial" w:cs="Arial"/>
          <w:color w:val="363636"/>
          <w:shd w:val="clear" w:color="auto" w:fill="FFFFFF"/>
        </w:rPr>
        <w:t>,</w:t>
      </w:r>
      <w:r w:rsidR="003F4572" w:rsidRPr="00154664">
        <w:rPr>
          <w:rFonts w:ascii="Arial" w:hAnsi="Arial" w:cs="Arial"/>
          <w:color w:val="363636"/>
          <w:shd w:val="clear" w:color="auto" w:fill="FFFFFF"/>
        </w:rPr>
        <w:t>9</w:t>
      </w:r>
      <w:r w:rsidRPr="00154664">
        <w:rPr>
          <w:rFonts w:ascii="Arial" w:hAnsi="Arial" w:cs="Arial"/>
          <w:color w:val="363636"/>
          <w:shd w:val="clear" w:color="auto" w:fill="FFFFFF"/>
        </w:rPr>
        <w:t xml:space="preserve"> Prozent) am höchsten</w:t>
      </w:r>
      <w:r w:rsidR="00154664">
        <w:rPr>
          <w:rFonts w:ascii="Arial" w:hAnsi="Arial" w:cs="Arial"/>
          <w:color w:val="363636"/>
          <w:shd w:val="clear" w:color="auto" w:fill="FFFFFF"/>
        </w:rPr>
        <w:t xml:space="preserve"> </w:t>
      </w:r>
      <w:r w:rsidR="00154664" w:rsidRPr="00154664">
        <w:rPr>
          <w:rFonts w:ascii="Arial" w:hAnsi="Arial" w:cs="Arial"/>
          <w:color w:val="363636"/>
          <w:shd w:val="clear" w:color="auto" w:fill="FFFFFF"/>
        </w:rPr>
        <w:t>(EU-28: 24,8 Prozent / Deutschland 28,3 Prozent)</w:t>
      </w:r>
      <w:r w:rsidR="00154664">
        <w:rPr>
          <w:rFonts w:ascii="Arial" w:hAnsi="Arial" w:cs="Arial"/>
          <w:color w:val="363636"/>
          <w:shd w:val="clear" w:color="auto" w:fill="FFFFFF"/>
        </w:rPr>
        <w:t>. Außerhalb der EU war der Anteil nach Angaben von Eurostat nur in Island höher – mit 67,3 Prozent waren hier zum Erhebungszeitpunkt 2017 zwei Drittel aller Arbeitslosen weniger als 3 Monate lang arbeitslos</w:t>
      </w:r>
      <w:r w:rsidR="00154664" w:rsidRPr="00154664">
        <w:rPr>
          <w:rFonts w:ascii="Arial" w:hAnsi="Arial" w:cs="Arial"/>
          <w:color w:val="363636"/>
          <w:shd w:val="clear" w:color="auto" w:fill="FFFFFF"/>
        </w:rPr>
        <w:t>.</w:t>
      </w:r>
    </w:p>
    <w:p w14:paraId="232203E0" w14:textId="1A5BCFF2" w:rsidR="00154664" w:rsidRPr="003119B8" w:rsidRDefault="00154664" w:rsidP="000276F6">
      <w:pPr>
        <w:rPr>
          <w:rFonts w:ascii="Arial" w:hAnsi="Arial" w:cs="Arial"/>
          <w:color w:val="363636"/>
          <w:shd w:val="clear" w:color="auto" w:fill="FFFFFF"/>
        </w:rPr>
      </w:pPr>
    </w:p>
    <w:p w14:paraId="16F63858" w14:textId="2BFBF234" w:rsidR="005417FA" w:rsidRPr="003119B8" w:rsidRDefault="00992CA9" w:rsidP="003119B8">
      <w:pPr>
        <w:rPr>
          <w:rFonts w:ascii="Arial" w:hAnsi="Arial" w:cs="Arial"/>
          <w:color w:val="363636"/>
          <w:shd w:val="clear" w:color="auto" w:fill="FFFFFF"/>
        </w:rPr>
      </w:pPr>
      <w:r w:rsidRPr="003119B8">
        <w:rPr>
          <w:rFonts w:ascii="Arial" w:hAnsi="Arial" w:cs="Arial"/>
          <w:color w:val="363636"/>
          <w:shd w:val="clear" w:color="auto" w:fill="FFFFFF"/>
        </w:rPr>
        <w:t xml:space="preserve">Ein weiterer Indikator der Auskunft über </w:t>
      </w:r>
      <w:r w:rsidR="003119B8" w:rsidRPr="003119B8">
        <w:rPr>
          <w:rFonts w:ascii="Arial" w:hAnsi="Arial" w:cs="Arial"/>
          <w:color w:val="363636"/>
          <w:shd w:val="clear" w:color="auto" w:fill="FFFFFF"/>
        </w:rPr>
        <w:t xml:space="preserve">die </w:t>
      </w:r>
      <w:r w:rsidRPr="003119B8">
        <w:rPr>
          <w:rFonts w:ascii="Arial" w:hAnsi="Arial" w:cs="Arial"/>
          <w:color w:val="363636"/>
          <w:shd w:val="clear" w:color="auto" w:fill="FFFFFF"/>
        </w:rPr>
        <w:t xml:space="preserve">Langzeitarbeitslosigkeit (12 Monate und mehr) gibt, ist der Anteil der </w:t>
      </w:r>
      <w:r w:rsidR="00B77218" w:rsidRPr="003119B8">
        <w:rPr>
          <w:rFonts w:ascii="Arial" w:hAnsi="Arial" w:cs="Arial"/>
          <w:color w:val="363636"/>
          <w:shd w:val="clear" w:color="auto" w:fill="FFFFFF"/>
        </w:rPr>
        <w:t>L</w:t>
      </w:r>
      <w:r w:rsidRPr="003119B8">
        <w:rPr>
          <w:rFonts w:ascii="Arial" w:hAnsi="Arial" w:cs="Arial"/>
          <w:color w:val="363636"/>
          <w:shd w:val="clear" w:color="auto" w:fill="FFFFFF"/>
        </w:rPr>
        <w:t>angzeitarbeitslosen an de</w:t>
      </w:r>
      <w:r w:rsidR="0060015E">
        <w:rPr>
          <w:rFonts w:ascii="Arial" w:hAnsi="Arial" w:cs="Arial"/>
          <w:color w:val="363636"/>
          <w:shd w:val="clear" w:color="auto" w:fill="FFFFFF"/>
        </w:rPr>
        <w:t>n</w:t>
      </w:r>
      <w:r w:rsidRPr="003119B8">
        <w:rPr>
          <w:rFonts w:ascii="Arial" w:hAnsi="Arial" w:cs="Arial"/>
          <w:color w:val="363636"/>
          <w:shd w:val="clear" w:color="auto" w:fill="FFFFFF"/>
        </w:rPr>
        <w:t xml:space="preserve"> Erwerbs</w:t>
      </w:r>
      <w:r w:rsidR="00D3750A">
        <w:rPr>
          <w:rFonts w:ascii="Arial" w:hAnsi="Arial" w:cs="Arial"/>
          <w:color w:val="363636"/>
          <w:shd w:val="clear" w:color="auto" w:fill="FFFFFF"/>
        </w:rPr>
        <w:t>personen</w:t>
      </w:r>
      <w:r w:rsidRPr="003119B8">
        <w:rPr>
          <w:rFonts w:ascii="Arial" w:hAnsi="Arial" w:cs="Arial"/>
          <w:color w:val="363636"/>
          <w:shd w:val="clear" w:color="auto" w:fill="FFFFFF"/>
        </w:rPr>
        <w:t xml:space="preserve"> </w:t>
      </w:r>
      <w:r w:rsidR="003119B8" w:rsidRPr="003119B8">
        <w:rPr>
          <w:rFonts w:ascii="Arial" w:hAnsi="Arial" w:cs="Arial"/>
          <w:color w:val="363636"/>
          <w:shd w:val="clear" w:color="auto" w:fill="FFFFFF"/>
        </w:rPr>
        <w:t>(Erwerbstätige und Arbeitslose)</w:t>
      </w:r>
      <w:r w:rsidRPr="003119B8">
        <w:rPr>
          <w:rFonts w:ascii="Arial" w:hAnsi="Arial" w:cs="Arial"/>
          <w:color w:val="363636"/>
          <w:shd w:val="clear" w:color="auto" w:fill="FFFFFF"/>
        </w:rPr>
        <w:t xml:space="preserve">. </w:t>
      </w:r>
      <w:r w:rsidR="003119B8" w:rsidRPr="003119B8">
        <w:rPr>
          <w:rFonts w:ascii="Arial" w:hAnsi="Arial" w:cs="Arial"/>
          <w:color w:val="363636"/>
          <w:shd w:val="clear" w:color="auto" w:fill="FFFFFF"/>
        </w:rPr>
        <w:t>Bezogen auf d</w:t>
      </w:r>
      <w:r w:rsidR="003119B8">
        <w:rPr>
          <w:rFonts w:ascii="Arial" w:hAnsi="Arial" w:cs="Arial"/>
          <w:color w:val="363636"/>
          <w:shd w:val="clear" w:color="auto" w:fill="FFFFFF"/>
        </w:rPr>
        <w:t xml:space="preserve">ie 34 Staaten, für die Eurostat Daten </w:t>
      </w:r>
      <w:r w:rsidR="003119B8" w:rsidRPr="003119B8">
        <w:rPr>
          <w:rFonts w:ascii="Arial" w:hAnsi="Arial" w:cs="Arial"/>
          <w:color w:val="363636"/>
          <w:shd w:val="clear" w:color="auto" w:fill="FFFFFF"/>
        </w:rPr>
        <w:t>bereitstellt, war das Ausmaß der Langzeitarbeitslosigkeit am höchsten in der</w:t>
      </w:r>
      <w:r w:rsidR="003119B8">
        <w:rPr>
          <w:rFonts w:ascii="Arial" w:hAnsi="Arial" w:cs="Arial"/>
          <w:color w:val="363636"/>
          <w:shd w:val="clear" w:color="auto" w:fill="FFFFFF"/>
        </w:rPr>
        <w:t xml:space="preserve"> </w:t>
      </w:r>
      <w:r w:rsidR="003119B8" w:rsidRPr="003119B8">
        <w:rPr>
          <w:rFonts w:ascii="Arial" w:hAnsi="Arial" w:cs="Arial"/>
          <w:color w:val="363636"/>
          <w:shd w:val="clear" w:color="auto" w:fill="FFFFFF"/>
        </w:rPr>
        <w:t>ehemaligen jugoslawischen Republik Mazedonien (17,4 Prozent), Griechenland (15,6 Prozent), Montenegro (12,5 Prozent), Spanien (7,7 Prozent), Italien (6,5 Prozent) und der Slowakei (5,1 Prozent). Auf der anderen Seite standen Island (0,3 Prozent), Tschechien (1,0 Prozent), Norwegen und das Vereinigte Königreich (1,1 Prozent), Schweden (1,2 Prozent), Dänemark (1,3 Prozent), Polen (1,5 Prozent) sowie Deutschland (1,6 Prozent)</w:t>
      </w:r>
      <w:r w:rsidRPr="003119B8">
        <w:rPr>
          <w:rFonts w:ascii="Arial" w:hAnsi="Arial" w:cs="Arial"/>
          <w:color w:val="363636"/>
          <w:shd w:val="clear" w:color="auto" w:fill="FFFFFF"/>
        </w:rPr>
        <w:t>.</w:t>
      </w:r>
      <w:r w:rsidR="00130273">
        <w:rPr>
          <w:rFonts w:ascii="Arial" w:hAnsi="Arial" w:cs="Arial"/>
          <w:color w:val="363636"/>
          <w:shd w:val="clear" w:color="auto" w:fill="FFFFFF"/>
        </w:rPr>
        <w:t xml:space="preserve"> </w:t>
      </w:r>
      <w:r w:rsidR="003119B8">
        <w:rPr>
          <w:rFonts w:ascii="Arial" w:hAnsi="Arial" w:cs="Arial"/>
          <w:color w:val="363636"/>
          <w:shd w:val="clear" w:color="auto" w:fill="FFFFFF"/>
        </w:rPr>
        <w:t xml:space="preserve">In der EU-28 waren 2017 </w:t>
      </w:r>
      <w:r w:rsidR="00D3750A">
        <w:rPr>
          <w:rFonts w:ascii="Arial" w:hAnsi="Arial" w:cs="Arial"/>
          <w:color w:val="363636"/>
          <w:shd w:val="clear" w:color="auto" w:fill="FFFFFF"/>
        </w:rPr>
        <w:t xml:space="preserve">von der </w:t>
      </w:r>
      <w:r w:rsidR="003119B8" w:rsidRPr="003119B8">
        <w:rPr>
          <w:rFonts w:ascii="Arial" w:hAnsi="Arial" w:cs="Arial"/>
          <w:color w:val="363636"/>
          <w:shd w:val="clear" w:color="auto" w:fill="FFFFFF"/>
        </w:rPr>
        <w:t>Erwerbs</w:t>
      </w:r>
      <w:r w:rsidR="00D3750A">
        <w:rPr>
          <w:rFonts w:ascii="Arial" w:hAnsi="Arial" w:cs="Arial"/>
          <w:color w:val="363636"/>
          <w:shd w:val="clear" w:color="auto" w:fill="FFFFFF"/>
        </w:rPr>
        <w:t xml:space="preserve">bevölkerung 3,4 Prozent </w:t>
      </w:r>
      <w:r w:rsidR="003119B8">
        <w:rPr>
          <w:rFonts w:ascii="Arial" w:hAnsi="Arial" w:cs="Arial"/>
          <w:color w:val="363636"/>
          <w:shd w:val="clear" w:color="auto" w:fill="FFFFFF"/>
        </w:rPr>
        <w:t>langzeitarbeitslos</w:t>
      </w:r>
      <w:r w:rsidR="00D3750A">
        <w:rPr>
          <w:rFonts w:ascii="Arial" w:hAnsi="Arial" w:cs="Arial"/>
          <w:color w:val="363636"/>
          <w:shd w:val="clear" w:color="auto" w:fill="FFFFFF"/>
        </w:rPr>
        <w:t xml:space="preserve"> – 8,3 Millionen Personen oder auch 44,7 Prozent aller Arbeitslosen</w:t>
      </w:r>
      <w:r w:rsidR="003119B8">
        <w:rPr>
          <w:rFonts w:ascii="Arial" w:hAnsi="Arial" w:cs="Arial"/>
          <w:color w:val="363636"/>
          <w:shd w:val="clear" w:color="auto" w:fill="FFFFFF"/>
        </w:rPr>
        <w:t>.</w:t>
      </w:r>
    </w:p>
    <w:p w14:paraId="7E780BF7" w14:textId="77777777" w:rsidR="00992CA9" w:rsidRPr="00130273" w:rsidRDefault="00992CA9" w:rsidP="000276F6">
      <w:pPr>
        <w:rPr>
          <w:rFonts w:ascii="Arial" w:hAnsi="Arial" w:cs="Arial"/>
          <w:color w:val="363636"/>
          <w:shd w:val="clear" w:color="auto" w:fill="FFFFFF"/>
        </w:rPr>
      </w:pPr>
    </w:p>
    <w:p w14:paraId="3DDBB3A3" w14:textId="77777777" w:rsidR="00DA4DE2" w:rsidRPr="00130273" w:rsidRDefault="00DA4DE2">
      <w:pPr>
        <w:rPr>
          <w:rFonts w:ascii="Arial" w:hAnsi="Arial"/>
          <w:lang w:val="en-US"/>
        </w:rPr>
      </w:pPr>
      <w:proofErr w:type="spellStart"/>
      <w:r w:rsidRPr="00130273">
        <w:rPr>
          <w:rStyle w:val="Absatz-Standardschriftart1"/>
          <w:rFonts w:ascii="Arial" w:hAnsi="Arial"/>
          <w:color w:val="FF0000"/>
          <w:lang w:val="en-US"/>
        </w:rPr>
        <w:t>Datenquelle</w:t>
      </w:r>
      <w:proofErr w:type="spellEnd"/>
    </w:p>
    <w:p w14:paraId="30873A0D" w14:textId="77777777" w:rsidR="00DA4DE2" w:rsidRPr="007325B9" w:rsidRDefault="00DA4DE2">
      <w:pPr>
        <w:rPr>
          <w:rFonts w:ascii="Arial" w:hAnsi="Arial" w:cs="Arial"/>
          <w:color w:val="363636"/>
          <w:shd w:val="clear" w:color="auto" w:fill="FFFFFF"/>
          <w:lang w:val="en-US"/>
        </w:rPr>
      </w:pPr>
    </w:p>
    <w:p w14:paraId="53B2BB0F" w14:textId="461A3DA3" w:rsidR="00DA4DE2" w:rsidRPr="007325B9" w:rsidRDefault="00992CA9">
      <w:pPr>
        <w:rPr>
          <w:rFonts w:ascii="Arial" w:hAnsi="Arial" w:cs="Arial"/>
          <w:color w:val="363636"/>
          <w:shd w:val="clear" w:color="auto" w:fill="FFFFFF"/>
          <w:lang w:val="en-US"/>
        </w:rPr>
      </w:pPr>
      <w:r w:rsidRPr="007325B9">
        <w:rPr>
          <w:rFonts w:ascii="Arial" w:hAnsi="Arial" w:cs="Arial"/>
          <w:color w:val="363636"/>
          <w:shd w:val="clear" w:color="auto" w:fill="FFFFFF"/>
          <w:lang w:val="en-US"/>
        </w:rPr>
        <w:t>Eurostat: Online-</w:t>
      </w:r>
      <w:proofErr w:type="spellStart"/>
      <w:r w:rsidRPr="007325B9">
        <w:rPr>
          <w:rFonts w:ascii="Arial" w:hAnsi="Arial" w:cs="Arial"/>
          <w:color w:val="363636"/>
          <w:shd w:val="clear" w:color="auto" w:fill="FFFFFF"/>
          <w:lang w:val="en-US"/>
        </w:rPr>
        <w:t>Datenbank</w:t>
      </w:r>
      <w:proofErr w:type="spellEnd"/>
      <w:r w:rsidRPr="007325B9">
        <w:rPr>
          <w:rFonts w:ascii="Arial" w:hAnsi="Arial" w:cs="Arial"/>
          <w:color w:val="363636"/>
          <w:shd w:val="clear" w:color="auto" w:fill="FFFFFF"/>
          <w:lang w:val="en-US"/>
        </w:rPr>
        <w:t xml:space="preserve">: </w:t>
      </w:r>
      <w:r w:rsidR="006323DA" w:rsidRPr="007325B9">
        <w:rPr>
          <w:rFonts w:ascii="Arial" w:hAnsi="Arial" w:cs="Arial"/>
          <w:color w:val="363636"/>
          <w:shd w:val="clear" w:color="auto" w:fill="FFFFFF"/>
          <w:lang w:val="en-US"/>
        </w:rPr>
        <w:t xml:space="preserve">Unemployment by sex, age and duration of unemployment </w:t>
      </w:r>
      <w:r w:rsidRPr="007325B9">
        <w:rPr>
          <w:rFonts w:ascii="Arial" w:hAnsi="Arial" w:cs="Arial"/>
          <w:color w:val="363636"/>
          <w:shd w:val="clear" w:color="auto" w:fill="FFFFFF"/>
          <w:lang w:val="en-US"/>
        </w:rPr>
        <w:t>(Stand: 0</w:t>
      </w:r>
      <w:r w:rsidR="006323DA" w:rsidRPr="007325B9">
        <w:rPr>
          <w:rFonts w:ascii="Arial" w:hAnsi="Arial" w:cs="Arial"/>
          <w:color w:val="363636"/>
          <w:shd w:val="clear" w:color="auto" w:fill="FFFFFF"/>
          <w:lang w:val="en-US"/>
        </w:rPr>
        <w:t>7</w:t>
      </w:r>
      <w:r w:rsidRPr="007325B9">
        <w:rPr>
          <w:rFonts w:ascii="Arial" w:hAnsi="Arial" w:cs="Arial"/>
          <w:color w:val="363636"/>
          <w:shd w:val="clear" w:color="auto" w:fill="FFFFFF"/>
          <w:lang w:val="en-US"/>
        </w:rPr>
        <w:t>/201</w:t>
      </w:r>
      <w:r w:rsidR="006323DA" w:rsidRPr="007325B9">
        <w:rPr>
          <w:rFonts w:ascii="Arial" w:hAnsi="Arial" w:cs="Arial"/>
          <w:color w:val="363636"/>
          <w:shd w:val="clear" w:color="auto" w:fill="FFFFFF"/>
          <w:lang w:val="en-US"/>
        </w:rPr>
        <w:t>8</w:t>
      </w:r>
      <w:r w:rsidRPr="007325B9">
        <w:rPr>
          <w:rFonts w:ascii="Arial" w:hAnsi="Arial" w:cs="Arial"/>
          <w:color w:val="363636"/>
          <w:shd w:val="clear" w:color="auto" w:fill="FFFFFF"/>
          <w:lang w:val="en-US"/>
        </w:rPr>
        <w:t>)</w:t>
      </w:r>
    </w:p>
    <w:p w14:paraId="1D8D118C" w14:textId="77777777" w:rsidR="00992CA9" w:rsidRPr="007325B9" w:rsidRDefault="00992CA9">
      <w:pPr>
        <w:rPr>
          <w:rFonts w:ascii="Arial" w:hAnsi="Arial" w:cs="Arial"/>
          <w:color w:val="363636"/>
          <w:shd w:val="clear" w:color="auto" w:fill="FFFFFF"/>
          <w:lang w:val="en-US"/>
        </w:rPr>
      </w:pPr>
    </w:p>
    <w:p w14:paraId="0ABF0BBD" w14:textId="77777777" w:rsidR="00DA4DE2" w:rsidRDefault="00DA4DE2">
      <w:pPr>
        <w:rPr>
          <w:rStyle w:val="Absatz-Standardschriftart1"/>
          <w:rFonts w:ascii="Arial" w:hAnsi="Arial"/>
          <w:color w:val="FF0000"/>
        </w:rPr>
      </w:pPr>
      <w:r>
        <w:rPr>
          <w:rStyle w:val="Absatz-Standardschriftart1"/>
          <w:rFonts w:ascii="Arial" w:hAnsi="Arial"/>
          <w:color w:val="FF0000"/>
        </w:rPr>
        <w:t>Begriffe, methodische Anmerkungen oder Lesehilfen</w:t>
      </w:r>
    </w:p>
    <w:p w14:paraId="0FE1A2AD" w14:textId="77777777" w:rsidR="00ED04A8" w:rsidRDefault="00ED04A8">
      <w:pPr>
        <w:rPr>
          <w:rFonts w:cs="Arial"/>
          <w:color w:val="363636"/>
          <w:shd w:val="clear" w:color="auto" w:fill="FFFFFF"/>
        </w:rPr>
      </w:pPr>
    </w:p>
    <w:p w14:paraId="0AD9546E" w14:textId="77777777" w:rsidR="00C6236B" w:rsidRDefault="00C6236B" w:rsidP="00C6236B">
      <w:pPr>
        <w:rPr>
          <w:rFonts w:ascii="Arial" w:hAnsi="Arial"/>
          <w:color w:val="000000"/>
        </w:rPr>
      </w:pPr>
      <w:r>
        <w:rPr>
          <w:rStyle w:val="Absatz-Standardschriftart1"/>
          <w:rFonts w:ascii="Arial" w:hAnsi="Arial"/>
          <w:color w:val="000000"/>
        </w:rPr>
        <w:t xml:space="preserve">Zu den </w:t>
      </w:r>
      <w:r>
        <w:rPr>
          <w:rStyle w:val="Absatz-Standardschriftart1"/>
          <w:rFonts w:ascii="Arial" w:hAnsi="Arial"/>
          <w:b/>
          <w:color w:val="000000"/>
        </w:rPr>
        <w:t xml:space="preserve">Arbeitslosen </w:t>
      </w:r>
      <w:r>
        <w:rPr>
          <w:rStyle w:val="Absatz-Standardschriftart1"/>
          <w:rFonts w:ascii="Arial" w:hAnsi="Arial"/>
          <w:color w:val="000000"/>
        </w:rPr>
        <w:t xml:space="preserve">zählen hier alle Personen von 15 bis 74 Jahren, </w:t>
      </w:r>
    </w:p>
    <w:p w14:paraId="4E88C50B" w14:textId="77777777" w:rsidR="00C6236B" w:rsidRPr="00C6236B" w:rsidRDefault="00C6236B" w:rsidP="00C6236B">
      <w:pPr>
        <w:pStyle w:val="Listenabsatz"/>
        <w:numPr>
          <w:ilvl w:val="0"/>
          <w:numId w:val="1"/>
        </w:numPr>
        <w:rPr>
          <w:rFonts w:ascii="Arial" w:hAnsi="Arial" w:cs="Arial"/>
          <w:color w:val="000000"/>
        </w:rPr>
      </w:pPr>
      <w:r w:rsidRPr="00C6236B">
        <w:rPr>
          <w:rFonts w:ascii="Arial" w:hAnsi="Arial" w:cs="Arial"/>
          <w:color w:val="000000"/>
        </w:rPr>
        <w:t>die während der Bezugswoche ohne Arbeit waren,</w:t>
      </w:r>
    </w:p>
    <w:p w14:paraId="05D0C9AD" w14:textId="74DCFF81" w:rsidR="00C6236B" w:rsidRPr="00C6236B" w:rsidRDefault="00C6236B" w:rsidP="00C6236B">
      <w:pPr>
        <w:pStyle w:val="Listenabsatz"/>
        <w:numPr>
          <w:ilvl w:val="0"/>
          <w:numId w:val="1"/>
        </w:numPr>
        <w:rPr>
          <w:rFonts w:ascii="Arial" w:hAnsi="Arial" w:cs="Arial"/>
          <w:color w:val="000000"/>
        </w:rPr>
      </w:pPr>
      <w:r w:rsidRPr="00C6236B">
        <w:rPr>
          <w:rFonts w:ascii="Arial" w:hAnsi="Arial" w:cs="Arial"/>
          <w:color w:val="000000"/>
        </w:rPr>
        <w:t xml:space="preserve">die sofort bzw. innerhalb der zwei </w:t>
      </w:r>
      <w:r w:rsidRPr="00C6236B">
        <w:rPr>
          <w:rFonts w:ascii="Arial" w:hAnsi="Arial" w:cs="Arial"/>
          <w:lang w:eastAsia="de-DE"/>
        </w:rPr>
        <w:t xml:space="preserve">auf die </w:t>
      </w:r>
      <w:r w:rsidRPr="00C6236B">
        <w:rPr>
          <w:rFonts w:ascii="Arial" w:hAnsi="Arial" w:cs="Arial"/>
          <w:color w:val="000000"/>
        </w:rPr>
        <w:t xml:space="preserve">Bezugswoche </w:t>
      </w:r>
      <w:r w:rsidRPr="00C6236B">
        <w:rPr>
          <w:rFonts w:ascii="Arial" w:hAnsi="Arial" w:cs="Arial"/>
          <w:lang w:eastAsia="de-DE"/>
        </w:rPr>
        <w:t>folgenden</w:t>
      </w:r>
      <w:r w:rsidRPr="00C6236B">
        <w:rPr>
          <w:rFonts w:ascii="Arial" w:hAnsi="Arial" w:cs="Arial"/>
          <w:color w:val="000000"/>
        </w:rPr>
        <w:t xml:space="preserve"> Wochen eine Beschäftigung aufnehmen könnten und</w:t>
      </w:r>
    </w:p>
    <w:p w14:paraId="7E0459CC" w14:textId="22CA6943" w:rsidR="00130273" w:rsidRPr="00130273" w:rsidRDefault="00C6236B" w:rsidP="00130273">
      <w:pPr>
        <w:pStyle w:val="Listenabsatz"/>
        <w:numPr>
          <w:ilvl w:val="0"/>
          <w:numId w:val="1"/>
        </w:numPr>
        <w:rPr>
          <w:rFonts w:ascii="Arial" w:hAnsi="Arial" w:cs="Arial"/>
          <w:color w:val="363636"/>
          <w:shd w:val="clear" w:color="auto" w:fill="FFFFFF"/>
        </w:rPr>
      </w:pPr>
      <w:r w:rsidRPr="00130273">
        <w:rPr>
          <w:rFonts w:ascii="Arial" w:hAnsi="Arial" w:cs="Arial"/>
          <w:color w:val="000000"/>
        </w:rPr>
        <w:t xml:space="preserve">die während der vier der Bezugswoche vorangehenden Wochen aktiv eine Beschäftigung gesucht haben </w:t>
      </w:r>
      <w:r w:rsidRPr="00130273">
        <w:rPr>
          <w:rFonts w:ascii="Arial" w:hAnsi="Arial" w:cs="Arial"/>
          <w:lang w:eastAsia="de-DE"/>
        </w:rPr>
        <w:t>oder die eine Arbeit gefunden haben, die innerhalb de</w:t>
      </w:r>
      <w:r w:rsidR="00130273" w:rsidRPr="00130273">
        <w:rPr>
          <w:rFonts w:ascii="Arial" w:hAnsi="Arial" w:cs="Arial"/>
          <w:lang w:eastAsia="de-DE"/>
        </w:rPr>
        <w:t>r nächsten drei Monate beginnt.</w:t>
      </w:r>
    </w:p>
    <w:p w14:paraId="07F5F0AE" w14:textId="77777777" w:rsidR="00130273" w:rsidRDefault="00130273">
      <w:pPr>
        <w:rPr>
          <w:rFonts w:ascii="Arial" w:hAnsi="Arial" w:cs="Arial"/>
          <w:color w:val="363636"/>
          <w:shd w:val="clear" w:color="auto" w:fill="FFFFFF"/>
        </w:rPr>
      </w:pPr>
    </w:p>
    <w:p w14:paraId="4B023AF6" w14:textId="1D1374A3" w:rsidR="00C6236B" w:rsidRDefault="00C6236B">
      <w:pPr>
        <w:rPr>
          <w:rFonts w:ascii="Arial" w:hAnsi="Arial" w:cs="Arial"/>
          <w:color w:val="363636"/>
          <w:shd w:val="clear" w:color="auto" w:fill="FFFFFF"/>
        </w:rPr>
      </w:pPr>
      <w:r>
        <w:rPr>
          <w:rFonts w:ascii="Arial" w:hAnsi="Arial" w:cs="Arial"/>
          <w:color w:val="363636"/>
          <w:shd w:val="clear" w:color="auto" w:fill="FFFFFF"/>
        </w:rPr>
        <w:t>Als </w:t>
      </w:r>
      <w:r>
        <w:rPr>
          <w:rStyle w:val="Fett"/>
          <w:rFonts w:ascii="Arial" w:hAnsi="Arial" w:cs="Arial"/>
          <w:color w:val="363636"/>
          <w:shd w:val="clear" w:color="auto" w:fill="FFFFFF"/>
        </w:rPr>
        <w:t>Langzeitarbeitslose</w:t>
      </w:r>
      <w:r>
        <w:rPr>
          <w:rFonts w:ascii="Arial" w:hAnsi="Arial" w:cs="Arial"/>
          <w:color w:val="363636"/>
          <w:shd w:val="clear" w:color="auto" w:fill="FFFFFF"/>
        </w:rPr>
        <w:t> gelten Personen, die zum Zeitpunkt der Erhebung</w:t>
      </w:r>
      <w:r w:rsidR="0039046A">
        <w:rPr>
          <w:rFonts w:ascii="Arial" w:hAnsi="Arial" w:cs="Arial"/>
          <w:color w:val="363636"/>
          <w:shd w:val="clear" w:color="auto" w:fill="FFFFFF"/>
        </w:rPr>
        <w:t xml:space="preserve"> ein Jahr oder länger </w:t>
      </w:r>
      <w:r>
        <w:rPr>
          <w:rFonts w:ascii="Arial" w:hAnsi="Arial" w:cs="Arial"/>
          <w:color w:val="363636"/>
          <w:shd w:val="clear" w:color="auto" w:fill="FFFFFF"/>
        </w:rPr>
        <w:t>arbeitslos waren.</w:t>
      </w:r>
    </w:p>
    <w:p w14:paraId="690DE6CD" w14:textId="77777777" w:rsidR="00C6236B" w:rsidRDefault="00C6236B">
      <w:pPr>
        <w:rPr>
          <w:rFonts w:ascii="Arial" w:hAnsi="Arial" w:cs="Arial"/>
          <w:color w:val="363636"/>
          <w:shd w:val="clear" w:color="auto" w:fill="FFFFFF"/>
        </w:rPr>
      </w:pPr>
    </w:p>
    <w:p w14:paraId="24B7DD04" w14:textId="383122E2" w:rsidR="0039046A" w:rsidRPr="00130273" w:rsidRDefault="0039046A" w:rsidP="0039046A">
      <w:pPr>
        <w:rPr>
          <w:rFonts w:ascii="Arial" w:hAnsi="Arial" w:cs="Arial"/>
          <w:color w:val="363636"/>
          <w:shd w:val="clear" w:color="auto" w:fill="FFFFFF"/>
        </w:rPr>
      </w:pPr>
      <w:r>
        <w:rPr>
          <w:rFonts w:ascii="Arial" w:hAnsi="Arial" w:cs="Arial"/>
          <w:color w:val="363636"/>
          <w:shd w:val="clear" w:color="auto" w:fill="FFFFFF"/>
        </w:rPr>
        <w:t>Die </w:t>
      </w:r>
      <w:r>
        <w:rPr>
          <w:rStyle w:val="Fett"/>
          <w:rFonts w:ascii="Arial" w:hAnsi="Arial" w:cs="Arial"/>
          <w:color w:val="363636"/>
          <w:shd w:val="clear" w:color="auto" w:fill="FFFFFF"/>
        </w:rPr>
        <w:t>Arbeitslosigkeitsdauer</w:t>
      </w:r>
      <w:r>
        <w:rPr>
          <w:rFonts w:ascii="Arial" w:hAnsi="Arial" w:cs="Arial"/>
          <w:color w:val="363636"/>
          <w:shd w:val="clear" w:color="auto" w:fill="FFFFFF"/>
        </w:rPr>
        <w:t xml:space="preserve"> ist </w:t>
      </w:r>
      <w:r w:rsidR="000633E9">
        <w:rPr>
          <w:rFonts w:ascii="Arial" w:hAnsi="Arial" w:cs="Arial"/>
          <w:color w:val="363636"/>
          <w:shd w:val="clear" w:color="auto" w:fill="FFFFFF"/>
        </w:rPr>
        <w:t xml:space="preserve">entweder die Dauer der Arbeitssuche oder der </w:t>
      </w:r>
      <w:r>
        <w:rPr>
          <w:rFonts w:ascii="Arial" w:hAnsi="Arial" w:cs="Arial"/>
          <w:color w:val="363636"/>
          <w:shd w:val="clear" w:color="auto" w:fill="FFFFFF"/>
        </w:rPr>
        <w:t>Zeitraum</w:t>
      </w:r>
      <w:r w:rsidR="000633E9">
        <w:rPr>
          <w:rFonts w:ascii="Arial" w:hAnsi="Arial" w:cs="Arial"/>
          <w:color w:val="363636"/>
          <w:shd w:val="clear" w:color="auto" w:fill="FFFFFF"/>
        </w:rPr>
        <w:t xml:space="preserve"> zwischen Datenerhebung und letzter Beschäftigung </w:t>
      </w:r>
      <w:r>
        <w:rPr>
          <w:rFonts w:ascii="Arial" w:hAnsi="Arial" w:cs="Arial"/>
          <w:color w:val="363636"/>
          <w:shd w:val="clear" w:color="auto" w:fill="FFFFFF"/>
        </w:rPr>
        <w:t>(</w:t>
      </w:r>
      <w:r w:rsidR="000633E9">
        <w:rPr>
          <w:rFonts w:ascii="Arial" w:hAnsi="Arial" w:cs="Arial"/>
          <w:color w:val="363636"/>
          <w:shd w:val="clear" w:color="auto" w:fill="FFFFFF"/>
        </w:rPr>
        <w:t xml:space="preserve">je nachdem, welcher </w:t>
      </w:r>
      <w:r>
        <w:rPr>
          <w:rFonts w:ascii="Arial" w:hAnsi="Arial" w:cs="Arial"/>
          <w:color w:val="363636"/>
          <w:shd w:val="clear" w:color="auto" w:fill="FFFFFF"/>
        </w:rPr>
        <w:t>Zeitraum</w:t>
      </w:r>
      <w:r w:rsidR="000633E9" w:rsidRPr="000633E9">
        <w:rPr>
          <w:rFonts w:ascii="Arial" w:hAnsi="Arial" w:cs="Arial"/>
          <w:color w:val="363636"/>
          <w:shd w:val="clear" w:color="auto" w:fill="FFFFFF"/>
        </w:rPr>
        <w:t xml:space="preserve"> </w:t>
      </w:r>
      <w:r w:rsidR="000633E9">
        <w:rPr>
          <w:rFonts w:ascii="Arial" w:hAnsi="Arial" w:cs="Arial"/>
          <w:color w:val="363636"/>
          <w:shd w:val="clear" w:color="auto" w:fill="FFFFFF"/>
        </w:rPr>
        <w:t>kürzer ist</w:t>
      </w:r>
      <w:r>
        <w:rPr>
          <w:rFonts w:ascii="Arial" w:hAnsi="Arial" w:cs="Arial"/>
          <w:color w:val="363636"/>
          <w:shd w:val="clear" w:color="auto" w:fill="FFFFFF"/>
        </w:rPr>
        <w:t>).</w:t>
      </w:r>
    </w:p>
    <w:p w14:paraId="3CA6A2BE" w14:textId="77777777" w:rsidR="0039046A" w:rsidRPr="00C10280" w:rsidRDefault="0039046A" w:rsidP="0039046A">
      <w:pPr>
        <w:rPr>
          <w:rFonts w:ascii="Arial" w:hAnsi="Arial" w:cs="Arial"/>
          <w:color w:val="363636"/>
          <w:shd w:val="clear" w:color="auto" w:fill="FFFFFF"/>
        </w:rPr>
      </w:pPr>
    </w:p>
    <w:p w14:paraId="7E500BB4" w14:textId="59C208D6" w:rsidR="00992CA9" w:rsidRPr="00130273" w:rsidRDefault="001E064E">
      <w:pPr>
        <w:rPr>
          <w:rFonts w:ascii="Arial" w:hAnsi="Arial" w:cs="Arial"/>
          <w:color w:val="363636"/>
          <w:shd w:val="clear" w:color="auto" w:fill="FFFFFF"/>
        </w:rPr>
      </w:pPr>
      <w:r>
        <w:rPr>
          <w:rStyle w:val="Absatz-Standardschriftart1"/>
          <w:rFonts w:ascii="Arial" w:hAnsi="Arial"/>
          <w:b/>
          <w:color w:val="000000"/>
        </w:rPr>
        <w:t>Erwerbstätige</w:t>
      </w:r>
      <w:r>
        <w:rPr>
          <w:rStyle w:val="Absatz-Standardschriftart1"/>
          <w:rFonts w:ascii="Arial" w:hAnsi="Arial"/>
          <w:color w:val="000000"/>
        </w:rPr>
        <w:t xml:space="preserve"> sind </w:t>
      </w:r>
      <w:r w:rsidRPr="000077C7">
        <w:rPr>
          <w:rStyle w:val="Absatz-Standardschriftart1"/>
          <w:rFonts w:ascii="Arial" w:hAnsi="Arial"/>
          <w:color w:val="000000"/>
        </w:rPr>
        <w:t xml:space="preserve">alle </w:t>
      </w:r>
      <w:r>
        <w:rPr>
          <w:rStyle w:val="Absatz-Standardschriftart1"/>
          <w:rFonts w:ascii="Arial" w:hAnsi="Arial"/>
          <w:color w:val="000000"/>
        </w:rPr>
        <w:t xml:space="preserve">Personen im Alter von mindestens 15 Jahren, die in der </w:t>
      </w:r>
      <w:r w:rsidRPr="000077C7">
        <w:rPr>
          <w:rStyle w:val="Absatz-Standardschriftart1"/>
          <w:rFonts w:ascii="Arial" w:hAnsi="Arial"/>
          <w:color w:val="000000"/>
        </w:rPr>
        <w:t xml:space="preserve">Bezugswoche </w:t>
      </w:r>
      <w:r>
        <w:rPr>
          <w:rStyle w:val="Absatz-Standardschriftart1"/>
          <w:rFonts w:ascii="Arial" w:hAnsi="Arial"/>
          <w:color w:val="000000"/>
        </w:rPr>
        <w:t>(der EU</w:t>
      </w:r>
      <w:r w:rsidRPr="00130273">
        <w:rPr>
          <w:rFonts w:ascii="Arial" w:hAnsi="Arial" w:cs="Arial"/>
          <w:color w:val="363636"/>
          <w:shd w:val="clear" w:color="auto" w:fill="FFFFFF"/>
        </w:rPr>
        <w:t xml:space="preserve">-Arbeitskräfteerhebung) </w:t>
      </w:r>
      <w:r>
        <w:rPr>
          <w:rFonts w:ascii="Arial" w:hAnsi="Arial" w:cs="Arial"/>
          <w:color w:val="363636"/>
          <w:shd w:val="clear" w:color="auto" w:fill="FFFFFF"/>
        </w:rPr>
        <w:t>gegen Entgelt, zur Gewinnerzielung oder zur Mehrung des Familieneinkommens</w:t>
      </w:r>
      <w:r w:rsidRPr="00130273">
        <w:rPr>
          <w:rFonts w:ascii="Arial" w:hAnsi="Arial" w:cs="Arial"/>
          <w:color w:val="363636"/>
          <w:shd w:val="clear" w:color="auto" w:fill="FFFFFF"/>
        </w:rPr>
        <w:t xml:space="preserve"> mindestens eine Stunde gearbeitet haben sowie alle Personen, die nur vorübergehend von ihrer Arbeit abwesend sind (zum Beispiel aufgrund von Krankheit, Urlaub, Streik, Aus- oder Weiterbildungsmaßnahmen).</w:t>
      </w:r>
    </w:p>
    <w:p w14:paraId="0EF4A09B" w14:textId="77777777" w:rsidR="001E064E" w:rsidRDefault="001E064E">
      <w:pPr>
        <w:rPr>
          <w:rFonts w:ascii="Arial" w:hAnsi="Arial" w:cs="Arial"/>
          <w:color w:val="363636"/>
          <w:shd w:val="clear" w:color="auto" w:fill="FFFFFF"/>
        </w:rPr>
      </w:pPr>
    </w:p>
    <w:p w14:paraId="3D08EDDB" w14:textId="77777777" w:rsidR="00D2082D" w:rsidRDefault="00D2082D" w:rsidP="00D2082D">
      <w:pPr>
        <w:rPr>
          <w:rFonts w:ascii="Arial" w:hAnsi="Arial"/>
          <w:sz w:val="20"/>
          <w:szCs w:val="20"/>
        </w:rPr>
      </w:pPr>
      <w:r>
        <w:rPr>
          <w:rFonts w:ascii="Arial" w:hAnsi="Arial"/>
          <w:sz w:val="20"/>
          <w:szCs w:val="20"/>
        </w:rPr>
        <w:lastRenderedPageBreak/>
        <w:t xml:space="preserve">Dieser Text ist unter der Creative Commons Lizenz </w:t>
      </w:r>
      <w:hyperlink r:id="rId7" w:tgtFrame="extern" w:history="1">
        <w:r w:rsidRPr="00595F8B">
          <w:rPr>
            <w:rFonts w:ascii="Arial" w:hAnsi="Arial"/>
            <w:sz w:val="20"/>
            <w:szCs w:val="20"/>
          </w:rPr>
          <w:t>by-nc-nd/3.0/de/</w:t>
        </w:r>
      </w:hyperlink>
      <w:r>
        <w:rPr>
          <w:rFonts w:ascii="Arial" w:hAnsi="Arial"/>
          <w:sz w:val="20"/>
          <w:szCs w:val="20"/>
        </w:rPr>
        <w:t xml:space="preserve"> veröffentlicht. </w:t>
      </w:r>
    </w:p>
    <w:p w14:paraId="104B203A" w14:textId="43A723D0" w:rsidR="00F56C6E" w:rsidRDefault="00D2082D">
      <w:pPr>
        <w:rPr>
          <w:rFonts w:ascii="Arial" w:hAnsi="Arial"/>
          <w:sz w:val="20"/>
          <w:szCs w:val="20"/>
        </w:rPr>
      </w:pPr>
      <w:r>
        <w:rPr>
          <w:rFonts w:ascii="Arial" w:hAnsi="Arial"/>
          <w:sz w:val="20"/>
          <w:szCs w:val="20"/>
        </w:rPr>
        <w:t>Bundeszentrale für politische Bildung 201</w:t>
      </w:r>
      <w:r w:rsidR="007325B9">
        <w:rPr>
          <w:rFonts w:ascii="Arial" w:hAnsi="Arial"/>
          <w:sz w:val="20"/>
          <w:szCs w:val="20"/>
        </w:rPr>
        <w:t>9</w:t>
      </w:r>
      <w:r>
        <w:rPr>
          <w:rFonts w:ascii="Arial" w:hAnsi="Arial"/>
          <w:sz w:val="20"/>
          <w:szCs w:val="20"/>
        </w:rPr>
        <w:t xml:space="preserve"> | </w:t>
      </w:r>
      <w:hyperlink r:id="rId8" w:history="1">
        <w:r w:rsidRPr="00595F8B">
          <w:rPr>
            <w:rFonts w:ascii="Arial" w:hAnsi="Arial"/>
            <w:sz w:val="20"/>
            <w:szCs w:val="20"/>
          </w:rPr>
          <w:t>www.bpb.de</w:t>
        </w:r>
      </w:hyperlink>
    </w:p>
    <w:sectPr w:rsidR="00F56C6E">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F6079"/>
    <w:multiLevelType w:val="multilevel"/>
    <w:tmpl w:val="76C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F4D8B"/>
    <w:multiLevelType w:val="hybridMultilevel"/>
    <w:tmpl w:val="85AA6CC8"/>
    <w:lvl w:ilvl="0" w:tplc="272627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13"/>
    <w:rsid w:val="000114C7"/>
    <w:rsid w:val="0002482A"/>
    <w:rsid w:val="000276F6"/>
    <w:rsid w:val="0003364A"/>
    <w:rsid w:val="00044964"/>
    <w:rsid w:val="00056826"/>
    <w:rsid w:val="00056EDA"/>
    <w:rsid w:val="00062A38"/>
    <w:rsid w:val="000633E9"/>
    <w:rsid w:val="00070A93"/>
    <w:rsid w:val="000728FC"/>
    <w:rsid w:val="00075182"/>
    <w:rsid w:val="000771FC"/>
    <w:rsid w:val="000A1861"/>
    <w:rsid w:val="000A3CFA"/>
    <w:rsid w:val="000A5B99"/>
    <w:rsid w:val="000A5FC7"/>
    <w:rsid w:val="000B14E0"/>
    <w:rsid w:val="000B6FD4"/>
    <w:rsid w:val="000E3D65"/>
    <w:rsid w:val="000E4B99"/>
    <w:rsid w:val="001018BD"/>
    <w:rsid w:val="00103015"/>
    <w:rsid w:val="001069B4"/>
    <w:rsid w:val="00120C90"/>
    <w:rsid w:val="00130273"/>
    <w:rsid w:val="00131BAE"/>
    <w:rsid w:val="001332BD"/>
    <w:rsid w:val="00154664"/>
    <w:rsid w:val="001626DA"/>
    <w:rsid w:val="001647B2"/>
    <w:rsid w:val="00165C1C"/>
    <w:rsid w:val="00182BDC"/>
    <w:rsid w:val="00185E3E"/>
    <w:rsid w:val="00192110"/>
    <w:rsid w:val="001A113B"/>
    <w:rsid w:val="001A6020"/>
    <w:rsid w:val="001B37B0"/>
    <w:rsid w:val="001D41D8"/>
    <w:rsid w:val="001E064E"/>
    <w:rsid w:val="001F0331"/>
    <w:rsid w:val="001F117A"/>
    <w:rsid w:val="001F57E0"/>
    <w:rsid w:val="001F7E45"/>
    <w:rsid w:val="00231C75"/>
    <w:rsid w:val="00233842"/>
    <w:rsid w:val="00234140"/>
    <w:rsid w:val="00244B4E"/>
    <w:rsid w:val="002548C0"/>
    <w:rsid w:val="0026000F"/>
    <w:rsid w:val="00261EB3"/>
    <w:rsid w:val="002637A4"/>
    <w:rsid w:val="002724A4"/>
    <w:rsid w:val="00282BAF"/>
    <w:rsid w:val="002850DE"/>
    <w:rsid w:val="00292358"/>
    <w:rsid w:val="002A0178"/>
    <w:rsid w:val="002D2A96"/>
    <w:rsid w:val="002D64F4"/>
    <w:rsid w:val="002D7B06"/>
    <w:rsid w:val="002E019E"/>
    <w:rsid w:val="002E2E39"/>
    <w:rsid w:val="002F089A"/>
    <w:rsid w:val="002F3EE8"/>
    <w:rsid w:val="00307CBE"/>
    <w:rsid w:val="003119B8"/>
    <w:rsid w:val="00313D9A"/>
    <w:rsid w:val="00324B3D"/>
    <w:rsid w:val="003313AA"/>
    <w:rsid w:val="003408F5"/>
    <w:rsid w:val="00345F0E"/>
    <w:rsid w:val="00380040"/>
    <w:rsid w:val="00380BB3"/>
    <w:rsid w:val="00382E13"/>
    <w:rsid w:val="0039046A"/>
    <w:rsid w:val="00392237"/>
    <w:rsid w:val="003957BD"/>
    <w:rsid w:val="003A6A52"/>
    <w:rsid w:val="003E6CBC"/>
    <w:rsid w:val="003E7AFC"/>
    <w:rsid w:val="003F4572"/>
    <w:rsid w:val="00402CFF"/>
    <w:rsid w:val="004030EB"/>
    <w:rsid w:val="0040687B"/>
    <w:rsid w:val="0044060D"/>
    <w:rsid w:val="00450D21"/>
    <w:rsid w:val="00455F52"/>
    <w:rsid w:val="00471DA5"/>
    <w:rsid w:val="00472226"/>
    <w:rsid w:val="00476543"/>
    <w:rsid w:val="00486A15"/>
    <w:rsid w:val="004903E1"/>
    <w:rsid w:val="004C124B"/>
    <w:rsid w:val="004D1E26"/>
    <w:rsid w:val="004D2EFE"/>
    <w:rsid w:val="004E3A93"/>
    <w:rsid w:val="004E4C93"/>
    <w:rsid w:val="004F4BF5"/>
    <w:rsid w:val="00520C79"/>
    <w:rsid w:val="00524EF9"/>
    <w:rsid w:val="005334DC"/>
    <w:rsid w:val="005345B6"/>
    <w:rsid w:val="005417FA"/>
    <w:rsid w:val="0056591A"/>
    <w:rsid w:val="00571D2A"/>
    <w:rsid w:val="005726D3"/>
    <w:rsid w:val="00577A3F"/>
    <w:rsid w:val="00584938"/>
    <w:rsid w:val="00585D1D"/>
    <w:rsid w:val="0059302E"/>
    <w:rsid w:val="005A3391"/>
    <w:rsid w:val="005A5739"/>
    <w:rsid w:val="005B11AC"/>
    <w:rsid w:val="005B7E92"/>
    <w:rsid w:val="005D07AC"/>
    <w:rsid w:val="005E1DB7"/>
    <w:rsid w:val="005F32F5"/>
    <w:rsid w:val="0060015E"/>
    <w:rsid w:val="00602231"/>
    <w:rsid w:val="006109EF"/>
    <w:rsid w:val="006323DA"/>
    <w:rsid w:val="0063248C"/>
    <w:rsid w:val="00642ABD"/>
    <w:rsid w:val="006602B4"/>
    <w:rsid w:val="00664B0D"/>
    <w:rsid w:val="00664C93"/>
    <w:rsid w:val="006701F4"/>
    <w:rsid w:val="00684772"/>
    <w:rsid w:val="0069060F"/>
    <w:rsid w:val="006B3C96"/>
    <w:rsid w:val="006B4A78"/>
    <w:rsid w:val="006B5BE8"/>
    <w:rsid w:val="006C0CFD"/>
    <w:rsid w:val="006D3D9F"/>
    <w:rsid w:val="006F5E22"/>
    <w:rsid w:val="00725CC5"/>
    <w:rsid w:val="0072693B"/>
    <w:rsid w:val="007325B9"/>
    <w:rsid w:val="007452F8"/>
    <w:rsid w:val="007454FA"/>
    <w:rsid w:val="00745D2D"/>
    <w:rsid w:val="00754295"/>
    <w:rsid w:val="007577D3"/>
    <w:rsid w:val="00775BE9"/>
    <w:rsid w:val="0077656D"/>
    <w:rsid w:val="00790559"/>
    <w:rsid w:val="007911A5"/>
    <w:rsid w:val="00793642"/>
    <w:rsid w:val="00796326"/>
    <w:rsid w:val="007C6AE7"/>
    <w:rsid w:val="007D23B3"/>
    <w:rsid w:val="007D4949"/>
    <w:rsid w:val="007E3A6D"/>
    <w:rsid w:val="00801B1A"/>
    <w:rsid w:val="0080363F"/>
    <w:rsid w:val="00805D15"/>
    <w:rsid w:val="0081742B"/>
    <w:rsid w:val="008215E2"/>
    <w:rsid w:val="008227EE"/>
    <w:rsid w:val="008241C6"/>
    <w:rsid w:val="008261D9"/>
    <w:rsid w:val="0083066B"/>
    <w:rsid w:val="0084713E"/>
    <w:rsid w:val="00854D3A"/>
    <w:rsid w:val="00857767"/>
    <w:rsid w:val="00860554"/>
    <w:rsid w:val="0087634E"/>
    <w:rsid w:val="0087639E"/>
    <w:rsid w:val="00880907"/>
    <w:rsid w:val="008A0BC8"/>
    <w:rsid w:val="008B3920"/>
    <w:rsid w:val="008C3A0D"/>
    <w:rsid w:val="008C5587"/>
    <w:rsid w:val="008E09E2"/>
    <w:rsid w:val="00900B96"/>
    <w:rsid w:val="0091448C"/>
    <w:rsid w:val="00936424"/>
    <w:rsid w:val="00936B67"/>
    <w:rsid w:val="0094069F"/>
    <w:rsid w:val="00942C62"/>
    <w:rsid w:val="00943563"/>
    <w:rsid w:val="00945FBA"/>
    <w:rsid w:val="0095124B"/>
    <w:rsid w:val="00957272"/>
    <w:rsid w:val="009853B7"/>
    <w:rsid w:val="00992CA9"/>
    <w:rsid w:val="009A148A"/>
    <w:rsid w:val="009C2DA4"/>
    <w:rsid w:val="009C3B9C"/>
    <w:rsid w:val="009E19D8"/>
    <w:rsid w:val="009E7EFF"/>
    <w:rsid w:val="009F01E0"/>
    <w:rsid w:val="009F1B71"/>
    <w:rsid w:val="00A12FAD"/>
    <w:rsid w:val="00A141DD"/>
    <w:rsid w:val="00A21184"/>
    <w:rsid w:val="00A328FA"/>
    <w:rsid w:val="00A354D5"/>
    <w:rsid w:val="00A42406"/>
    <w:rsid w:val="00A42C87"/>
    <w:rsid w:val="00A43C4E"/>
    <w:rsid w:val="00A5070B"/>
    <w:rsid w:val="00A62140"/>
    <w:rsid w:val="00A62313"/>
    <w:rsid w:val="00A714B0"/>
    <w:rsid w:val="00A71784"/>
    <w:rsid w:val="00A8044F"/>
    <w:rsid w:val="00A806CA"/>
    <w:rsid w:val="00A8154B"/>
    <w:rsid w:val="00AA0193"/>
    <w:rsid w:val="00AA0AFC"/>
    <w:rsid w:val="00AB0872"/>
    <w:rsid w:val="00AC2C3E"/>
    <w:rsid w:val="00AD166C"/>
    <w:rsid w:val="00AF1717"/>
    <w:rsid w:val="00AF2C78"/>
    <w:rsid w:val="00AF7486"/>
    <w:rsid w:val="00B0637F"/>
    <w:rsid w:val="00B072B2"/>
    <w:rsid w:val="00B1272A"/>
    <w:rsid w:val="00B12E8D"/>
    <w:rsid w:val="00B1401B"/>
    <w:rsid w:val="00B277D3"/>
    <w:rsid w:val="00B469CC"/>
    <w:rsid w:val="00B54805"/>
    <w:rsid w:val="00B54CE7"/>
    <w:rsid w:val="00B6608C"/>
    <w:rsid w:val="00B7080B"/>
    <w:rsid w:val="00B77218"/>
    <w:rsid w:val="00B80F18"/>
    <w:rsid w:val="00B979DD"/>
    <w:rsid w:val="00BA15AC"/>
    <w:rsid w:val="00BB1263"/>
    <w:rsid w:val="00BB26AA"/>
    <w:rsid w:val="00BD04A0"/>
    <w:rsid w:val="00BE37AA"/>
    <w:rsid w:val="00C10280"/>
    <w:rsid w:val="00C10832"/>
    <w:rsid w:val="00C31020"/>
    <w:rsid w:val="00C31E1F"/>
    <w:rsid w:val="00C354AC"/>
    <w:rsid w:val="00C422E3"/>
    <w:rsid w:val="00C53B8A"/>
    <w:rsid w:val="00C6236B"/>
    <w:rsid w:val="00C66EA6"/>
    <w:rsid w:val="00C7500E"/>
    <w:rsid w:val="00C80BC0"/>
    <w:rsid w:val="00C81708"/>
    <w:rsid w:val="00C91250"/>
    <w:rsid w:val="00CA3446"/>
    <w:rsid w:val="00CA344B"/>
    <w:rsid w:val="00CB6DE3"/>
    <w:rsid w:val="00CB7535"/>
    <w:rsid w:val="00CD3113"/>
    <w:rsid w:val="00CE41FE"/>
    <w:rsid w:val="00CF26D2"/>
    <w:rsid w:val="00CF45D4"/>
    <w:rsid w:val="00CF4EE0"/>
    <w:rsid w:val="00D016FE"/>
    <w:rsid w:val="00D13775"/>
    <w:rsid w:val="00D2082D"/>
    <w:rsid w:val="00D210F6"/>
    <w:rsid w:val="00D3750A"/>
    <w:rsid w:val="00D42D77"/>
    <w:rsid w:val="00D513E7"/>
    <w:rsid w:val="00D552DC"/>
    <w:rsid w:val="00D76851"/>
    <w:rsid w:val="00D82041"/>
    <w:rsid w:val="00D93546"/>
    <w:rsid w:val="00D937C5"/>
    <w:rsid w:val="00DA4DE2"/>
    <w:rsid w:val="00DA6BF5"/>
    <w:rsid w:val="00DB0F4F"/>
    <w:rsid w:val="00DC356D"/>
    <w:rsid w:val="00DD07BE"/>
    <w:rsid w:val="00DD704E"/>
    <w:rsid w:val="00E06DD4"/>
    <w:rsid w:val="00E219E9"/>
    <w:rsid w:val="00E33E79"/>
    <w:rsid w:val="00E51C68"/>
    <w:rsid w:val="00E53FDF"/>
    <w:rsid w:val="00E73B38"/>
    <w:rsid w:val="00E761FB"/>
    <w:rsid w:val="00E96224"/>
    <w:rsid w:val="00EA163E"/>
    <w:rsid w:val="00EB6B7E"/>
    <w:rsid w:val="00EB76F9"/>
    <w:rsid w:val="00EC6873"/>
    <w:rsid w:val="00ED04A8"/>
    <w:rsid w:val="00ED224D"/>
    <w:rsid w:val="00F1767E"/>
    <w:rsid w:val="00F2373F"/>
    <w:rsid w:val="00F425F6"/>
    <w:rsid w:val="00F447CB"/>
    <w:rsid w:val="00F44DC4"/>
    <w:rsid w:val="00F56391"/>
    <w:rsid w:val="00F56C6E"/>
    <w:rsid w:val="00F7210A"/>
    <w:rsid w:val="00F72974"/>
    <w:rsid w:val="00F7597D"/>
    <w:rsid w:val="00F81EEF"/>
    <w:rsid w:val="00F9239D"/>
    <w:rsid w:val="00F93CC0"/>
    <w:rsid w:val="00F955B6"/>
    <w:rsid w:val="00FA2623"/>
    <w:rsid w:val="00FA2A7D"/>
    <w:rsid w:val="00FA6586"/>
    <w:rsid w:val="00FA7B31"/>
    <w:rsid w:val="00FC4D73"/>
    <w:rsid w:val="00FC69DF"/>
    <w:rsid w:val="00FC7DEE"/>
    <w:rsid w:val="00FD033D"/>
    <w:rsid w:val="00FE2EE9"/>
    <w:rsid w:val="00FE7A86"/>
    <w:rsid w:val="00FF4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88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link w:val="berschrift1Zchn"/>
    <w:uiPriority w:val="9"/>
    <w:qFormat/>
    <w:rsid w:val="00D210F6"/>
    <w:pPr>
      <w:suppressAutoHyphens w:val="0"/>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uiPriority w:val="99"/>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customStyle="1" w:styleId="berschrift1Zchn">
    <w:name w:val="Überschrift 1 Zchn"/>
    <w:basedOn w:val="Absatz-Standardschriftart"/>
    <w:link w:val="berschrift1"/>
    <w:uiPriority w:val="9"/>
    <w:rsid w:val="00D210F6"/>
    <w:rPr>
      <w:b/>
      <w:bCs/>
      <w:kern w:val="36"/>
      <w:sz w:val="48"/>
      <w:szCs w:val="48"/>
    </w:rPr>
  </w:style>
  <w:style w:type="character" w:styleId="Fett">
    <w:name w:val="Strong"/>
    <w:basedOn w:val="Absatz-Standardschriftart"/>
    <w:uiPriority w:val="22"/>
    <w:qFormat/>
    <w:rsid w:val="00992C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link w:val="berschrift1Zchn"/>
    <w:uiPriority w:val="9"/>
    <w:qFormat/>
    <w:rsid w:val="00D210F6"/>
    <w:pPr>
      <w:suppressAutoHyphens w:val="0"/>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uiPriority w:val="99"/>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customStyle="1" w:styleId="berschrift1Zchn">
    <w:name w:val="Überschrift 1 Zchn"/>
    <w:basedOn w:val="Absatz-Standardschriftart"/>
    <w:link w:val="berschrift1"/>
    <w:uiPriority w:val="9"/>
    <w:rsid w:val="00D210F6"/>
    <w:rPr>
      <w:b/>
      <w:bCs/>
      <w:kern w:val="36"/>
      <w:sz w:val="48"/>
      <w:szCs w:val="48"/>
    </w:rPr>
  </w:style>
  <w:style w:type="character" w:styleId="Fett">
    <w:name w:val="Strong"/>
    <w:basedOn w:val="Absatz-Standardschriftart"/>
    <w:uiPriority w:val="22"/>
    <w:qFormat/>
    <w:rsid w:val="00992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98313">
      <w:bodyDiv w:val="1"/>
      <w:marLeft w:val="0"/>
      <w:marRight w:val="0"/>
      <w:marTop w:val="0"/>
      <w:marBottom w:val="0"/>
      <w:divBdr>
        <w:top w:val="none" w:sz="0" w:space="0" w:color="auto"/>
        <w:left w:val="none" w:sz="0" w:space="0" w:color="auto"/>
        <w:bottom w:val="none" w:sz="0" w:space="0" w:color="auto"/>
        <w:right w:val="none" w:sz="0" w:space="0" w:color="auto"/>
      </w:divBdr>
      <w:divsChild>
        <w:div w:id="1617636006">
          <w:marLeft w:val="0"/>
          <w:marRight w:val="0"/>
          <w:marTop w:val="0"/>
          <w:marBottom w:val="0"/>
          <w:divBdr>
            <w:top w:val="none" w:sz="0" w:space="0" w:color="auto"/>
            <w:left w:val="none" w:sz="0" w:space="0" w:color="auto"/>
            <w:bottom w:val="none" w:sz="0" w:space="0" w:color="auto"/>
            <w:right w:val="none" w:sz="0" w:space="0" w:color="auto"/>
          </w:divBdr>
          <w:divsChild>
            <w:div w:id="1352105667">
              <w:marLeft w:val="0"/>
              <w:marRight w:val="0"/>
              <w:marTop w:val="0"/>
              <w:marBottom w:val="0"/>
              <w:divBdr>
                <w:top w:val="none" w:sz="0" w:space="0" w:color="auto"/>
                <w:left w:val="none" w:sz="0" w:space="0" w:color="auto"/>
                <w:bottom w:val="none" w:sz="0" w:space="0" w:color="auto"/>
                <w:right w:val="none" w:sz="0" w:space="0" w:color="auto"/>
              </w:divBdr>
            </w:div>
            <w:div w:id="10235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165">
      <w:bodyDiv w:val="1"/>
      <w:marLeft w:val="0"/>
      <w:marRight w:val="0"/>
      <w:marTop w:val="0"/>
      <w:marBottom w:val="0"/>
      <w:divBdr>
        <w:top w:val="none" w:sz="0" w:space="0" w:color="auto"/>
        <w:left w:val="none" w:sz="0" w:space="0" w:color="auto"/>
        <w:bottom w:val="none" w:sz="0" w:space="0" w:color="auto"/>
        <w:right w:val="none" w:sz="0" w:space="0" w:color="auto"/>
      </w:divBdr>
      <w:divsChild>
        <w:div w:id="1989624828">
          <w:marLeft w:val="0"/>
          <w:marRight w:val="0"/>
          <w:marTop w:val="0"/>
          <w:marBottom w:val="0"/>
          <w:divBdr>
            <w:top w:val="none" w:sz="0" w:space="0" w:color="auto"/>
            <w:left w:val="none" w:sz="0" w:space="0" w:color="auto"/>
            <w:bottom w:val="none" w:sz="0" w:space="0" w:color="auto"/>
            <w:right w:val="none" w:sz="0" w:space="0" w:color="auto"/>
          </w:divBdr>
        </w:div>
        <w:div w:id="697773718">
          <w:marLeft w:val="0"/>
          <w:marRight w:val="0"/>
          <w:marTop w:val="0"/>
          <w:marBottom w:val="0"/>
          <w:divBdr>
            <w:top w:val="none" w:sz="0" w:space="0" w:color="auto"/>
            <w:left w:val="none" w:sz="0" w:space="0" w:color="auto"/>
            <w:bottom w:val="none" w:sz="0" w:space="0" w:color="auto"/>
            <w:right w:val="none" w:sz="0" w:space="0" w:color="auto"/>
          </w:divBdr>
        </w:div>
      </w:divsChild>
    </w:div>
    <w:div w:id="1162770894">
      <w:bodyDiv w:val="1"/>
      <w:marLeft w:val="0"/>
      <w:marRight w:val="0"/>
      <w:marTop w:val="0"/>
      <w:marBottom w:val="0"/>
      <w:divBdr>
        <w:top w:val="none" w:sz="0" w:space="0" w:color="auto"/>
        <w:left w:val="none" w:sz="0" w:space="0" w:color="auto"/>
        <w:bottom w:val="none" w:sz="0" w:space="0" w:color="auto"/>
        <w:right w:val="none" w:sz="0" w:space="0" w:color="auto"/>
      </w:divBdr>
      <w:divsChild>
        <w:div w:id="1316957759">
          <w:marLeft w:val="0"/>
          <w:marRight w:val="0"/>
          <w:marTop w:val="0"/>
          <w:marBottom w:val="0"/>
          <w:divBdr>
            <w:top w:val="none" w:sz="0" w:space="0" w:color="auto"/>
            <w:left w:val="none" w:sz="0" w:space="0" w:color="auto"/>
            <w:bottom w:val="none" w:sz="0" w:space="0" w:color="auto"/>
            <w:right w:val="none" w:sz="0" w:space="0" w:color="auto"/>
          </w:divBdr>
          <w:divsChild>
            <w:div w:id="387849811">
              <w:marLeft w:val="0"/>
              <w:marRight w:val="0"/>
              <w:marTop w:val="0"/>
              <w:marBottom w:val="0"/>
              <w:divBdr>
                <w:top w:val="none" w:sz="0" w:space="0" w:color="auto"/>
                <w:left w:val="none" w:sz="0" w:space="0" w:color="auto"/>
                <w:bottom w:val="none" w:sz="0" w:space="0" w:color="auto"/>
                <w:right w:val="none" w:sz="0" w:space="0" w:color="auto"/>
              </w:divBdr>
            </w:div>
            <w:div w:id="14745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789">
      <w:bodyDiv w:val="1"/>
      <w:marLeft w:val="0"/>
      <w:marRight w:val="0"/>
      <w:marTop w:val="0"/>
      <w:marBottom w:val="0"/>
      <w:divBdr>
        <w:top w:val="none" w:sz="0" w:space="0" w:color="auto"/>
        <w:left w:val="none" w:sz="0" w:space="0" w:color="auto"/>
        <w:bottom w:val="none" w:sz="0" w:space="0" w:color="auto"/>
        <w:right w:val="none" w:sz="0" w:space="0" w:color="auto"/>
      </w:divBdr>
      <w:divsChild>
        <w:div w:id="338775948">
          <w:marLeft w:val="0"/>
          <w:marRight w:val="0"/>
          <w:marTop w:val="0"/>
          <w:marBottom w:val="0"/>
          <w:divBdr>
            <w:top w:val="none" w:sz="0" w:space="0" w:color="auto"/>
            <w:left w:val="none" w:sz="0" w:space="0" w:color="auto"/>
            <w:bottom w:val="none" w:sz="0" w:space="0" w:color="auto"/>
            <w:right w:val="none" w:sz="0" w:space="0" w:color="auto"/>
          </w:divBdr>
          <w:divsChild>
            <w:div w:id="1208253601">
              <w:marLeft w:val="0"/>
              <w:marRight w:val="0"/>
              <w:marTop w:val="0"/>
              <w:marBottom w:val="0"/>
              <w:divBdr>
                <w:top w:val="none" w:sz="0" w:space="0" w:color="auto"/>
                <w:left w:val="none" w:sz="0" w:space="0" w:color="auto"/>
                <w:bottom w:val="none" w:sz="0" w:space="0" w:color="auto"/>
                <w:right w:val="none" w:sz="0" w:space="0" w:color="auto"/>
              </w:divBdr>
            </w:div>
            <w:div w:id="11734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tyles" Target="styles.xml"/><Relationship Id="rId7" Type="http://schemas.openxmlformats.org/officeDocument/2006/relationships/hyperlink" Target="http://creativecommons.org/licenses/by-nc-nd/3.0/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AC249-2789-4867-8F56-94A916C4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3</cp:revision>
  <cp:lastPrinted>2112-12-31T22:00:00Z</cp:lastPrinted>
  <dcterms:created xsi:type="dcterms:W3CDTF">2019-01-28T09:40:00Z</dcterms:created>
  <dcterms:modified xsi:type="dcterms:W3CDTF">2019-02-04T17:27:00Z</dcterms:modified>
</cp:coreProperties>
</file>