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219DD" w14:textId="4EF0E55A" w:rsidR="00AE0F45" w:rsidRPr="00E96D30" w:rsidRDefault="00B94F58" w:rsidP="00AE0F45">
      <w:pPr>
        <w:rPr>
          <w:rFonts w:ascii="Arial" w:hAnsi="Arial" w:cs="Arial"/>
          <w:b/>
          <w:color w:val="000000"/>
        </w:rPr>
      </w:pPr>
      <w:bookmarkStart w:id="0" w:name="_GoBack"/>
      <w:bookmarkEnd w:id="0"/>
      <w:r w:rsidRPr="00A4036A">
        <w:rPr>
          <w:rFonts w:ascii="Arial" w:hAnsi="Arial" w:cs="Arial"/>
          <w:b/>
          <w:color w:val="000000"/>
        </w:rPr>
        <w:t xml:space="preserve">Im Jahr 2017 waren in der </w:t>
      </w:r>
      <w:r w:rsidR="00E96D30" w:rsidRPr="00E96D30">
        <w:rPr>
          <w:rFonts w:ascii="Arial" w:hAnsi="Arial" w:cs="Arial"/>
          <w:b/>
          <w:color w:val="000000"/>
        </w:rPr>
        <w:t xml:space="preserve">Europäischen Union </w:t>
      </w:r>
      <w:r w:rsidRPr="00A4036A">
        <w:rPr>
          <w:rFonts w:ascii="Arial" w:hAnsi="Arial" w:cs="Arial"/>
          <w:b/>
          <w:color w:val="000000"/>
        </w:rPr>
        <w:t>16,9 Prozent der Bevölkerung armutsgefährdet, das heißt, dass</w:t>
      </w:r>
      <w:r w:rsidR="00B0721C">
        <w:rPr>
          <w:rFonts w:ascii="Arial" w:hAnsi="Arial" w:cs="Arial"/>
          <w:b/>
          <w:color w:val="000000"/>
        </w:rPr>
        <w:t xml:space="preserve"> i</w:t>
      </w:r>
      <w:r w:rsidRPr="00A4036A">
        <w:rPr>
          <w:rFonts w:ascii="Arial" w:hAnsi="Arial" w:cs="Arial"/>
          <w:b/>
          <w:color w:val="000000"/>
        </w:rPr>
        <w:t xml:space="preserve">hnen weniger als 60 Prozent des mittleren Einkommens zur Verfügung standen. </w:t>
      </w:r>
      <w:r w:rsidR="00F20E6D" w:rsidRPr="00E96D30">
        <w:rPr>
          <w:rFonts w:ascii="Arial" w:hAnsi="Arial" w:cs="Arial"/>
          <w:b/>
          <w:color w:val="000000"/>
        </w:rPr>
        <w:t>Die Armutsgefährdungslücke</w:t>
      </w:r>
      <w:r w:rsidR="00B0721C">
        <w:rPr>
          <w:rFonts w:ascii="Arial" w:hAnsi="Arial" w:cs="Arial"/>
          <w:b/>
          <w:color w:val="000000"/>
        </w:rPr>
        <w:t xml:space="preserve"> gibt A</w:t>
      </w:r>
      <w:r w:rsidR="00F20E6D" w:rsidRPr="00E96D30">
        <w:rPr>
          <w:rFonts w:ascii="Arial" w:hAnsi="Arial" w:cs="Arial"/>
          <w:b/>
          <w:color w:val="000000"/>
        </w:rPr>
        <w:t>uskunft darüber, wie weit das Einkommen der armutsgefährdeten Bevölkerung unter der Armutsgefährdungsgrenze liegt</w:t>
      </w:r>
      <w:r w:rsidR="00B0721C">
        <w:rPr>
          <w:rFonts w:ascii="Arial" w:hAnsi="Arial" w:cs="Arial"/>
          <w:b/>
          <w:color w:val="000000"/>
        </w:rPr>
        <w:t xml:space="preserve">. Sie </w:t>
      </w:r>
      <w:r w:rsidR="00F20E6D" w:rsidRPr="00E96D30">
        <w:rPr>
          <w:rFonts w:ascii="Arial" w:hAnsi="Arial" w:cs="Arial"/>
          <w:b/>
          <w:color w:val="000000"/>
        </w:rPr>
        <w:t>betrug</w:t>
      </w:r>
      <w:r w:rsidR="00B0721C">
        <w:rPr>
          <w:rFonts w:ascii="Arial" w:hAnsi="Arial" w:cs="Arial"/>
          <w:b/>
          <w:color w:val="000000"/>
        </w:rPr>
        <w:t xml:space="preserve"> </w:t>
      </w:r>
      <w:r w:rsidR="00AE0F45" w:rsidRPr="00E96D30">
        <w:rPr>
          <w:rFonts w:ascii="Arial" w:hAnsi="Arial" w:cs="Arial"/>
          <w:b/>
          <w:color w:val="000000"/>
        </w:rPr>
        <w:t>24,7 Prozent</w:t>
      </w:r>
      <w:r w:rsidR="00B0721C">
        <w:rPr>
          <w:rFonts w:ascii="Arial" w:hAnsi="Arial" w:cs="Arial"/>
          <w:b/>
          <w:color w:val="000000"/>
        </w:rPr>
        <w:t xml:space="preserve"> im Jahr 2017 </w:t>
      </w:r>
      <w:r w:rsidR="00A71686" w:rsidRPr="00E96D30">
        <w:rPr>
          <w:rFonts w:ascii="Arial" w:hAnsi="Arial" w:cs="Arial"/>
          <w:b/>
          <w:color w:val="000000"/>
        </w:rPr>
        <w:t>und ist damit seit 2005 relativ stabil.</w:t>
      </w:r>
      <w:r w:rsidR="00E96D30" w:rsidRPr="00E96D30">
        <w:rPr>
          <w:rFonts w:ascii="Arial" w:hAnsi="Arial" w:cs="Arial"/>
          <w:b/>
          <w:color w:val="000000"/>
        </w:rPr>
        <w:t xml:space="preserve"> Dazu passt, dass sich im Zeitraum 2005 bis 2017 in etwa der Hälfte der EU-Staaten die Armutsgefährdungslücke </w:t>
      </w:r>
      <w:r w:rsidR="0066332C">
        <w:rPr>
          <w:rFonts w:ascii="Arial" w:hAnsi="Arial" w:cs="Arial"/>
          <w:b/>
          <w:color w:val="000000"/>
        </w:rPr>
        <w:t>geschlossen und</w:t>
      </w:r>
      <w:r w:rsidR="00E96D30" w:rsidRPr="00E96D30">
        <w:rPr>
          <w:rFonts w:ascii="Arial" w:hAnsi="Arial" w:cs="Arial"/>
          <w:b/>
          <w:color w:val="000000"/>
        </w:rPr>
        <w:t xml:space="preserve"> in der anderen Hälfte vergrößert hat. Bezogen auf die EU war im Jahr 2017 die Armutsgefährdungslücke in Rumänien, Spanien, Bulgarien und Griechenland am größten. In Finnland, Zypern, Tschechien, Malta und Ungarn war sie am niedrigsten.</w:t>
      </w:r>
    </w:p>
    <w:p w14:paraId="2CF6FAEB" w14:textId="77777777" w:rsidR="00AE0F45" w:rsidRDefault="00AE0F45">
      <w:pPr>
        <w:rPr>
          <w:rFonts w:ascii="Arial" w:hAnsi="Arial"/>
          <w:color w:val="FF0000"/>
        </w:rPr>
      </w:pPr>
    </w:p>
    <w:p w14:paraId="1A04D5BA" w14:textId="77777777" w:rsidR="002C6C53" w:rsidRDefault="002C6C53">
      <w:pPr>
        <w:rPr>
          <w:rFonts w:ascii="Arial" w:hAnsi="Arial"/>
          <w:color w:val="FF0000"/>
        </w:rPr>
      </w:pPr>
      <w:r>
        <w:rPr>
          <w:rFonts w:ascii="Arial" w:hAnsi="Arial"/>
          <w:color w:val="FF0000"/>
        </w:rPr>
        <w:t>Fakten</w:t>
      </w:r>
    </w:p>
    <w:p w14:paraId="4687F791" w14:textId="77777777" w:rsidR="002C6C53" w:rsidRPr="00532123" w:rsidRDefault="002C6C53">
      <w:pPr>
        <w:rPr>
          <w:rFonts w:ascii="Arial" w:hAnsi="Arial"/>
          <w:color w:val="000000"/>
        </w:rPr>
      </w:pPr>
    </w:p>
    <w:p w14:paraId="69315BF3" w14:textId="77777777" w:rsidR="006069A6" w:rsidRDefault="002C6C53" w:rsidP="000B043E">
      <w:pPr>
        <w:rPr>
          <w:rFonts w:ascii="Arial" w:hAnsi="Arial"/>
          <w:color w:val="000000"/>
        </w:rPr>
      </w:pPr>
      <w:r w:rsidRPr="00532123">
        <w:rPr>
          <w:rFonts w:ascii="Arial" w:hAnsi="Arial"/>
          <w:color w:val="000000"/>
        </w:rPr>
        <w:t>In der Europäischen Union (EU) waren im Jahr 20</w:t>
      </w:r>
      <w:r w:rsidR="00532123" w:rsidRPr="00532123">
        <w:rPr>
          <w:rFonts w:ascii="Arial" w:hAnsi="Arial"/>
          <w:color w:val="000000"/>
        </w:rPr>
        <w:t>17</w:t>
      </w:r>
      <w:r w:rsidRPr="00532123">
        <w:rPr>
          <w:rFonts w:ascii="Arial" w:hAnsi="Arial"/>
          <w:color w:val="000000"/>
        </w:rPr>
        <w:t xml:space="preserve"> insgesamt </w:t>
      </w:r>
      <w:r w:rsidR="00532123" w:rsidRPr="00532123">
        <w:rPr>
          <w:rFonts w:ascii="Arial" w:hAnsi="Arial"/>
          <w:color w:val="000000"/>
        </w:rPr>
        <w:t>85</w:t>
      </w:r>
      <w:r w:rsidRPr="00532123">
        <w:rPr>
          <w:rFonts w:ascii="Arial" w:hAnsi="Arial"/>
          <w:color w:val="000000"/>
        </w:rPr>
        <w:t xml:space="preserve"> Millionen Personen armutsgefährdet. Die Armutsgefährdungsquote lag bei 16,</w:t>
      </w:r>
      <w:r w:rsidR="00532123" w:rsidRPr="00532123">
        <w:rPr>
          <w:rFonts w:ascii="Arial" w:hAnsi="Arial"/>
          <w:color w:val="000000"/>
        </w:rPr>
        <w:t>9</w:t>
      </w:r>
      <w:r w:rsidRPr="00532123">
        <w:rPr>
          <w:rFonts w:ascii="Arial" w:hAnsi="Arial"/>
          <w:color w:val="000000"/>
        </w:rPr>
        <w:t xml:space="preserve"> Prozent, damit war rund jede sechste Person armutsgefährdet. Als armutsgefährdet gelten Personen, deren Einkommen weniger als 60 Prozent des mittleren Einkommens beträgt (Armutsgefährdungsgrenze). Von der Armutsgefährdungsquote lässt sich allerdings nicht ableiten, wie weit das Einkommen der armutsgefährdeten Bevölkerung unter</w:t>
      </w:r>
      <w:r w:rsidR="00333773">
        <w:rPr>
          <w:rFonts w:ascii="Arial" w:hAnsi="Arial"/>
          <w:color w:val="000000"/>
        </w:rPr>
        <w:t>halb</w:t>
      </w:r>
      <w:r w:rsidRPr="00532123">
        <w:rPr>
          <w:rFonts w:ascii="Arial" w:hAnsi="Arial"/>
          <w:color w:val="000000"/>
        </w:rPr>
        <w:t xml:space="preserve"> der Armutsgefährdungsgrenze liegt. Darüber gibt die sogenannte relative </w:t>
      </w:r>
      <w:r w:rsidR="00532123">
        <w:rPr>
          <w:rFonts w:ascii="Arial" w:hAnsi="Arial"/>
          <w:color w:val="000000"/>
        </w:rPr>
        <w:t>Armutsgefährdungslücke Auskunft</w:t>
      </w:r>
      <w:r w:rsidR="006069A6">
        <w:rPr>
          <w:rFonts w:ascii="Arial" w:hAnsi="Arial"/>
          <w:color w:val="000000"/>
        </w:rPr>
        <w:t>.</w:t>
      </w:r>
    </w:p>
    <w:p w14:paraId="25A17729" w14:textId="77777777" w:rsidR="006069A6" w:rsidRDefault="006069A6" w:rsidP="000B043E">
      <w:pPr>
        <w:rPr>
          <w:rFonts w:ascii="Arial" w:hAnsi="Arial"/>
          <w:color w:val="000000"/>
        </w:rPr>
      </w:pPr>
    </w:p>
    <w:p w14:paraId="3E65195D" w14:textId="3C8819FC" w:rsidR="006069A6" w:rsidRPr="00FF27E1" w:rsidRDefault="00FF27E1" w:rsidP="006069A6">
      <w:pPr>
        <w:rPr>
          <w:rFonts w:ascii="Arial" w:hAnsi="Arial"/>
          <w:color w:val="000000"/>
        </w:rPr>
      </w:pPr>
      <w:r w:rsidRPr="00FF27E1">
        <w:rPr>
          <w:rFonts w:ascii="Arial" w:hAnsi="Arial"/>
          <w:color w:val="000000"/>
        </w:rPr>
        <w:t xml:space="preserve">Die </w:t>
      </w:r>
      <w:r w:rsidR="006069A6" w:rsidRPr="00FF27E1">
        <w:rPr>
          <w:rFonts w:ascii="Arial" w:hAnsi="Arial"/>
          <w:color w:val="000000"/>
        </w:rPr>
        <w:t xml:space="preserve">Armutsgefährdungslücke </w:t>
      </w:r>
      <w:r w:rsidRPr="00FF27E1">
        <w:rPr>
          <w:rFonts w:ascii="Arial" w:hAnsi="Arial"/>
          <w:color w:val="000000"/>
        </w:rPr>
        <w:t xml:space="preserve">entspricht der </w:t>
      </w:r>
      <w:r w:rsidR="006069A6" w:rsidRPr="00FF27E1">
        <w:rPr>
          <w:rFonts w:ascii="Arial" w:hAnsi="Arial"/>
          <w:color w:val="000000"/>
        </w:rPr>
        <w:t xml:space="preserve">Differenz zwischen dem </w:t>
      </w:r>
      <w:r w:rsidRPr="00FF27E1">
        <w:rPr>
          <w:rFonts w:ascii="Arial" w:hAnsi="Arial"/>
          <w:color w:val="000000"/>
        </w:rPr>
        <w:t xml:space="preserve">(mittleren, verfügbaren und gewichteten) Einkommen </w:t>
      </w:r>
      <w:r w:rsidR="006069A6" w:rsidRPr="00FF27E1">
        <w:rPr>
          <w:rFonts w:ascii="Arial" w:hAnsi="Arial"/>
          <w:color w:val="000000"/>
        </w:rPr>
        <w:t>der Personen unterhalb der Armutsgefährdungsgrenze und der Armutsgefährdungsgrenze</w:t>
      </w:r>
      <w:r w:rsidR="00B33A0A">
        <w:rPr>
          <w:rFonts w:ascii="Arial" w:hAnsi="Arial"/>
          <w:color w:val="000000"/>
        </w:rPr>
        <w:t>. A</w:t>
      </w:r>
      <w:r w:rsidR="006069A6" w:rsidRPr="00FF27E1">
        <w:rPr>
          <w:rFonts w:ascii="Arial" w:hAnsi="Arial"/>
          <w:color w:val="000000"/>
        </w:rPr>
        <w:t xml:space="preserve">usgedrückt </w:t>
      </w:r>
      <w:r w:rsidR="00B33A0A">
        <w:rPr>
          <w:rFonts w:ascii="Arial" w:hAnsi="Arial"/>
          <w:color w:val="000000"/>
        </w:rPr>
        <w:t xml:space="preserve">wird diese Differenz </w:t>
      </w:r>
      <w:r w:rsidR="006069A6" w:rsidRPr="00FF27E1">
        <w:rPr>
          <w:rFonts w:ascii="Arial" w:hAnsi="Arial"/>
          <w:color w:val="000000"/>
        </w:rPr>
        <w:t xml:space="preserve">als Prozentsatz der Armutsgefährdungsgrenze. Die Armutsgefährdungsgrenze liegt in jedem </w:t>
      </w:r>
      <w:r w:rsidR="00260C0D">
        <w:rPr>
          <w:rFonts w:ascii="Arial" w:hAnsi="Arial"/>
          <w:color w:val="000000"/>
        </w:rPr>
        <w:t>EU-</w:t>
      </w:r>
      <w:r w:rsidR="006069A6" w:rsidRPr="00FF27E1">
        <w:rPr>
          <w:rFonts w:ascii="Arial" w:hAnsi="Arial"/>
          <w:color w:val="000000"/>
        </w:rPr>
        <w:t xml:space="preserve">Land bei 60 Prozent des </w:t>
      </w:r>
      <w:r w:rsidR="00B33A0A">
        <w:rPr>
          <w:rFonts w:ascii="Arial" w:hAnsi="Arial"/>
          <w:color w:val="000000"/>
        </w:rPr>
        <w:t xml:space="preserve">mittleren Einkommens der </w:t>
      </w:r>
      <w:r w:rsidR="00260C0D">
        <w:rPr>
          <w:rFonts w:ascii="Arial" w:hAnsi="Arial"/>
          <w:color w:val="000000"/>
        </w:rPr>
        <w:t xml:space="preserve">jeweiligen </w:t>
      </w:r>
      <w:r w:rsidR="00B33A0A" w:rsidRPr="00FF27E1">
        <w:rPr>
          <w:rFonts w:ascii="Arial" w:hAnsi="Arial"/>
          <w:color w:val="000000"/>
        </w:rPr>
        <w:t>Gesamtbevölkerung</w:t>
      </w:r>
      <w:r w:rsidR="00B33A0A">
        <w:rPr>
          <w:rFonts w:ascii="Arial" w:hAnsi="Arial"/>
          <w:color w:val="000000"/>
        </w:rPr>
        <w:t xml:space="preserve"> (auch hier </w:t>
      </w:r>
      <w:r w:rsidR="006069A6" w:rsidRPr="00FF27E1">
        <w:rPr>
          <w:rFonts w:ascii="Arial" w:hAnsi="Arial"/>
          <w:color w:val="000000"/>
        </w:rPr>
        <w:t>median</w:t>
      </w:r>
      <w:r w:rsidR="00B33A0A">
        <w:rPr>
          <w:rFonts w:ascii="Arial" w:hAnsi="Arial"/>
          <w:color w:val="000000"/>
        </w:rPr>
        <w:t>es Nettoäquivalenzeinkommen)</w:t>
      </w:r>
      <w:r w:rsidR="006069A6" w:rsidRPr="00FF27E1">
        <w:rPr>
          <w:rFonts w:ascii="Arial" w:hAnsi="Arial"/>
          <w:color w:val="000000"/>
        </w:rPr>
        <w:t xml:space="preserve">. </w:t>
      </w:r>
      <w:r w:rsidRPr="00FF27E1">
        <w:rPr>
          <w:rFonts w:ascii="Arial" w:hAnsi="Arial"/>
          <w:color w:val="000000"/>
        </w:rPr>
        <w:t xml:space="preserve">Zum Beispiel </w:t>
      </w:r>
      <w:r w:rsidR="00B33A0A" w:rsidRPr="00FF27E1">
        <w:rPr>
          <w:rFonts w:ascii="Arial" w:hAnsi="Arial"/>
          <w:color w:val="000000"/>
        </w:rPr>
        <w:t>lag im Jahr 2017</w:t>
      </w:r>
      <w:r w:rsidR="00B33A0A" w:rsidRPr="00B33A0A">
        <w:rPr>
          <w:rFonts w:ascii="Arial" w:hAnsi="Arial"/>
          <w:color w:val="000000"/>
        </w:rPr>
        <w:t xml:space="preserve"> </w:t>
      </w:r>
      <w:r w:rsidR="00B33A0A">
        <w:rPr>
          <w:rFonts w:ascii="Arial" w:hAnsi="Arial"/>
          <w:color w:val="000000"/>
        </w:rPr>
        <w:t xml:space="preserve">das </w:t>
      </w:r>
      <w:r w:rsidR="00B33A0A" w:rsidRPr="00FF27E1">
        <w:rPr>
          <w:rFonts w:ascii="Arial" w:hAnsi="Arial"/>
          <w:color w:val="000000"/>
        </w:rPr>
        <w:t>mittlere</w:t>
      </w:r>
      <w:r w:rsidR="00B33A0A">
        <w:rPr>
          <w:rFonts w:ascii="Arial" w:hAnsi="Arial"/>
          <w:color w:val="000000"/>
        </w:rPr>
        <w:t xml:space="preserve"> E</w:t>
      </w:r>
      <w:r w:rsidR="00B33A0A" w:rsidRPr="00FF27E1">
        <w:rPr>
          <w:rFonts w:ascii="Arial" w:hAnsi="Arial"/>
          <w:color w:val="000000"/>
        </w:rPr>
        <w:t xml:space="preserve">inkommen der armutsgefährdeten Bevölkerung </w:t>
      </w:r>
      <w:r w:rsidR="00B33A0A">
        <w:rPr>
          <w:rFonts w:ascii="Arial" w:hAnsi="Arial"/>
          <w:color w:val="000000"/>
        </w:rPr>
        <w:t xml:space="preserve">der </w:t>
      </w:r>
      <w:r w:rsidR="00B33A0A" w:rsidRPr="00FF27E1">
        <w:rPr>
          <w:rFonts w:ascii="Arial" w:hAnsi="Arial"/>
          <w:color w:val="000000"/>
        </w:rPr>
        <w:t xml:space="preserve">EU-28 </w:t>
      </w:r>
      <w:r w:rsidR="00B33A0A">
        <w:rPr>
          <w:rFonts w:ascii="Arial" w:hAnsi="Arial"/>
          <w:color w:val="000000"/>
        </w:rPr>
        <w:t xml:space="preserve">bei </w:t>
      </w:r>
      <w:r w:rsidR="00B33A0A" w:rsidRPr="00FF27E1">
        <w:rPr>
          <w:rFonts w:ascii="Arial" w:hAnsi="Arial"/>
          <w:color w:val="000000"/>
        </w:rPr>
        <w:t>45,2 Prozent</w:t>
      </w:r>
      <w:r w:rsidR="00B33A0A">
        <w:rPr>
          <w:rFonts w:ascii="Arial" w:hAnsi="Arial"/>
          <w:color w:val="000000"/>
        </w:rPr>
        <w:t xml:space="preserve"> des mittleren Einkommens der </w:t>
      </w:r>
      <w:r w:rsidR="00B33A0A" w:rsidRPr="00FF27E1">
        <w:rPr>
          <w:rFonts w:ascii="Arial" w:hAnsi="Arial"/>
          <w:color w:val="000000"/>
        </w:rPr>
        <w:t>Gesamtbevölkerung</w:t>
      </w:r>
      <w:r w:rsidR="00B33A0A">
        <w:rPr>
          <w:rFonts w:ascii="Arial" w:hAnsi="Arial"/>
          <w:color w:val="000000"/>
        </w:rPr>
        <w:t xml:space="preserve">. Die Differenz zur </w:t>
      </w:r>
      <w:r w:rsidR="00B33A0A" w:rsidRPr="00FF27E1">
        <w:rPr>
          <w:rFonts w:ascii="Arial" w:hAnsi="Arial"/>
          <w:color w:val="000000"/>
        </w:rPr>
        <w:t>Armutsgefährdungsgrenze</w:t>
      </w:r>
      <w:r w:rsidR="00B33A0A">
        <w:rPr>
          <w:rFonts w:ascii="Arial" w:hAnsi="Arial"/>
          <w:color w:val="000000"/>
        </w:rPr>
        <w:t xml:space="preserve"> (60 Prozent</w:t>
      </w:r>
      <w:r w:rsidR="00B33A0A" w:rsidRPr="00FF27E1">
        <w:rPr>
          <w:rFonts w:ascii="Arial" w:hAnsi="Arial"/>
          <w:color w:val="000000"/>
        </w:rPr>
        <w:t xml:space="preserve">) </w:t>
      </w:r>
      <w:r w:rsidR="00B33A0A">
        <w:rPr>
          <w:rFonts w:ascii="Arial" w:hAnsi="Arial"/>
          <w:color w:val="000000"/>
        </w:rPr>
        <w:t xml:space="preserve">lag </w:t>
      </w:r>
      <w:r w:rsidR="00B33A0A" w:rsidRPr="00FF27E1">
        <w:rPr>
          <w:rFonts w:ascii="Arial" w:hAnsi="Arial"/>
          <w:color w:val="000000"/>
        </w:rPr>
        <w:t>entsprechen</w:t>
      </w:r>
      <w:r w:rsidR="00B33A0A">
        <w:rPr>
          <w:rFonts w:ascii="Arial" w:hAnsi="Arial"/>
          <w:color w:val="000000"/>
        </w:rPr>
        <w:t xml:space="preserve">d bei </w:t>
      </w:r>
      <w:r w:rsidR="00B33A0A" w:rsidRPr="00FF27E1">
        <w:rPr>
          <w:rFonts w:ascii="Arial" w:hAnsi="Arial"/>
          <w:color w:val="000000"/>
        </w:rPr>
        <w:t>14,8 Prozent</w:t>
      </w:r>
      <w:r w:rsidR="00FC7E62">
        <w:rPr>
          <w:rFonts w:ascii="Arial" w:hAnsi="Arial"/>
          <w:color w:val="000000"/>
        </w:rPr>
        <w:t>punkten</w:t>
      </w:r>
      <w:r w:rsidR="00B33A0A">
        <w:rPr>
          <w:rFonts w:ascii="Arial" w:hAnsi="Arial"/>
          <w:color w:val="000000"/>
        </w:rPr>
        <w:t xml:space="preserve">. 14,8 </w:t>
      </w:r>
      <w:r w:rsidR="00B33A0A" w:rsidRPr="00FF27E1">
        <w:rPr>
          <w:rFonts w:ascii="Arial" w:hAnsi="Arial"/>
          <w:color w:val="000000"/>
        </w:rPr>
        <w:t xml:space="preserve">Prozent </w:t>
      </w:r>
      <w:r w:rsidR="00B33A0A">
        <w:rPr>
          <w:rFonts w:ascii="Arial" w:hAnsi="Arial"/>
          <w:color w:val="000000"/>
        </w:rPr>
        <w:t xml:space="preserve">des mittleren Einkommens der </w:t>
      </w:r>
      <w:r w:rsidR="00B33A0A" w:rsidRPr="00FF27E1">
        <w:rPr>
          <w:rFonts w:ascii="Arial" w:hAnsi="Arial"/>
          <w:color w:val="000000"/>
        </w:rPr>
        <w:t>Gesamtbevölkerung entsprechen 24,7</w:t>
      </w:r>
      <w:r w:rsidR="00B33A0A">
        <w:rPr>
          <w:rFonts w:ascii="Arial" w:hAnsi="Arial"/>
          <w:color w:val="000000"/>
        </w:rPr>
        <w:t xml:space="preserve"> </w:t>
      </w:r>
      <w:r w:rsidR="00B33A0A" w:rsidRPr="00FF27E1">
        <w:rPr>
          <w:rFonts w:ascii="Arial" w:hAnsi="Arial"/>
          <w:color w:val="000000"/>
        </w:rPr>
        <w:t>Prozent</w:t>
      </w:r>
      <w:r w:rsidR="00B33A0A">
        <w:rPr>
          <w:rFonts w:ascii="Arial" w:hAnsi="Arial"/>
          <w:color w:val="000000"/>
        </w:rPr>
        <w:t xml:space="preserve"> der </w:t>
      </w:r>
      <w:r w:rsidR="00B33A0A" w:rsidRPr="00FF27E1">
        <w:rPr>
          <w:rFonts w:ascii="Arial" w:hAnsi="Arial"/>
          <w:color w:val="000000"/>
        </w:rPr>
        <w:t>Armutsgefährdungsgrenze</w:t>
      </w:r>
      <w:r w:rsidR="00B33A0A">
        <w:rPr>
          <w:rFonts w:ascii="Arial" w:hAnsi="Arial"/>
          <w:color w:val="000000"/>
        </w:rPr>
        <w:t xml:space="preserve"> (60 Prozent</w:t>
      </w:r>
      <w:r w:rsidR="00B33A0A" w:rsidRPr="00FF27E1">
        <w:rPr>
          <w:rFonts w:ascii="Arial" w:hAnsi="Arial"/>
          <w:color w:val="000000"/>
        </w:rPr>
        <w:t>)</w:t>
      </w:r>
      <w:r w:rsidR="00B33A0A">
        <w:rPr>
          <w:rFonts w:ascii="Arial" w:hAnsi="Arial"/>
          <w:color w:val="000000"/>
        </w:rPr>
        <w:t xml:space="preserve">. Damit lag die </w:t>
      </w:r>
      <w:r w:rsidR="006069A6" w:rsidRPr="00FF27E1">
        <w:rPr>
          <w:rFonts w:ascii="Arial" w:hAnsi="Arial"/>
          <w:color w:val="000000"/>
        </w:rPr>
        <w:t>Armutsgefährdungslücke der EU-28 bei 24,7 Prozent.</w:t>
      </w:r>
    </w:p>
    <w:p w14:paraId="478AEAD6" w14:textId="77777777" w:rsidR="006069A6" w:rsidRDefault="006069A6" w:rsidP="000B043E">
      <w:pPr>
        <w:rPr>
          <w:rFonts w:ascii="Arial" w:hAnsi="Arial"/>
          <w:color w:val="000000"/>
        </w:rPr>
      </w:pPr>
    </w:p>
    <w:p w14:paraId="375FFCB8" w14:textId="77777777" w:rsidR="00293ABF" w:rsidRDefault="001B719E" w:rsidP="00A97448">
      <w:pPr>
        <w:rPr>
          <w:rFonts w:ascii="Arial" w:hAnsi="Arial"/>
          <w:color w:val="000000"/>
        </w:rPr>
      </w:pPr>
      <w:r>
        <w:rPr>
          <w:rFonts w:ascii="Arial" w:hAnsi="Arial"/>
          <w:color w:val="000000"/>
        </w:rPr>
        <w:t>L</w:t>
      </w:r>
      <w:r w:rsidRPr="000B043E">
        <w:rPr>
          <w:rFonts w:ascii="Arial" w:hAnsi="Arial"/>
          <w:color w:val="000000"/>
        </w:rPr>
        <w:t xml:space="preserve">aut Eurostat </w:t>
      </w:r>
      <w:r w:rsidR="00F20E6D">
        <w:rPr>
          <w:rFonts w:ascii="Arial" w:hAnsi="Arial"/>
          <w:color w:val="000000"/>
        </w:rPr>
        <w:t xml:space="preserve">ist der Wert der Armutsgefährdungslücke </w:t>
      </w:r>
      <w:r w:rsidR="006B4320">
        <w:rPr>
          <w:rFonts w:ascii="Arial" w:hAnsi="Arial"/>
          <w:color w:val="000000"/>
        </w:rPr>
        <w:t xml:space="preserve">der EU </w:t>
      </w:r>
      <w:r>
        <w:rPr>
          <w:rFonts w:ascii="Arial" w:hAnsi="Arial"/>
          <w:color w:val="000000"/>
        </w:rPr>
        <w:t xml:space="preserve">in den letzten Jahren </w:t>
      </w:r>
      <w:r w:rsidR="00F20E6D">
        <w:rPr>
          <w:rFonts w:ascii="Arial" w:hAnsi="Arial"/>
          <w:color w:val="000000"/>
        </w:rPr>
        <w:t>weitgehend stabil geblieben</w:t>
      </w:r>
      <w:r w:rsidR="00293ABF">
        <w:rPr>
          <w:rFonts w:ascii="Arial" w:hAnsi="Arial"/>
          <w:color w:val="000000"/>
        </w:rPr>
        <w:t xml:space="preserve">. Im Jahr 2005 lag die Armutsgefährdungslücke der </w:t>
      </w:r>
      <w:r w:rsidR="000B043E" w:rsidRPr="000B043E">
        <w:rPr>
          <w:rFonts w:ascii="Arial" w:hAnsi="Arial"/>
          <w:color w:val="000000"/>
        </w:rPr>
        <w:t xml:space="preserve">EU-27 </w:t>
      </w:r>
      <w:r w:rsidR="00293ABF">
        <w:rPr>
          <w:rFonts w:ascii="Arial" w:hAnsi="Arial"/>
          <w:color w:val="000000"/>
        </w:rPr>
        <w:t xml:space="preserve">bei </w:t>
      </w:r>
      <w:r w:rsidR="000B043E" w:rsidRPr="000B043E">
        <w:rPr>
          <w:rFonts w:ascii="Arial" w:hAnsi="Arial"/>
          <w:color w:val="000000"/>
        </w:rPr>
        <w:t>23,3 Prozent</w:t>
      </w:r>
      <w:r w:rsidR="00293ABF">
        <w:rPr>
          <w:rFonts w:ascii="Arial" w:hAnsi="Arial"/>
          <w:color w:val="000000"/>
        </w:rPr>
        <w:t xml:space="preserve"> und im Jahr </w:t>
      </w:r>
      <w:r w:rsidR="00F20E6D">
        <w:rPr>
          <w:rFonts w:ascii="Arial" w:hAnsi="Arial"/>
          <w:color w:val="000000"/>
        </w:rPr>
        <w:t>2010</w:t>
      </w:r>
      <w:r w:rsidR="00293ABF">
        <w:rPr>
          <w:rFonts w:ascii="Arial" w:hAnsi="Arial"/>
          <w:color w:val="000000"/>
        </w:rPr>
        <w:t xml:space="preserve"> bei </w:t>
      </w:r>
      <w:r w:rsidR="00F20E6D">
        <w:rPr>
          <w:rFonts w:ascii="Arial" w:hAnsi="Arial"/>
          <w:color w:val="000000"/>
        </w:rPr>
        <w:t>22,8 Prozent</w:t>
      </w:r>
      <w:r w:rsidR="00293ABF">
        <w:rPr>
          <w:rFonts w:ascii="Arial" w:hAnsi="Arial"/>
          <w:color w:val="000000"/>
        </w:rPr>
        <w:t xml:space="preserve"> (EU-28:</w:t>
      </w:r>
      <w:r w:rsidR="00293ABF" w:rsidRPr="00293ABF">
        <w:rPr>
          <w:rFonts w:ascii="Arial" w:hAnsi="Arial"/>
          <w:color w:val="000000"/>
        </w:rPr>
        <w:t xml:space="preserve"> </w:t>
      </w:r>
      <w:r w:rsidR="00293ABF">
        <w:rPr>
          <w:rFonts w:ascii="Arial" w:hAnsi="Arial"/>
          <w:color w:val="000000"/>
        </w:rPr>
        <w:t>22,9 Prozent</w:t>
      </w:r>
      <w:r w:rsidR="00F20E6D">
        <w:rPr>
          <w:rFonts w:ascii="Arial" w:hAnsi="Arial"/>
          <w:color w:val="000000"/>
        </w:rPr>
        <w:t>)</w:t>
      </w:r>
      <w:r w:rsidR="000B043E" w:rsidRPr="000B043E">
        <w:rPr>
          <w:rFonts w:ascii="Arial" w:hAnsi="Arial"/>
          <w:color w:val="000000"/>
        </w:rPr>
        <w:t>.</w:t>
      </w:r>
      <w:r w:rsidR="00293ABF">
        <w:rPr>
          <w:rFonts w:ascii="Arial" w:hAnsi="Arial"/>
          <w:color w:val="000000"/>
        </w:rPr>
        <w:t xml:space="preserve"> Ihren bisherigen Höchstwert erreichte sie im Zeitraum 2005 bis 2017 im Jahr 2016 mit 25,0 Prozent.</w:t>
      </w:r>
    </w:p>
    <w:p w14:paraId="786EE4AC" w14:textId="77777777" w:rsidR="00293ABF" w:rsidRDefault="00293ABF" w:rsidP="00A97448">
      <w:pPr>
        <w:rPr>
          <w:rFonts w:ascii="Arial" w:hAnsi="Arial"/>
          <w:color w:val="000000"/>
        </w:rPr>
      </w:pPr>
    </w:p>
    <w:p w14:paraId="5147A5C6" w14:textId="7CF2D512" w:rsidR="002C6C53" w:rsidRPr="00A97448" w:rsidRDefault="00293ABF" w:rsidP="00A97448">
      <w:pPr>
        <w:rPr>
          <w:rFonts w:ascii="Arial" w:hAnsi="Arial"/>
          <w:color w:val="000000"/>
        </w:rPr>
      </w:pPr>
      <w:r>
        <w:rPr>
          <w:rFonts w:ascii="Arial" w:hAnsi="Arial"/>
          <w:color w:val="000000"/>
        </w:rPr>
        <w:t xml:space="preserve">Allerdings </w:t>
      </w:r>
      <w:r w:rsidRPr="00507A78">
        <w:rPr>
          <w:rFonts w:ascii="Arial" w:hAnsi="Arial"/>
          <w:color w:val="000000"/>
        </w:rPr>
        <w:t xml:space="preserve">weichen </w:t>
      </w:r>
      <w:r>
        <w:rPr>
          <w:rFonts w:ascii="Arial" w:hAnsi="Arial"/>
          <w:color w:val="000000"/>
        </w:rPr>
        <w:t>d</w:t>
      </w:r>
      <w:r w:rsidR="002C6C53" w:rsidRPr="00507A78">
        <w:rPr>
          <w:rFonts w:ascii="Arial" w:hAnsi="Arial"/>
          <w:color w:val="000000"/>
        </w:rPr>
        <w:t xml:space="preserve">ie Werte einzelner europäischer Staaten teilweise deutlich vom EU-Durchschnitt ab. So lag der Wert der relativen Armutsgefährdungslücke </w:t>
      </w:r>
      <w:r w:rsidR="00452D7F" w:rsidRPr="00507A78">
        <w:rPr>
          <w:rFonts w:ascii="Arial" w:hAnsi="Arial"/>
          <w:color w:val="000000"/>
        </w:rPr>
        <w:t xml:space="preserve">im Jahr 2017 </w:t>
      </w:r>
      <w:r w:rsidR="002C6C53" w:rsidRPr="00507A78">
        <w:rPr>
          <w:rFonts w:ascii="Arial" w:hAnsi="Arial"/>
          <w:color w:val="000000"/>
        </w:rPr>
        <w:t xml:space="preserve">in </w:t>
      </w:r>
      <w:r w:rsidR="00452D7F" w:rsidRPr="00507A78">
        <w:rPr>
          <w:rFonts w:ascii="Arial" w:hAnsi="Arial"/>
          <w:color w:val="000000"/>
        </w:rPr>
        <w:t xml:space="preserve">Rumänien (34,5 Prozent), Spanien (32,4 Prozent), Bulgarien (30,5 Prozent) und Griechenland (30,3 Prozent) </w:t>
      </w:r>
      <w:r w:rsidR="002C6C53" w:rsidRPr="00507A78">
        <w:rPr>
          <w:rFonts w:ascii="Arial" w:hAnsi="Arial"/>
          <w:color w:val="000000"/>
        </w:rPr>
        <w:t xml:space="preserve">deutlich über </w:t>
      </w:r>
      <w:r w:rsidR="002659A8">
        <w:rPr>
          <w:rFonts w:ascii="Arial" w:hAnsi="Arial"/>
          <w:color w:val="000000"/>
        </w:rPr>
        <w:t>den 24,7 Prozent der EU-28</w:t>
      </w:r>
      <w:r w:rsidR="002C6C53" w:rsidRPr="00507A78">
        <w:rPr>
          <w:rFonts w:ascii="Arial" w:hAnsi="Arial"/>
          <w:color w:val="000000"/>
        </w:rPr>
        <w:t xml:space="preserve">. </w:t>
      </w:r>
      <w:r w:rsidR="00452D7F" w:rsidRPr="00507A78">
        <w:rPr>
          <w:rFonts w:ascii="Arial" w:hAnsi="Arial"/>
          <w:color w:val="000000"/>
        </w:rPr>
        <w:t xml:space="preserve">Von den sechs Nicht-EU-Staaten, für die Eurostat Daten bereitstellt, fielen 2017 noch Serbien und </w:t>
      </w:r>
      <w:r w:rsidR="00B0721C">
        <w:rPr>
          <w:rFonts w:ascii="Arial" w:hAnsi="Arial"/>
          <w:color w:val="000000"/>
        </w:rPr>
        <w:t>Nordm</w:t>
      </w:r>
      <w:r w:rsidR="00452D7F" w:rsidRPr="00507A78">
        <w:rPr>
          <w:rFonts w:ascii="Arial" w:hAnsi="Arial"/>
          <w:color w:val="000000"/>
        </w:rPr>
        <w:t>azedonien</w:t>
      </w:r>
      <w:r w:rsidR="00B0721C">
        <w:rPr>
          <w:rFonts w:ascii="Arial" w:hAnsi="Arial"/>
          <w:color w:val="000000"/>
        </w:rPr>
        <w:t xml:space="preserve"> </w:t>
      </w:r>
      <w:r w:rsidR="00452D7F" w:rsidRPr="00507A78">
        <w:rPr>
          <w:rFonts w:ascii="Arial" w:hAnsi="Arial"/>
          <w:color w:val="000000"/>
        </w:rPr>
        <w:t>mit Armutsgefährdungslücke</w:t>
      </w:r>
      <w:r w:rsidR="00A97448">
        <w:rPr>
          <w:rFonts w:ascii="Arial" w:hAnsi="Arial"/>
          <w:color w:val="000000"/>
        </w:rPr>
        <w:t xml:space="preserve">n in Höhe von </w:t>
      </w:r>
      <w:r w:rsidR="00452D7F" w:rsidRPr="00507A78">
        <w:rPr>
          <w:rFonts w:ascii="Arial" w:hAnsi="Arial"/>
          <w:color w:val="000000"/>
        </w:rPr>
        <w:t>38,1 bzw. 32,9 Prozent</w:t>
      </w:r>
      <w:r w:rsidR="00A97448">
        <w:rPr>
          <w:rFonts w:ascii="Arial" w:hAnsi="Arial"/>
          <w:color w:val="000000"/>
        </w:rPr>
        <w:t xml:space="preserve"> auf. </w:t>
      </w:r>
      <w:r w:rsidR="002C6C53" w:rsidRPr="00A97448">
        <w:rPr>
          <w:rFonts w:ascii="Arial" w:hAnsi="Arial"/>
          <w:color w:val="000000"/>
        </w:rPr>
        <w:t xml:space="preserve">In </w:t>
      </w:r>
      <w:r w:rsidR="00A97448" w:rsidRPr="00A97448">
        <w:rPr>
          <w:rFonts w:ascii="Arial" w:hAnsi="Arial"/>
          <w:color w:val="000000"/>
        </w:rPr>
        <w:t xml:space="preserve">Finnland (13,7 Prozent), Zypern (15,1 Prozent), Tschechien (16,6 Prozent), Malta und Ungarn (16,7 Prozent), Frankreich (16,9 Prozent) </w:t>
      </w:r>
      <w:r w:rsidR="002C6C53" w:rsidRPr="00A97448">
        <w:rPr>
          <w:rFonts w:ascii="Arial" w:hAnsi="Arial"/>
          <w:color w:val="000000"/>
        </w:rPr>
        <w:t xml:space="preserve">sowie dem </w:t>
      </w:r>
      <w:r w:rsidR="00A97448" w:rsidRPr="00A97448">
        <w:rPr>
          <w:rFonts w:ascii="Arial" w:hAnsi="Arial"/>
          <w:color w:val="000000"/>
        </w:rPr>
        <w:lastRenderedPageBreak/>
        <w:t xml:space="preserve">Nicht-EU-Land </w:t>
      </w:r>
      <w:r w:rsidR="002C6C53" w:rsidRPr="00A97448">
        <w:rPr>
          <w:rFonts w:ascii="Arial" w:hAnsi="Arial"/>
          <w:color w:val="000000"/>
        </w:rPr>
        <w:t>Island (1</w:t>
      </w:r>
      <w:r w:rsidR="00A97448" w:rsidRPr="00A97448">
        <w:rPr>
          <w:rFonts w:ascii="Arial" w:hAnsi="Arial"/>
          <w:color w:val="000000"/>
        </w:rPr>
        <w:t>5</w:t>
      </w:r>
      <w:r w:rsidR="002C6C53" w:rsidRPr="00A97448">
        <w:rPr>
          <w:rFonts w:ascii="Arial" w:hAnsi="Arial"/>
          <w:color w:val="000000"/>
        </w:rPr>
        <w:t>,</w:t>
      </w:r>
      <w:r w:rsidR="00A97448" w:rsidRPr="00A97448">
        <w:rPr>
          <w:rFonts w:ascii="Arial" w:hAnsi="Arial"/>
          <w:color w:val="000000"/>
        </w:rPr>
        <w:t>3</w:t>
      </w:r>
      <w:r w:rsidR="002C6C53" w:rsidRPr="00A97448">
        <w:rPr>
          <w:rFonts w:ascii="Arial" w:hAnsi="Arial"/>
          <w:color w:val="000000"/>
        </w:rPr>
        <w:t xml:space="preserve"> Prozent) war</w:t>
      </w:r>
      <w:r w:rsidR="00A97448" w:rsidRPr="00A97448">
        <w:rPr>
          <w:rFonts w:ascii="Arial" w:hAnsi="Arial"/>
          <w:color w:val="000000"/>
        </w:rPr>
        <w:t>en</w:t>
      </w:r>
      <w:r w:rsidR="002C6C53" w:rsidRPr="00A97448">
        <w:rPr>
          <w:rFonts w:ascii="Arial" w:hAnsi="Arial"/>
          <w:color w:val="000000"/>
        </w:rPr>
        <w:t xml:space="preserve"> die Armutsgefährdungslücke</w:t>
      </w:r>
      <w:r w:rsidR="00A97448" w:rsidRPr="00A97448">
        <w:rPr>
          <w:rFonts w:ascii="Arial" w:hAnsi="Arial"/>
          <w:color w:val="000000"/>
        </w:rPr>
        <w:t>n</w:t>
      </w:r>
      <w:r w:rsidR="002C6C53" w:rsidRPr="00A97448">
        <w:rPr>
          <w:rFonts w:ascii="Arial" w:hAnsi="Arial"/>
          <w:color w:val="000000"/>
        </w:rPr>
        <w:t xml:space="preserve"> </w:t>
      </w:r>
      <w:r w:rsidR="00A97448" w:rsidRPr="00A97448">
        <w:rPr>
          <w:rFonts w:ascii="Arial" w:hAnsi="Arial"/>
          <w:color w:val="000000"/>
        </w:rPr>
        <w:t>am niedrigsten</w:t>
      </w:r>
      <w:r w:rsidR="002C6C53" w:rsidRPr="00A97448">
        <w:rPr>
          <w:rFonts w:ascii="Arial" w:hAnsi="Arial"/>
          <w:color w:val="000000"/>
        </w:rPr>
        <w:t>. In Deutschland lag die relative Armutsgefährdungslücke im Jahr 20</w:t>
      </w:r>
      <w:r w:rsidR="00A97448" w:rsidRPr="00A97448">
        <w:rPr>
          <w:rFonts w:ascii="Arial" w:hAnsi="Arial"/>
          <w:color w:val="000000"/>
        </w:rPr>
        <w:t>17 bei 20,9</w:t>
      </w:r>
      <w:r w:rsidR="002C6C53" w:rsidRPr="00A97448">
        <w:rPr>
          <w:rFonts w:ascii="Arial" w:hAnsi="Arial"/>
          <w:color w:val="000000"/>
        </w:rPr>
        <w:t xml:space="preserve"> Prozent.</w:t>
      </w:r>
    </w:p>
    <w:p w14:paraId="44AF908B" w14:textId="77777777" w:rsidR="002C6C53" w:rsidRPr="00D97B53" w:rsidRDefault="002C6C53">
      <w:pPr>
        <w:rPr>
          <w:rFonts w:ascii="Arial" w:hAnsi="Arial"/>
          <w:color w:val="000000"/>
        </w:rPr>
      </w:pPr>
    </w:p>
    <w:p w14:paraId="1E4908C1" w14:textId="77777777" w:rsidR="0059715F" w:rsidRPr="00ED3843" w:rsidRDefault="0059715F" w:rsidP="0059715F">
      <w:pPr>
        <w:rPr>
          <w:rFonts w:ascii="Arial" w:hAnsi="Arial" w:cs="Arial"/>
          <w:color w:val="FF0000"/>
          <w:shd w:val="clear" w:color="auto" w:fill="FFFFFF"/>
        </w:rPr>
      </w:pPr>
      <w:r w:rsidRPr="00ED3843">
        <w:rPr>
          <w:rFonts w:ascii="Arial" w:hAnsi="Arial" w:cs="Arial"/>
          <w:color w:val="FF0000"/>
          <w:shd w:val="clear" w:color="auto" w:fill="FFFFFF"/>
        </w:rPr>
        <w:t>Datenquelle</w:t>
      </w:r>
    </w:p>
    <w:p w14:paraId="72E188EF" w14:textId="77777777" w:rsidR="0059715F" w:rsidRPr="00240F48" w:rsidRDefault="0059715F" w:rsidP="0059715F">
      <w:pPr>
        <w:rPr>
          <w:rFonts w:ascii="Arial" w:hAnsi="Arial"/>
          <w:color w:val="000000"/>
        </w:rPr>
      </w:pPr>
    </w:p>
    <w:p w14:paraId="514F3B33" w14:textId="77777777" w:rsidR="0059715F" w:rsidRPr="00240F48" w:rsidRDefault="0059715F" w:rsidP="0059715F">
      <w:pPr>
        <w:rPr>
          <w:rFonts w:ascii="Arial" w:hAnsi="Arial"/>
          <w:color w:val="000000"/>
        </w:rPr>
      </w:pPr>
      <w:r w:rsidRPr="00240F48">
        <w:rPr>
          <w:rFonts w:ascii="Arial" w:hAnsi="Arial"/>
          <w:color w:val="000000"/>
        </w:rPr>
        <w:t>Eurostat: EU-SILC Erhebung: Streuung um die Armutsgefährdungsschwelle, Relativer Medianwert der Armutsgefährdungslücke (Stand: 11/2018)</w:t>
      </w:r>
    </w:p>
    <w:p w14:paraId="679EEF76" w14:textId="77777777" w:rsidR="0059715F" w:rsidRPr="00240F48" w:rsidRDefault="0059715F" w:rsidP="0059715F">
      <w:pPr>
        <w:rPr>
          <w:rFonts w:ascii="Arial" w:hAnsi="Arial"/>
          <w:color w:val="000000"/>
        </w:rPr>
      </w:pPr>
    </w:p>
    <w:p w14:paraId="57557D33" w14:textId="77777777" w:rsidR="002C6C53" w:rsidRDefault="002C6C53">
      <w:pPr>
        <w:rPr>
          <w:rFonts w:ascii="Arial" w:hAnsi="Arial"/>
          <w:color w:val="FF0000"/>
        </w:rPr>
      </w:pPr>
      <w:r>
        <w:rPr>
          <w:rFonts w:ascii="Arial" w:hAnsi="Arial"/>
          <w:color w:val="FF0000"/>
        </w:rPr>
        <w:t>Begriffe, methodische Anmerkungen oder Lesehilfen</w:t>
      </w:r>
    </w:p>
    <w:p w14:paraId="05B0E69F" w14:textId="77777777" w:rsidR="002C6C53" w:rsidRPr="007169BC" w:rsidRDefault="002C6C53">
      <w:pPr>
        <w:rPr>
          <w:rFonts w:ascii="Arial" w:hAnsi="Arial"/>
          <w:color w:val="000000"/>
        </w:rPr>
      </w:pPr>
    </w:p>
    <w:p w14:paraId="6E8C141C" w14:textId="77777777" w:rsidR="000261BD" w:rsidRPr="007169BC" w:rsidRDefault="000261BD" w:rsidP="000261BD">
      <w:pPr>
        <w:rPr>
          <w:rFonts w:ascii="Arial" w:hAnsi="Arial" w:cs="Arial"/>
          <w:color w:val="000000"/>
        </w:rPr>
      </w:pPr>
      <w:r w:rsidRPr="007169BC">
        <w:rPr>
          <w:rFonts w:ascii="Arial" w:hAnsi="Arial" w:cs="Arial"/>
          <w:color w:val="000000"/>
        </w:rPr>
        <w:t>Soweit nicht anders angegeben, beziehen sich die Angaben auf das Erhebungsjahr 2017 (Einkommensbezugsjahr 2016).</w:t>
      </w:r>
    </w:p>
    <w:p w14:paraId="0EEC78C6" w14:textId="77777777" w:rsidR="000261BD" w:rsidRPr="007169BC" w:rsidRDefault="000261BD" w:rsidP="000261BD">
      <w:pPr>
        <w:rPr>
          <w:rFonts w:ascii="Arial" w:hAnsi="Arial" w:cs="Arial"/>
          <w:color w:val="000000"/>
        </w:rPr>
      </w:pPr>
    </w:p>
    <w:p w14:paraId="20E20E7C" w14:textId="77777777" w:rsidR="00F674A8" w:rsidRPr="00A463A0" w:rsidRDefault="006069A6" w:rsidP="00F674A8">
      <w:pPr>
        <w:rPr>
          <w:rFonts w:ascii="Arial" w:hAnsi="Arial"/>
        </w:rPr>
      </w:pPr>
      <w:r w:rsidRPr="007169BC">
        <w:rPr>
          <w:rFonts w:ascii="Arial" w:hAnsi="Arial" w:cs="Arial"/>
          <w:color w:val="000000"/>
        </w:rPr>
        <w:t>Die</w:t>
      </w:r>
      <w:r w:rsidRPr="007169BC">
        <w:rPr>
          <w:rFonts w:ascii="Arial" w:hAnsi="Arial" w:cs="Arial"/>
          <w:color w:val="363636"/>
          <w:shd w:val="clear" w:color="auto" w:fill="FFFFFF"/>
        </w:rPr>
        <w:t> </w:t>
      </w:r>
      <w:r w:rsidRPr="007169BC">
        <w:rPr>
          <w:rStyle w:val="Fett"/>
          <w:rFonts w:ascii="Arial" w:hAnsi="Arial" w:cs="Arial"/>
          <w:color w:val="363636"/>
          <w:shd w:val="clear" w:color="auto" w:fill="FFFFFF"/>
        </w:rPr>
        <w:t>Armutsgefährdungsquote </w:t>
      </w:r>
      <w:r w:rsidRPr="007169BC">
        <w:rPr>
          <w:rFonts w:ascii="Arial" w:hAnsi="Arial" w:cs="Arial"/>
          <w:color w:val="363636"/>
          <w:shd w:val="clear" w:color="auto" w:fill="FFFFFF"/>
        </w:rPr>
        <w:t xml:space="preserve">gibt an, wie hoch der Anteil der armutsgefährdeten Personen an einer Gesamtgruppe ist. Als armutsgefährdet gelten Personen, deren Einkommen weniger als 60 Prozent des mittleren Einkommens beträgt. Dabei berücksichtigt die Einkommensberechnung sowohl die unterschiedlichen Haushaltsstrukturen als auch die Einspareffekte, die durch das Zusammenleben entstehen. </w:t>
      </w:r>
      <w:r w:rsidR="00F674A8" w:rsidRPr="00A463A0">
        <w:rPr>
          <w:rFonts w:ascii="Arial" w:hAnsi="Arial" w:cs="Arial"/>
          <w:color w:val="363636"/>
          <w:shd w:val="clear" w:color="auto" w:fill="FFFFFF"/>
        </w:rPr>
        <w:t xml:space="preserve">Die </w:t>
      </w:r>
      <w:r w:rsidR="00F674A8">
        <w:rPr>
          <w:rFonts w:ascii="Arial" w:hAnsi="Arial" w:cs="Arial"/>
          <w:color w:val="363636"/>
          <w:shd w:val="clear" w:color="auto" w:fill="FFFFFF"/>
        </w:rPr>
        <w:t xml:space="preserve">verfügbaren </w:t>
      </w:r>
      <w:r w:rsidR="00F674A8" w:rsidRPr="00A463A0">
        <w:rPr>
          <w:rFonts w:ascii="Arial" w:hAnsi="Arial" w:cs="Arial"/>
          <w:color w:val="363636"/>
          <w:shd w:val="clear" w:color="auto" w:fill="FFFFFF"/>
        </w:rPr>
        <w:t>Einkommen werden also gewichtet (</w:t>
      </w:r>
      <w:r w:rsidR="00F674A8" w:rsidRPr="00E34FB0">
        <w:rPr>
          <w:rFonts w:ascii="Arial" w:hAnsi="Arial"/>
          <w:b/>
          <w:color w:val="000000"/>
        </w:rPr>
        <w:t>Nettoäquivalenzeinkommen</w:t>
      </w:r>
      <w:r w:rsidR="00F674A8">
        <w:rPr>
          <w:rFonts w:ascii="Arial" w:hAnsi="Arial"/>
          <w:color w:val="000000"/>
        </w:rPr>
        <w:t>)</w:t>
      </w:r>
      <w:r w:rsidR="00F674A8" w:rsidRPr="00A463A0">
        <w:rPr>
          <w:rFonts w:ascii="Arial" w:hAnsi="Arial" w:cs="Arial"/>
          <w:color w:val="363636"/>
          <w:shd w:val="clear" w:color="auto" w:fill="FFFFFF"/>
        </w:rPr>
        <w:t>.</w:t>
      </w:r>
    </w:p>
    <w:p w14:paraId="1B527AA0" w14:textId="77777777" w:rsidR="00F674A8" w:rsidRDefault="00F674A8" w:rsidP="007169BC">
      <w:pPr>
        <w:rPr>
          <w:rFonts w:ascii="Arial" w:hAnsi="Arial" w:cs="Arial"/>
          <w:color w:val="363636"/>
          <w:shd w:val="clear" w:color="auto" w:fill="FFFFFF"/>
        </w:rPr>
      </w:pPr>
    </w:p>
    <w:p w14:paraId="4636FBDB" w14:textId="77777777" w:rsidR="0032590C" w:rsidRPr="007169BC" w:rsidRDefault="0032590C" w:rsidP="000261BD">
      <w:pPr>
        <w:rPr>
          <w:rFonts w:ascii="Arial" w:hAnsi="Arial" w:cs="Arial"/>
          <w:color w:val="363636"/>
          <w:shd w:val="clear" w:color="auto" w:fill="FFFFFF"/>
        </w:rPr>
      </w:pPr>
      <w:r w:rsidRPr="007169BC">
        <w:rPr>
          <w:rFonts w:ascii="Arial" w:hAnsi="Arial" w:cs="Arial"/>
          <w:b/>
          <w:color w:val="363636"/>
          <w:shd w:val="clear" w:color="auto" w:fill="FFFFFF"/>
        </w:rPr>
        <w:t>Armutsgefährdungslücke</w:t>
      </w:r>
      <w:r w:rsidRPr="007169BC">
        <w:rPr>
          <w:rFonts w:ascii="Arial" w:hAnsi="Arial" w:cs="Arial"/>
          <w:color w:val="363636"/>
          <w:shd w:val="clear" w:color="auto" w:fill="FFFFFF"/>
        </w:rPr>
        <w:t>: Differenz zwischen dem Mittelwert (relativer Medianwert) der verfügbaren, gewichteten Einkommen (Nettoäquivalenzeinkommen) der Personen unterhalb der Armutsgefährdungsgrenze und der</w:t>
      </w:r>
      <w:r w:rsidR="000E38CC">
        <w:rPr>
          <w:rFonts w:ascii="Arial" w:hAnsi="Arial" w:cs="Arial"/>
          <w:color w:val="363636"/>
          <w:shd w:val="clear" w:color="auto" w:fill="FFFFFF"/>
        </w:rPr>
        <w:t xml:space="preserve"> </w:t>
      </w:r>
      <w:r w:rsidRPr="007169BC">
        <w:rPr>
          <w:rFonts w:ascii="Arial" w:hAnsi="Arial" w:cs="Arial"/>
          <w:color w:val="363636"/>
          <w:shd w:val="clear" w:color="auto" w:fill="FFFFFF"/>
        </w:rPr>
        <w:t xml:space="preserve">Armutsgefährdungsgrenze, ausgedrückt als Prozentsatz der Armutsgefährdungsgrenze. </w:t>
      </w:r>
    </w:p>
    <w:p w14:paraId="4668CF15" w14:textId="77777777" w:rsidR="0032590C" w:rsidRPr="007169BC" w:rsidRDefault="0032590C" w:rsidP="000261BD">
      <w:pPr>
        <w:rPr>
          <w:rFonts w:ascii="Arial" w:hAnsi="Arial" w:cs="Arial"/>
          <w:color w:val="363636"/>
          <w:shd w:val="clear" w:color="auto" w:fill="FFFFFF"/>
        </w:rPr>
      </w:pPr>
    </w:p>
    <w:p w14:paraId="3DDD4041" w14:textId="77777777" w:rsidR="000261BD" w:rsidRPr="007169BC" w:rsidRDefault="000261BD" w:rsidP="000261BD">
      <w:pPr>
        <w:rPr>
          <w:rFonts w:ascii="Arial" w:hAnsi="Arial" w:cs="Arial"/>
          <w:color w:val="363636"/>
          <w:shd w:val="clear" w:color="auto" w:fill="FFFFFF"/>
        </w:rPr>
      </w:pPr>
      <w:r w:rsidRPr="007169BC">
        <w:rPr>
          <w:rFonts w:ascii="Arial" w:hAnsi="Arial" w:cs="Arial"/>
          <w:color w:val="000000"/>
        </w:rPr>
        <w:t>Die Armutsgefährdungsquote wird hier bezogen auf die einzelnen Staaten gemessen und nicht anhand eines einheitlichen (EU-)Schwellenwertes für alle Länder.</w:t>
      </w:r>
      <w:r w:rsidR="00631027" w:rsidRPr="007169BC">
        <w:rPr>
          <w:rFonts w:ascii="Arial" w:hAnsi="Arial" w:cs="Arial"/>
          <w:color w:val="000000"/>
        </w:rPr>
        <w:t xml:space="preserve"> Auch bei der </w:t>
      </w:r>
      <w:r w:rsidR="00631027" w:rsidRPr="007169BC">
        <w:rPr>
          <w:rFonts w:ascii="Arial" w:hAnsi="Arial" w:cs="Arial"/>
          <w:color w:val="363636"/>
          <w:shd w:val="clear" w:color="auto" w:fill="FFFFFF"/>
        </w:rPr>
        <w:t>Armutsgefährdungslücke handelt es sich beim EU-Gesamtwert um einen nach der Bevölkerungszahl gewichteten Durchschnittswert der Zahlen der einzelnen Mitgliedstaaten.</w:t>
      </w:r>
    </w:p>
    <w:p w14:paraId="6BF6DF78" w14:textId="77777777" w:rsidR="000261BD" w:rsidRPr="007169BC" w:rsidRDefault="000261BD">
      <w:pPr>
        <w:rPr>
          <w:rFonts w:ascii="Arial" w:hAnsi="Arial"/>
          <w:color w:val="000000"/>
        </w:rPr>
      </w:pPr>
    </w:p>
    <w:p w14:paraId="78E7E0F9" w14:textId="77777777" w:rsidR="002C6C53" w:rsidRDefault="003004C8" w:rsidP="002C6C53">
      <w:pPr>
        <w:rPr>
          <w:rFonts w:ascii="Arial" w:hAnsi="Arial" w:cs="Arial"/>
          <w:color w:val="363636"/>
          <w:shd w:val="clear" w:color="auto" w:fill="FFFFFF"/>
        </w:rPr>
      </w:pPr>
      <w:r w:rsidRPr="007169BC">
        <w:rPr>
          <w:rFonts w:ascii="Arial" w:hAnsi="Arial" w:cs="Arial"/>
          <w:color w:val="363636"/>
          <w:shd w:val="clear" w:color="auto" w:fill="FFFFFF"/>
        </w:rPr>
        <w:t>Um das </w:t>
      </w:r>
      <w:r w:rsidRPr="007169BC">
        <w:rPr>
          <w:rStyle w:val="Fett"/>
          <w:rFonts w:ascii="Arial" w:hAnsi="Arial" w:cs="Arial"/>
          <w:color w:val="363636"/>
          <w:shd w:val="clear" w:color="auto" w:fill="FFFFFF"/>
        </w:rPr>
        <w:t>mittlere Einkommen</w:t>
      </w:r>
      <w:r w:rsidRPr="007169BC">
        <w:rPr>
          <w:rFonts w:ascii="Arial" w:hAnsi="Arial" w:cs="Arial"/>
          <w:color w:val="363636"/>
          <w:shd w:val="clear" w:color="auto" w:fill="FFFFFF"/>
        </w:rPr>
        <w:t xml:space="preserve"> zu berechnen, wird der </w:t>
      </w:r>
      <w:r w:rsidRPr="007169BC">
        <w:rPr>
          <w:rFonts w:ascii="Arial" w:hAnsi="Arial" w:cs="Arial"/>
          <w:b/>
          <w:color w:val="363636"/>
          <w:shd w:val="clear" w:color="auto" w:fill="FFFFFF"/>
        </w:rPr>
        <w:t>Median</w:t>
      </w:r>
      <w:r w:rsidRPr="007169BC">
        <w:rPr>
          <w:rFonts w:ascii="Arial" w:hAnsi="Arial" w:cs="Arial"/>
          <w:color w:val="363636"/>
          <w:shd w:val="clear" w:color="auto" w:fill="FFFFFF"/>
        </w:rPr>
        <w:t xml:space="preserve"> (Zentralwert) verwendet. Dabei werden hier alle Personen ihrem gewichteten Einkommen nach aufsteigend sortiert. Der Median ist der Einkommenswert derjenigen Person, die die Bevölkerung in genau zwei Hälften teilt. Das heißt, die eine Hälfte hat ein höheres, die andere ein niedrigeres gewichtetes Einkommen. 60 Prozent dieses Medianwertes stellen die Armutsgefährdungsgrenze dar.</w:t>
      </w:r>
    </w:p>
    <w:p w14:paraId="72AE9D53" w14:textId="77777777" w:rsidR="00F674A8" w:rsidRDefault="00F674A8" w:rsidP="002C6C53">
      <w:pPr>
        <w:rPr>
          <w:rFonts w:ascii="Arial" w:hAnsi="Arial" w:cs="Arial"/>
          <w:color w:val="363636"/>
          <w:shd w:val="clear" w:color="auto" w:fill="FFFFFF"/>
        </w:rPr>
      </w:pPr>
    </w:p>
    <w:p w14:paraId="2FD67682" w14:textId="77777777" w:rsidR="00F674A8" w:rsidRPr="007169BC" w:rsidRDefault="00F674A8" w:rsidP="00F674A8">
      <w:pPr>
        <w:rPr>
          <w:rFonts w:ascii="Arial" w:hAnsi="Arial"/>
        </w:rPr>
      </w:pPr>
      <w:r w:rsidRPr="007169BC">
        <w:rPr>
          <w:rFonts w:ascii="Arial" w:hAnsi="Arial" w:cs="Arial"/>
          <w:color w:val="363636"/>
          <w:shd w:val="clear" w:color="auto" w:fill="FFFFFF"/>
        </w:rPr>
        <w:t>W</w:t>
      </w:r>
      <w:r w:rsidRPr="007169BC">
        <w:rPr>
          <w:rFonts w:ascii="Arial" w:hAnsi="Arial"/>
        </w:rPr>
        <w:t xml:space="preserve">eitere Informationen zur </w:t>
      </w:r>
      <w:r w:rsidRPr="007169BC">
        <w:rPr>
          <w:rFonts w:ascii="Arial" w:hAnsi="Arial"/>
          <w:b/>
        </w:rPr>
        <w:t xml:space="preserve">Berechnung der </w:t>
      </w:r>
      <w:r w:rsidRPr="007169BC">
        <w:rPr>
          <w:rFonts w:ascii="Arial" w:hAnsi="Arial"/>
          <w:b/>
          <w:color w:val="000000"/>
        </w:rPr>
        <w:t>Armutsgefährdungsquote</w:t>
      </w:r>
      <w:r w:rsidRPr="007169BC">
        <w:rPr>
          <w:rFonts w:ascii="Arial" w:hAnsi="Arial"/>
        </w:rPr>
        <w:t xml:space="preserve"> erhalten Sie hier: </w:t>
      </w:r>
      <w:hyperlink r:id="rId7" w:history="1">
        <w:r w:rsidRPr="007169BC">
          <w:rPr>
            <w:rStyle w:val="Hyperlink"/>
            <w:rFonts w:ascii="Arial" w:hAnsi="Arial"/>
          </w:rPr>
          <w:t>http://www.bpb.de/70619</w:t>
        </w:r>
      </w:hyperlink>
    </w:p>
    <w:p w14:paraId="518D2EB8" w14:textId="77777777" w:rsidR="00F674A8" w:rsidRPr="007169BC" w:rsidRDefault="00F674A8" w:rsidP="00F674A8">
      <w:pPr>
        <w:rPr>
          <w:rFonts w:ascii="Arial" w:hAnsi="Arial" w:cs="Arial"/>
          <w:color w:val="363636"/>
          <w:shd w:val="clear" w:color="auto" w:fill="FFFFFF"/>
        </w:rPr>
      </w:pPr>
    </w:p>
    <w:p w14:paraId="30462C5A" w14:textId="77777777" w:rsidR="000261BD" w:rsidRPr="00ED3843" w:rsidRDefault="000261BD" w:rsidP="000261BD">
      <w:pPr>
        <w:pStyle w:val="StandardWeb"/>
        <w:tabs>
          <w:tab w:val="left" w:pos="1046"/>
        </w:tabs>
        <w:spacing w:before="0" w:after="0"/>
        <w:rPr>
          <w:rFonts w:ascii="Arial" w:hAnsi="Arial" w:cs="Arial"/>
          <w:sz w:val="20"/>
          <w:szCs w:val="20"/>
        </w:rPr>
      </w:pPr>
      <w:r w:rsidRPr="00ED3843">
        <w:rPr>
          <w:rFonts w:ascii="Arial" w:hAnsi="Arial" w:cs="Arial"/>
          <w:sz w:val="20"/>
          <w:szCs w:val="20"/>
        </w:rPr>
        <w:t xml:space="preserve">Dieser Text ist unter der Creative </w:t>
      </w:r>
      <w:proofErr w:type="spellStart"/>
      <w:r w:rsidRPr="00ED3843">
        <w:rPr>
          <w:rFonts w:ascii="Arial" w:hAnsi="Arial" w:cs="Arial"/>
          <w:sz w:val="20"/>
          <w:szCs w:val="20"/>
        </w:rPr>
        <w:t>Commons</w:t>
      </w:r>
      <w:proofErr w:type="spellEnd"/>
      <w:r w:rsidRPr="00ED3843">
        <w:rPr>
          <w:rFonts w:ascii="Arial" w:hAnsi="Arial" w:cs="Arial"/>
          <w:sz w:val="20"/>
          <w:szCs w:val="20"/>
        </w:rPr>
        <w:t xml:space="preserve"> Lizenz </w:t>
      </w:r>
      <w:proofErr w:type="spellStart"/>
      <w:r w:rsidRPr="00ED3843">
        <w:rPr>
          <w:rFonts w:ascii="Arial" w:hAnsi="Arial" w:cs="Arial"/>
          <w:sz w:val="20"/>
          <w:szCs w:val="20"/>
        </w:rPr>
        <w:t>by-nc-nd</w:t>
      </w:r>
      <w:proofErr w:type="spellEnd"/>
      <w:r w:rsidRPr="00ED3843">
        <w:rPr>
          <w:rFonts w:ascii="Arial" w:hAnsi="Arial" w:cs="Arial"/>
          <w:sz w:val="20"/>
          <w:szCs w:val="20"/>
        </w:rPr>
        <w:t>/3.0/de/ veröffentlicht.</w:t>
      </w:r>
    </w:p>
    <w:p w14:paraId="0F203491" w14:textId="77777777" w:rsidR="000261BD" w:rsidRPr="00ED3843" w:rsidRDefault="000261BD" w:rsidP="000261BD">
      <w:pPr>
        <w:pStyle w:val="StandardWeb"/>
        <w:tabs>
          <w:tab w:val="left" w:pos="1046"/>
        </w:tabs>
        <w:spacing w:before="0" w:after="0"/>
        <w:rPr>
          <w:rFonts w:ascii="Arial" w:hAnsi="Arial" w:cs="Arial"/>
          <w:sz w:val="20"/>
          <w:szCs w:val="20"/>
        </w:rPr>
      </w:pPr>
      <w:r w:rsidRPr="00ED3843">
        <w:rPr>
          <w:rFonts w:ascii="Arial" w:hAnsi="Arial" w:cs="Arial"/>
          <w:sz w:val="20"/>
          <w:szCs w:val="20"/>
        </w:rPr>
        <w:t>Bundeszentrale für politische Bildung 201</w:t>
      </w:r>
      <w:r w:rsidR="00C336BE">
        <w:rPr>
          <w:rFonts w:ascii="Arial" w:hAnsi="Arial" w:cs="Arial"/>
          <w:sz w:val="20"/>
          <w:szCs w:val="20"/>
        </w:rPr>
        <w:t>9</w:t>
      </w:r>
      <w:r w:rsidRPr="00ED3843">
        <w:rPr>
          <w:rFonts w:ascii="Arial" w:hAnsi="Arial" w:cs="Arial"/>
          <w:sz w:val="20"/>
          <w:szCs w:val="20"/>
        </w:rPr>
        <w:t xml:space="preserve"> | www.bpb.de</w:t>
      </w:r>
    </w:p>
    <w:sectPr w:rsidR="000261BD" w:rsidRPr="00ED3843">
      <w:footnotePr>
        <w:pos w:val="beneathText"/>
      </w:footnotePr>
      <w:pgSz w:w="11906" w:h="16838"/>
      <w:pgMar w:top="1417" w:right="1417" w:bottom="1134" w:left="1417"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560B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32843"/>
    <w:multiLevelType w:val="multilevel"/>
    <w:tmpl w:val="A692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pb-mj">
    <w15:presenceInfo w15:providerId="None" w15:userId="bpb-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406"/>
    <w:rsid w:val="000261BD"/>
    <w:rsid w:val="000A451C"/>
    <w:rsid w:val="000B043E"/>
    <w:rsid w:val="000E38CC"/>
    <w:rsid w:val="00102736"/>
    <w:rsid w:val="0010465E"/>
    <w:rsid w:val="001364D9"/>
    <w:rsid w:val="0014216D"/>
    <w:rsid w:val="00191EE4"/>
    <w:rsid w:val="001B0F74"/>
    <w:rsid w:val="001B719E"/>
    <w:rsid w:val="001D3B34"/>
    <w:rsid w:val="0020378A"/>
    <w:rsid w:val="00240F48"/>
    <w:rsid w:val="00260C0D"/>
    <w:rsid w:val="002659A8"/>
    <w:rsid w:val="00273D5A"/>
    <w:rsid w:val="00293ABF"/>
    <w:rsid w:val="002A643F"/>
    <w:rsid w:val="002B23A6"/>
    <w:rsid w:val="002C6C53"/>
    <w:rsid w:val="002C72AA"/>
    <w:rsid w:val="002D0253"/>
    <w:rsid w:val="002D5D31"/>
    <w:rsid w:val="003004C8"/>
    <w:rsid w:val="0032590C"/>
    <w:rsid w:val="00333773"/>
    <w:rsid w:val="0038006C"/>
    <w:rsid w:val="0038685B"/>
    <w:rsid w:val="003E3188"/>
    <w:rsid w:val="00401317"/>
    <w:rsid w:val="00452D7F"/>
    <w:rsid w:val="00462E21"/>
    <w:rsid w:val="00480406"/>
    <w:rsid w:val="004A2210"/>
    <w:rsid w:val="004B498B"/>
    <w:rsid w:val="004D3283"/>
    <w:rsid w:val="004E20E5"/>
    <w:rsid w:val="00507A78"/>
    <w:rsid w:val="00532123"/>
    <w:rsid w:val="005422EC"/>
    <w:rsid w:val="005625A8"/>
    <w:rsid w:val="005911A6"/>
    <w:rsid w:val="0059715F"/>
    <w:rsid w:val="006069A6"/>
    <w:rsid w:val="00631027"/>
    <w:rsid w:val="00633607"/>
    <w:rsid w:val="0063611B"/>
    <w:rsid w:val="0066332C"/>
    <w:rsid w:val="006B4320"/>
    <w:rsid w:val="007169BC"/>
    <w:rsid w:val="00742200"/>
    <w:rsid w:val="00761AD0"/>
    <w:rsid w:val="00790BBD"/>
    <w:rsid w:val="007B46C0"/>
    <w:rsid w:val="0082040F"/>
    <w:rsid w:val="008B1630"/>
    <w:rsid w:val="00930D0F"/>
    <w:rsid w:val="00960DFD"/>
    <w:rsid w:val="00A41D45"/>
    <w:rsid w:val="00A71686"/>
    <w:rsid w:val="00A97448"/>
    <w:rsid w:val="00AE0F45"/>
    <w:rsid w:val="00AF58FE"/>
    <w:rsid w:val="00B009D4"/>
    <w:rsid w:val="00B0385B"/>
    <w:rsid w:val="00B0721C"/>
    <w:rsid w:val="00B33A0A"/>
    <w:rsid w:val="00B363C4"/>
    <w:rsid w:val="00B447C1"/>
    <w:rsid w:val="00B94F58"/>
    <w:rsid w:val="00BA66C7"/>
    <w:rsid w:val="00BB2D50"/>
    <w:rsid w:val="00BF78CC"/>
    <w:rsid w:val="00C11E3B"/>
    <w:rsid w:val="00C336BE"/>
    <w:rsid w:val="00CC77A7"/>
    <w:rsid w:val="00D0609E"/>
    <w:rsid w:val="00D13FF4"/>
    <w:rsid w:val="00D47C30"/>
    <w:rsid w:val="00D97B53"/>
    <w:rsid w:val="00DD21E0"/>
    <w:rsid w:val="00E30A55"/>
    <w:rsid w:val="00E32EF0"/>
    <w:rsid w:val="00E75398"/>
    <w:rsid w:val="00E85D52"/>
    <w:rsid w:val="00E96D30"/>
    <w:rsid w:val="00F017EF"/>
    <w:rsid w:val="00F06C61"/>
    <w:rsid w:val="00F20E6D"/>
    <w:rsid w:val="00F219BE"/>
    <w:rsid w:val="00F40DED"/>
    <w:rsid w:val="00F674A8"/>
    <w:rsid w:val="00F7400C"/>
    <w:rsid w:val="00FC7E62"/>
    <w:rsid w:val="00FF27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2">
    <w:name w:val="heading 2"/>
    <w:basedOn w:val="Standard"/>
    <w:link w:val="berschrift2Zchn"/>
    <w:uiPriority w:val="9"/>
    <w:qFormat/>
    <w:rsid w:val="002D0253"/>
    <w:pPr>
      <w:suppressAutoHyphens w:val="0"/>
      <w:spacing w:before="100" w:beforeAutospacing="1" w:after="100" w:afterAutospacing="1"/>
      <w:outlineLvl w:val="1"/>
    </w:pPr>
    <w:rPr>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pPr>
    <w:rPr>
      <w:rFonts w:ascii="Arial" w:eastAsia="Arial" w:hAnsi="Arial" w:cs="Arial"/>
      <w:color w:val="000000"/>
      <w:sz w:val="24"/>
      <w:szCs w:val="24"/>
      <w:lang w:eastAsia="zh-CN"/>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480406"/>
    <w:rPr>
      <w:rFonts w:ascii="Tahoma" w:hAnsi="Tahoma" w:cs="Tahoma"/>
      <w:sz w:val="16"/>
      <w:szCs w:val="16"/>
    </w:rPr>
  </w:style>
  <w:style w:type="character" w:styleId="Fett">
    <w:name w:val="Strong"/>
    <w:basedOn w:val="Absatz-Standardschriftart"/>
    <w:uiPriority w:val="22"/>
    <w:qFormat/>
    <w:rsid w:val="000261BD"/>
    <w:rPr>
      <w:b/>
      <w:bCs/>
    </w:rPr>
  </w:style>
  <w:style w:type="character" w:styleId="Hyperlink">
    <w:name w:val="Hyperlink"/>
    <w:basedOn w:val="Absatz-Standardschriftart"/>
    <w:uiPriority w:val="99"/>
    <w:unhideWhenUsed/>
    <w:rsid w:val="000261BD"/>
    <w:rPr>
      <w:color w:val="0000FF" w:themeColor="hyperlink"/>
      <w:u w:val="single"/>
    </w:rPr>
  </w:style>
  <w:style w:type="paragraph" w:styleId="StandardWeb">
    <w:name w:val="Normal (Web)"/>
    <w:basedOn w:val="Standard"/>
    <w:uiPriority w:val="99"/>
    <w:rsid w:val="000261BD"/>
    <w:pPr>
      <w:spacing w:before="100" w:after="100"/>
    </w:pPr>
  </w:style>
  <w:style w:type="character" w:customStyle="1" w:styleId="berschrift2Zchn">
    <w:name w:val="Überschrift 2 Zchn"/>
    <w:basedOn w:val="Absatz-Standardschriftart"/>
    <w:link w:val="berschrift2"/>
    <w:uiPriority w:val="9"/>
    <w:rsid w:val="002D0253"/>
    <w:rPr>
      <w:b/>
      <w:bCs/>
      <w:sz w:val="36"/>
      <w:szCs w:val="36"/>
    </w:rPr>
  </w:style>
  <w:style w:type="paragraph" w:styleId="Kommentarthema">
    <w:name w:val="annotation subject"/>
    <w:basedOn w:val="Kommentartext"/>
    <w:next w:val="Kommentartext"/>
    <w:link w:val="KommentarthemaZchn"/>
    <w:uiPriority w:val="99"/>
    <w:semiHidden/>
    <w:unhideWhenUsed/>
    <w:rsid w:val="000A451C"/>
    <w:rPr>
      <w:b/>
      <w:bCs/>
      <w:szCs w:val="20"/>
    </w:rPr>
  </w:style>
  <w:style w:type="character" w:customStyle="1" w:styleId="KommentartextZchn">
    <w:name w:val="Kommentartext Zchn"/>
    <w:basedOn w:val="Absatz-Standardschriftart"/>
    <w:link w:val="Kommentartext"/>
    <w:semiHidden/>
    <w:rsid w:val="000A451C"/>
    <w:rPr>
      <w:szCs w:val="24"/>
      <w:lang w:eastAsia="zh-CN"/>
    </w:rPr>
  </w:style>
  <w:style w:type="character" w:customStyle="1" w:styleId="KommentarthemaZchn">
    <w:name w:val="Kommentarthema Zchn"/>
    <w:basedOn w:val="KommentartextZchn"/>
    <w:link w:val="Kommentarthema"/>
    <w:uiPriority w:val="99"/>
    <w:semiHidden/>
    <w:rsid w:val="000A451C"/>
    <w:rPr>
      <w:b/>
      <w:bCs/>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2">
    <w:name w:val="heading 2"/>
    <w:basedOn w:val="Standard"/>
    <w:link w:val="berschrift2Zchn"/>
    <w:uiPriority w:val="9"/>
    <w:qFormat/>
    <w:rsid w:val="002D0253"/>
    <w:pPr>
      <w:suppressAutoHyphens w:val="0"/>
      <w:spacing w:before="100" w:beforeAutospacing="1" w:after="100" w:afterAutospacing="1"/>
      <w:outlineLvl w:val="1"/>
    </w:pPr>
    <w:rPr>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pPr>
    <w:rPr>
      <w:rFonts w:ascii="Arial" w:eastAsia="Arial" w:hAnsi="Arial" w:cs="Arial"/>
      <w:color w:val="000000"/>
      <w:sz w:val="24"/>
      <w:szCs w:val="24"/>
      <w:lang w:eastAsia="zh-CN"/>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480406"/>
    <w:rPr>
      <w:rFonts w:ascii="Tahoma" w:hAnsi="Tahoma" w:cs="Tahoma"/>
      <w:sz w:val="16"/>
      <w:szCs w:val="16"/>
    </w:rPr>
  </w:style>
  <w:style w:type="character" w:styleId="Fett">
    <w:name w:val="Strong"/>
    <w:basedOn w:val="Absatz-Standardschriftart"/>
    <w:uiPriority w:val="22"/>
    <w:qFormat/>
    <w:rsid w:val="000261BD"/>
    <w:rPr>
      <w:b/>
      <w:bCs/>
    </w:rPr>
  </w:style>
  <w:style w:type="character" w:styleId="Hyperlink">
    <w:name w:val="Hyperlink"/>
    <w:basedOn w:val="Absatz-Standardschriftart"/>
    <w:uiPriority w:val="99"/>
    <w:unhideWhenUsed/>
    <w:rsid w:val="000261BD"/>
    <w:rPr>
      <w:color w:val="0000FF" w:themeColor="hyperlink"/>
      <w:u w:val="single"/>
    </w:rPr>
  </w:style>
  <w:style w:type="paragraph" w:styleId="StandardWeb">
    <w:name w:val="Normal (Web)"/>
    <w:basedOn w:val="Standard"/>
    <w:uiPriority w:val="99"/>
    <w:rsid w:val="000261BD"/>
    <w:pPr>
      <w:spacing w:before="100" w:after="100"/>
    </w:pPr>
  </w:style>
  <w:style w:type="character" w:customStyle="1" w:styleId="berschrift2Zchn">
    <w:name w:val="Überschrift 2 Zchn"/>
    <w:basedOn w:val="Absatz-Standardschriftart"/>
    <w:link w:val="berschrift2"/>
    <w:uiPriority w:val="9"/>
    <w:rsid w:val="002D0253"/>
    <w:rPr>
      <w:b/>
      <w:bCs/>
      <w:sz w:val="36"/>
      <w:szCs w:val="36"/>
    </w:rPr>
  </w:style>
  <w:style w:type="paragraph" w:styleId="Kommentarthema">
    <w:name w:val="annotation subject"/>
    <w:basedOn w:val="Kommentartext"/>
    <w:next w:val="Kommentartext"/>
    <w:link w:val="KommentarthemaZchn"/>
    <w:uiPriority w:val="99"/>
    <w:semiHidden/>
    <w:unhideWhenUsed/>
    <w:rsid w:val="000A451C"/>
    <w:rPr>
      <w:b/>
      <w:bCs/>
      <w:szCs w:val="20"/>
    </w:rPr>
  </w:style>
  <w:style w:type="character" w:customStyle="1" w:styleId="KommentartextZchn">
    <w:name w:val="Kommentartext Zchn"/>
    <w:basedOn w:val="Absatz-Standardschriftart"/>
    <w:link w:val="Kommentartext"/>
    <w:semiHidden/>
    <w:rsid w:val="000A451C"/>
    <w:rPr>
      <w:szCs w:val="24"/>
      <w:lang w:eastAsia="zh-CN"/>
    </w:rPr>
  </w:style>
  <w:style w:type="character" w:customStyle="1" w:styleId="KommentarthemaZchn">
    <w:name w:val="Kommentarthema Zchn"/>
    <w:basedOn w:val="KommentartextZchn"/>
    <w:link w:val="Kommentarthema"/>
    <w:uiPriority w:val="99"/>
    <w:semiHidden/>
    <w:rsid w:val="000A451C"/>
    <w:rPr>
      <w:b/>
      <w:bC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10842">
      <w:bodyDiv w:val="1"/>
      <w:marLeft w:val="0"/>
      <w:marRight w:val="0"/>
      <w:marTop w:val="0"/>
      <w:marBottom w:val="0"/>
      <w:divBdr>
        <w:top w:val="none" w:sz="0" w:space="0" w:color="auto"/>
        <w:left w:val="none" w:sz="0" w:space="0" w:color="auto"/>
        <w:bottom w:val="none" w:sz="0" w:space="0" w:color="auto"/>
        <w:right w:val="none" w:sz="0" w:space="0" w:color="auto"/>
      </w:divBdr>
    </w:div>
    <w:div w:id="1231039171">
      <w:bodyDiv w:val="1"/>
      <w:marLeft w:val="0"/>
      <w:marRight w:val="0"/>
      <w:marTop w:val="0"/>
      <w:marBottom w:val="0"/>
      <w:divBdr>
        <w:top w:val="none" w:sz="0" w:space="0" w:color="auto"/>
        <w:left w:val="none" w:sz="0" w:space="0" w:color="auto"/>
        <w:bottom w:val="none" w:sz="0" w:space="0" w:color="auto"/>
        <w:right w:val="none" w:sz="0" w:space="0" w:color="auto"/>
      </w:divBdr>
    </w:div>
    <w:div w:id="1469737592">
      <w:bodyDiv w:val="1"/>
      <w:marLeft w:val="0"/>
      <w:marRight w:val="0"/>
      <w:marTop w:val="0"/>
      <w:marBottom w:val="0"/>
      <w:divBdr>
        <w:top w:val="none" w:sz="0" w:space="0" w:color="auto"/>
        <w:left w:val="none" w:sz="0" w:space="0" w:color="auto"/>
        <w:bottom w:val="none" w:sz="0" w:space="0" w:color="auto"/>
        <w:right w:val="none" w:sz="0" w:space="0" w:color="auto"/>
      </w:divBdr>
    </w:div>
    <w:div w:id="14732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pb.de/706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DB89E-32F5-4CCB-A794-C003DAEA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4787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Fakten</vt:lpstr>
    </vt:vector>
  </TitlesOfParts>
  <Company>bpb</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7</cp:revision>
  <cp:lastPrinted>1900-12-31T23:00:00Z</cp:lastPrinted>
  <dcterms:created xsi:type="dcterms:W3CDTF">2019-03-14T10:19:00Z</dcterms:created>
  <dcterms:modified xsi:type="dcterms:W3CDTF">2019-04-04T09:55:00Z</dcterms:modified>
</cp:coreProperties>
</file>