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F8B" w:rsidRPr="002F10B8" w:rsidRDefault="002F10B8">
      <w:pPr>
        <w:rPr>
          <w:rFonts w:ascii="Arial" w:hAnsi="Arial"/>
          <w:b/>
          <w:color w:val="FF0000"/>
        </w:rPr>
      </w:pPr>
      <w:bookmarkStart w:id="0" w:name="_GoBack"/>
      <w:bookmarkEnd w:id="0"/>
      <w:r w:rsidRPr="002F10B8">
        <w:rPr>
          <w:rFonts w:ascii="Arial" w:hAnsi="Arial"/>
          <w:b/>
          <w:color w:val="000000"/>
        </w:rPr>
        <w:t xml:space="preserve">In der Europäischen Union (EU) war im Jahr 2017 das Einkommen des Fünftels der Bevölkerung mit den höchsten Einkommen rund </w:t>
      </w:r>
      <w:r w:rsidR="00E83878">
        <w:rPr>
          <w:rFonts w:ascii="Arial" w:hAnsi="Arial"/>
          <w:b/>
          <w:color w:val="000000"/>
        </w:rPr>
        <w:t>5-</w:t>
      </w:r>
      <w:r w:rsidRPr="002F10B8">
        <w:rPr>
          <w:rFonts w:ascii="Arial" w:hAnsi="Arial"/>
          <w:b/>
          <w:color w:val="000000"/>
        </w:rPr>
        <w:t xml:space="preserve">mal höher als das des Fünftels der Bevölkerung mit den niedrigsten Einkommen. In keinem EU-Staat sind die Einkommen ungleicher verteilt als in Bulgarien. Das verfügbare, gewichtete Gesamteinkommen der 20 Prozent der Bevölkerung mit den höchsten Einkommen überstieg das Einkommen der 20 Prozent der Bevölkerung mit den niedrigsten Einkommen </w:t>
      </w:r>
      <w:r w:rsidR="00E83878">
        <w:rPr>
          <w:rFonts w:ascii="Arial" w:hAnsi="Arial"/>
          <w:b/>
          <w:color w:val="000000"/>
        </w:rPr>
        <w:t xml:space="preserve">im Jahr 2017 </w:t>
      </w:r>
      <w:r w:rsidRPr="002F10B8">
        <w:rPr>
          <w:rFonts w:ascii="Arial" w:hAnsi="Arial"/>
          <w:b/>
          <w:color w:val="000000"/>
        </w:rPr>
        <w:t>um mehr als das Achtfache (Faktor 8,2). Auch in Litauen (7,3), Spanien (6,6) und Rumänien (6,5) sind die Einkommen sehr ungleich verteilt. Hingegen hatten Slowenien und Tschechien (Faktor 3,4) sowie Finnland und die Slowakei (3,5) im Jahr 2017 die niedrigsten Werte bei der Einkommensungleichheit in der EU (Deutschland: Faktor 4,5).</w:t>
      </w:r>
    </w:p>
    <w:p w:rsidR="00512F8B" w:rsidRDefault="00512F8B">
      <w:pPr>
        <w:rPr>
          <w:rFonts w:ascii="Arial" w:hAnsi="Arial"/>
          <w:color w:val="FF0000"/>
        </w:rPr>
      </w:pPr>
    </w:p>
    <w:p w:rsidR="00D417D2" w:rsidRDefault="00D417D2">
      <w:pPr>
        <w:rPr>
          <w:rFonts w:ascii="Arial" w:hAnsi="Arial"/>
          <w:color w:val="FF0000"/>
        </w:rPr>
      </w:pPr>
      <w:r>
        <w:rPr>
          <w:rFonts w:ascii="Arial" w:hAnsi="Arial"/>
          <w:color w:val="FF0000"/>
        </w:rPr>
        <w:t>Fakten</w:t>
      </w:r>
    </w:p>
    <w:p w:rsidR="00D417D2" w:rsidRDefault="00D417D2">
      <w:pPr>
        <w:rPr>
          <w:rFonts w:ascii="Arial" w:hAnsi="Arial"/>
          <w:color w:val="000000"/>
        </w:rPr>
      </w:pPr>
    </w:p>
    <w:p w:rsidR="00D417D2" w:rsidRPr="003C71F4" w:rsidRDefault="00D417D2">
      <w:pPr>
        <w:rPr>
          <w:rFonts w:ascii="Arial" w:hAnsi="Arial"/>
          <w:color w:val="000000"/>
        </w:rPr>
      </w:pPr>
      <w:r w:rsidRPr="003C71F4">
        <w:rPr>
          <w:rFonts w:ascii="Arial" w:hAnsi="Arial"/>
          <w:color w:val="000000"/>
        </w:rPr>
        <w:t xml:space="preserve">Die Ungleichheit bei der Einkommensverteilung wird hier als Verhältnis zwischen </w:t>
      </w:r>
      <w:r w:rsidR="003C71F4" w:rsidRPr="003C71F4">
        <w:rPr>
          <w:rFonts w:ascii="Arial" w:hAnsi="Arial"/>
          <w:color w:val="000000"/>
        </w:rPr>
        <w:t xml:space="preserve">dem Einkommen der Bevölkerung im oberen und dem Einkommen der Bevölkerung im unteren Fünftel der Einkommensverteilung </w:t>
      </w:r>
      <w:r w:rsidRPr="003C71F4">
        <w:rPr>
          <w:rFonts w:ascii="Arial" w:hAnsi="Arial"/>
          <w:color w:val="000000"/>
        </w:rPr>
        <w:t>dargestellt. In der Europäischen Union (EU) war im Jahr 20</w:t>
      </w:r>
      <w:r w:rsidR="003C71F4" w:rsidRPr="003C71F4">
        <w:rPr>
          <w:rFonts w:ascii="Arial" w:hAnsi="Arial"/>
          <w:color w:val="000000"/>
        </w:rPr>
        <w:t>17</w:t>
      </w:r>
      <w:r w:rsidRPr="003C71F4">
        <w:rPr>
          <w:rFonts w:ascii="Arial" w:hAnsi="Arial"/>
          <w:color w:val="000000"/>
        </w:rPr>
        <w:t xml:space="preserve"> das Einkommen des Fünftels der Bevölkerung mit den höchsten Einkommen </w:t>
      </w:r>
      <w:r w:rsidR="003C71F4" w:rsidRPr="003C71F4">
        <w:rPr>
          <w:rFonts w:ascii="Arial" w:hAnsi="Arial"/>
          <w:color w:val="000000"/>
        </w:rPr>
        <w:t>5,1</w:t>
      </w:r>
      <w:r w:rsidRPr="003C71F4">
        <w:rPr>
          <w:rFonts w:ascii="Arial" w:hAnsi="Arial"/>
          <w:color w:val="000000"/>
        </w:rPr>
        <w:t>-mal höher als das des Fünftels der Bevölkerung mit</w:t>
      </w:r>
      <w:r w:rsidR="003C71F4" w:rsidRPr="003C71F4">
        <w:rPr>
          <w:rFonts w:ascii="Arial" w:hAnsi="Arial"/>
          <w:color w:val="000000"/>
        </w:rPr>
        <w:t xml:space="preserve"> den niedrigsten Einkommen (2005</w:t>
      </w:r>
      <w:r w:rsidRPr="003C71F4">
        <w:rPr>
          <w:rFonts w:ascii="Arial" w:hAnsi="Arial"/>
          <w:color w:val="000000"/>
        </w:rPr>
        <w:t xml:space="preserve">: </w:t>
      </w:r>
      <w:r w:rsidR="003C71F4" w:rsidRPr="003C71F4">
        <w:rPr>
          <w:rFonts w:ascii="Arial" w:hAnsi="Arial"/>
          <w:color w:val="000000"/>
        </w:rPr>
        <w:t>5,0</w:t>
      </w:r>
      <w:r w:rsidRPr="003C71F4">
        <w:rPr>
          <w:rFonts w:ascii="Arial" w:hAnsi="Arial"/>
          <w:color w:val="000000"/>
        </w:rPr>
        <w:t xml:space="preserve"> / 20</w:t>
      </w:r>
      <w:r w:rsidR="003C71F4" w:rsidRPr="003C71F4">
        <w:rPr>
          <w:rFonts w:ascii="Arial" w:hAnsi="Arial"/>
          <w:color w:val="000000"/>
        </w:rPr>
        <w:t>10</w:t>
      </w:r>
      <w:r w:rsidRPr="003C71F4">
        <w:rPr>
          <w:rFonts w:ascii="Arial" w:hAnsi="Arial"/>
          <w:color w:val="000000"/>
        </w:rPr>
        <w:t xml:space="preserve">: </w:t>
      </w:r>
      <w:r w:rsidR="003C71F4" w:rsidRPr="003C71F4">
        <w:rPr>
          <w:rFonts w:ascii="Arial" w:hAnsi="Arial"/>
          <w:color w:val="000000"/>
        </w:rPr>
        <w:t>4</w:t>
      </w:r>
      <w:r w:rsidRPr="003C71F4">
        <w:rPr>
          <w:rFonts w:ascii="Arial" w:hAnsi="Arial"/>
          <w:color w:val="000000"/>
        </w:rPr>
        <w:t>,</w:t>
      </w:r>
      <w:r w:rsidR="003C71F4" w:rsidRPr="003C71F4">
        <w:rPr>
          <w:rFonts w:ascii="Arial" w:hAnsi="Arial"/>
          <w:color w:val="000000"/>
        </w:rPr>
        <w:t>9</w:t>
      </w:r>
      <w:r w:rsidRPr="003C71F4">
        <w:rPr>
          <w:rFonts w:ascii="Arial" w:hAnsi="Arial"/>
          <w:color w:val="000000"/>
        </w:rPr>
        <w:t xml:space="preserve">). </w:t>
      </w:r>
      <w:r w:rsidR="00FC4797">
        <w:rPr>
          <w:rFonts w:ascii="Arial" w:hAnsi="Arial"/>
          <w:color w:val="000000"/>
        </w:rPr>
        <w:t>Auch i</w:t>
      </w:r>
      <w:r w:rsidRPr="003C71F4">
        <w:rPr>
          <w:rFonts w:ascii="Arial" w:hAnsi="Arial"/>
          <w:color w:val="000000"/>
        </w:rPr>
        <w:t>m Euroraum (1</w:t>
      </w:r>
      <w:r w:rsidR="003C71F4">
        <w:rPr>
          <w:rFonts w:ascii="Arial" w:hAnsi="Arial"/>
          <w:color w:val="000000"/>
        </w:rPr>
        <w:t>9</w:t>
      </w:r>
      <w:r w:rsidRPr="003C71F4">
        <w:rPr>
          <w:rFonts w:ascii="Arial" w:hAnsi="Arial"/>
          <w:color w:val="000000"/>
        </w:rPr>
        <w:t xml:space="preserve"> Länder) lag der entsprechende Faktor </w:t>
      </w:r>
      <w:r w:rsidR="003C71F4">
        <w:rPr>
          <w:rFonts w:ascii="Arial" w:hAnsi="Arial"/>
          <w:color w:val="000000"/>
        </w:rPr>
        <w:t>bei 5,1</w:t>
      </w:r>
      <w:r w:rsidRPr="003C71F4">
        <w:rPr>
          <w:rFonts w:ascii="Arial" w:hAnsi="Arial"/>
          <w:color w:val="000000"/>
        </w:rPr>
        <w:t>.</w:t>
      </w:r>
    </w:p>
    <w:p w:rsidR="003C71F4" w:rsidRPr="008845DE" w:rsidRDefault="003C71F4">
      <w:pPr>
        <w:rPr>
          <w:rFonts w:ascii="Arial" w:hAnsi="Arial"/>
          <w:color w:val="000000"/>
        </w:rPr>
      </w:pPr>
    </w:p>
    <w:p w:rsidR="003C71F4" w:rsidRPr="002C6358" w:rsidRDefault="00D417D2" w:rsidP="003C71F4">
      <w:pPr>
        <w:rPr>
          <w:rFonts w:ascii="Arial" w:hAnsi="Arial"/>
          <w:b/>
          <w:color w:val="000000"/>
        </w:rPr>
      </w:pPr>
      <w:r w:rsidRPr="008845DE">
        <w:rPr>
          <w:rFonts w:ascii="Arial" w:hAnsi="Arial"/>
          <w:color w:val="000000"/>
        </w:rPr>
        <w:t>Die Einkommensungleichheit war 20</w:t>
      </w:r>
      <w:r w:rsidR="003C71F4" w:rsidRPr="008845DE">
        <w:rPr>
          <w:rFonts w:ascii="Arial" w:hAnsi="Arial"/>
          <w:color w:val="000000"/>
        </w:rPr>
        <w:t>17</w:t>
      </w:r>
      <w:r w:rsidRPr="008845DE">
        <w:rPr>
          <w:rFonts w:ascii="Arial" w:hAnsi="Arial"/>
          <w:color w:val="000000"/>
        </w:rPr>
        <w:t xml:space="preserve"> in </w:t>
      </w:r>
      <w:r w:rsidR="003C71F4" w:rsidRPr="008845DE">
        <w:rPr>
          <w:rFonts w:ascii="Arial" w:hAnsi="Arial"/>
          <w:color w:val="000000"/>
        </w:rPr>
        <w:t xml:space="preserve">Bulgarien (Faktor 8,2), Litauen (7,3), Spanien (6,6), Rumänien (6,5), Lettland (6,3) und Griechenland (6,1) </w:t>
      </w:r>
      <w:r w:rsidRPr="008845DE">
        <w:rPr>
          <w:rFonts w:ascii="Arial" w:hAnsi="Arial"/>
          <w:color w:val="000000"/>
        </w:rPr>
        <w:t>am stärksten ausgeprägt.</w:t>
      </w:r>
      <w:r w:rsidR="003C71F4" w:rsidRPr="008845DE">
        <w:rPr>
          <w:rFonts w:ascii="Arial" w:hAnsi="Arial"/>
          <w:color w:val="000000"/>
        </w:rPr>
        <w:t xml:space="preserve"> </w:t>
      </w:r>
      <w:r w:rsidR="00A2771C" w:rsidRPr="008845DE">
        <w:rPr>
          <w:rFonts w:ascii="Arial" w:hAnsi="Arial"/>
          <w:color w:val="000000"/>
        </w:rPr>
        <w:t>H</w:t>
      </w:r>
      <w:r w:rsidRPr="008845DE">
        <w:rPr>
          <w:rFonts w:ascii="Arial" w:hAnsi="Arial"/>
          <w:color w:val="000000"/>
        </w:rPr>
        <w:t xml:space="preserve">ingegen hatten </w:t>
      </w:r>
      <w:r w:rsidR="003C71F4" w:rsidRPr="008845DE">
        <w:rPr>
          <w:rFonts w:ascii="Arial" w:hAnsi="Arial"/>
          <w:color w:val="000000"/>
        </w:rPr>
        <w:t>Slowenien und Tschechien (Faktor 3,4), Finnland und d</w:t>
      </w:r>
      <w:r w:rsidR="00623C4B">
        <w:rPr>
          <w:rFonts w:ascii="Arial" w:hAnsi="Arial"/>
          <w:color w:val="000000"/>
        </w:rPr>
        <w:t>i</w:t>
      </w:r>
      <w:r w:rsidR="003C71F4" w:rsidRPr="008845DE">
        <w:rPr>
          <w:rFonts w:ascii="Arial" w:hAnsi="Arial"/>
          <w:color w:val="000000"/>
        </w:rPr>
        <w:t xml:space="preserve">e Slowakei (3,5) sowie Belgien (3,8) </w:t>
      </w:r>
      <w:r w:rsidRPr="008845DE">
        <w:rPr>
          <w:rFonts w:ascii="Arial" w:hAnsi="Arial"/>
          <w:color w:val="000000"/>
        </w:rPr>
        <w:t xml:space="preserve">die niedrigsten Werte bei der Einkommensungleichheit. In Deutschland war das </w:t>
      </w:r>
      <w:r w:rsidR="002C6358" w:rsidRPr="0076490A">
        <w:rPr>
          <w:rFonts w:ascii="Arial" w:hAnsi="Arial"/>
          <w:color w:val="000000"/>
        </w:rPr>
        <w:t xml:space="preserve">verfügbare, gewichtete Gesamteinkommen </w:t>
      </w:r>
      <w:r w:rsidRPr="008845DE">
        <w:rPr>
          <w:rFonts w:ascii="Arial" w:hAnsi="Arial"/>
          <w:color w:val="000000"/>
        </w:rPr>
        <w:t xml:space="preserve">der einkommensstärksten 20 Prozent der Bevölkerung 4,5-mal so hoch wie das der einkommensschwächsten 20 Prozent. </w:t>
      </w:r>
      <w:r w:rsidR="003C71F4" w:rsidRPr="008845DE">
        <w:rPr>
          <w:rFonts w:ascii="Arial" w:hAnsi="Arial"/>
          <w:color w:val="000000"/>
        </w:rPr>
        <w:t xml:space="preserve">Von den sechs Nicht-EU-Staaten, für die Eurostat Daten zur Verfügung stellt, fielen </w:t>
      </w:r>
      <w:r w:rsidR="00623C4B">
        <w:rPr>
          <w:rFonts w:ascii="Arial" w:hAnsi="Arial"/>
          <w:color w:val="000000"/>
        </w:rPr>
        <w:t xml:space="preserve">2017 </w:t>
      </w:r>
      <w:r w:rsidR="003C71F4" w:rsidRPr="008845DE">
        <w:rPr>
          <w:rFonts w:ascii="Arial" w:hAnsi="Arial"/>
          <w:color w:val="000000"/>
        </w:rPr>
        <w:t>drei durch hohe und zwei durch geringe Einkommensungleichheit auf: Serbien (Faktor 9,7), die Türkei (8,6) und</w:t>
      </w:r>
      <w:r w:rsidR="00235472">
        <w:rPr>
          <w:rFonts w:ascii="Arial" w:hAnsi="Arial"/>
          <w:color w:val="000000"/>
        </w:rPr>
        <w:t xml:space="preserve"> </w:t>
      </w:r>
      <w:r w:rsidR="00A4554A">
        <w:rPr>
          <w:rFonts w:ascii="Arial" w:hAnsi="Arial"/>
          <w:color w:val="000000"/>
        </w:rPr>
        <w:t>Nordm</w:t>
      </w:r>
      <w:r w:rsidR="003C71F4" w:rsidRPr="008845DE">
        <w:rPr>
          <w:rFonts w:ascii="Arial" w:hAnsi="Arial"/>
          <w:color w:val="000000"/>
        </w:rPr>
        <w:t xml:space="preserve">azedonien (6,6) standen </w:t>
      </w:r>
      <w:r w:rsidR="00B44069">
        <w:rPr>
          <w:rFonts w:ascii="Arial" w:hAnsi="Arial"/>
          <w:color w:val="000000"/>
        </w:rPr>
        <w:t xml:space="preserve">dabei </w:t>
      </w:r>
      <w:r w:rsidR="003C71F4" w:rsidRPr="008845DE">
        <w:rPr>
          <w:rFonts w:ascii="Arial" w:hAnsi="Arial"/>
          <w:color w:val="000000"/>
        </w:rPr>
        <w:t>auf d</w:t>
      </w:r>
      <w:r w:rsidR="005B6B9F">
        <w:rPr>
          <w:rFonts w:ascii="Arial" w:hAnsi="Arial"/>
          <w:color w:val="000000"/>
        </w:rPr>
        <w:t xml:space="preserve">er einen und </w:t>
      </w:r>
      <w:r w:rsidR="005B6B9F" w:rsidRPr="008845DE">
        <w:rPr>
          <w:rFonts w:ascii="Arial" w:hAnsi="Arial"/>
          <w:color w:val="000000"/>
        </w:rPr>
        <w:t xml:space="preserve">Island (3,3) </w:t>
      </w:r>
      <w:r w:rsidR="005B6B9F">
        <w:rPr>
          <w:rFonts w:ascii="Arial" w:hAnsi="Arial"/>
          <w:color w:val="000000"/>
        </w:rPr>
        <w:t xml:space="preserve">und Norwegen (3,7) </w:t>
      </w:r>
      <w:r w:rsidR="00AD7B7E" w:rsidRPr="008845DE">
        <w:rPr>
          <w:rFonts w:ascii="Arial" w:hAnsi="Arial"/>
          <w:color w:val="000000"/>
        </w:rPr>
        <w:t>auf der anderen Seite (Schweiz: 4,4).</w:t>
      </w:r>
    </w:p>
    <w:p w:rsidR="00D417D2" w:rsidRPr="00E6041D" w:rsidRDefault="00D417D2" w:rsidP="003E22B6">
      <w:pPr>
        <w:rPr>
          <w:rFonts w:ascii="Arial" w:hAnsi="Arial"/>
          <w:color w:val="000000"/>
        </w:rPr>
      </w:pPr>
    </w:p>
    <w:p w:rsidR="004F3D27" w:rsidRDefault="00492B62" w:rsidP="00E6041D">
      <w:pPr>
        <w:rPr>
          <w:rFonts w:ascii="Arial" w:hAnsi="Arial"/>
          <w:color w:val="000000"/>
        </w:rPr>
      </w:pPr>
      <w:r w:rsidRPr="003E22B6">
        <w:rPr>
          <w:rFonts w:ascii="Arial" w:hAnsi="Arial"/>
          <w:color w:val="000000"/>
        </w:rPr>
        <w:t xml:space="preserve">Ausgeprägter </w:t>
      </w:r>
      <w:proofErr w:type="gramStart"/>
      <w:r w:rsidRPr="003E22B6">
        <w:rPr>
          <w:rFonts w:ascii="Arial" w:hAnsi="Arial"/>
          <w:color w:val="000000"/>
        </w:rPr>
        <w:t>ist</w:t>
      </w:r>
      <w:proofErr w:type="gramEnd"/>
      <w:r w:rsidRPr="003E22B6">
        <w:rPr>
          <w:rFonts w:ascii="Arial" w:hAnsi="Arial"/>
          <w:color w:val="000000"/>
        </w:rPr>
        <w:t xml:space="preserve"> die Einkommensungleichheit, wenn nicht die 20 Prozent der Bevölkerung mit den höchsten bzw. niedrigsten Einkommen verglichen werden (oberstes und unterstes </w:t>
      </w:r>
      <w:proofErr w:type="spellStart"/>
      <w:r w:rsidRPr="003E22B6">
        <w:rPr>
          <w:rFonts w:ascii="Arial" w:hAnsi="Arial"/>
          <w:color w:val="000000"/>
        </w:rPr>
        <w:t>Quintil</w:t>
      </w:r>
      <w:proofErr w:type="spellEnd"/>
      <w:r w:rsidRPr="003E22B6">
        <w:rPr>
          <w:rFonts w:ascii="Arial" w:hAnsi="Arial"/>
          <w:color w:val="000000"/>
        </w:rPr>
        <w:t xml:space="preserve">), sondern die 10 Prozent der Bevölkerung mit den höchsten bzw. niedrigsten Einkommen (oberstes und unterstes Dezil). EU-weit war das Einkommen des obersten Zehntels 8,4-mal höher als das des untersten Zehntels. In Serbien war das entsprechende Einkommen 30,4-mal höher. Darauf folgten Bulgarien (Faktor 16,4), die Türkei (16,1), Litauen (13,5), </w:t>
      </w:r>
      <w:r w:rsidR="00312BEF">
        <w:rPr>
          <w:rFonts w:ascii="Arial" w:hAnsi="Arial"/>
          <w:color w:val="000000"/>
        </w:rPr>
        <w:t>Nordm</w:t>
      </w:r>
      <w:r w:rsidR="00312BEF" w:rsidRPr="008845DE">
        <w:rPr>
          <w:rFonts w:ascii="Arial" w:hAnsi="Arial"/>
          <w:color w:val="000000"/>
        </w:rPr>
        <w:t>azedonien</w:t>
      </w:r>
      <w:r w:rsidR="00312BEF">
        <w:rPr>
          <w:rFonts w:ascii="Arial" w:hAnsi="Arial"/>
          <w:color w:val="000000"/>
        </w:rPr>
        <w:t xml:space="preserve"> </w:t>
      </w:r>
      <w:r w:rsidRPr="003E22B6">
        <w:rPr>
          <w:rFonts w:ascii="Arial" w:hAnsi="Arial"/>
          <w:color w:val="000000"/>
        </w:rPr>
        <w:t>(13,2), Spanien (12,8), Italien (12,2), Rumänien (11,6) und Griechenland (11,4).</w:t>
      </w:r>
    </w:p>
    <w:p w:rsidR="00606993" w:rsidRDefault="00606993" w:rsidP="004F3D27">
      <w:pPr>
        <w:rPr>
          <w:rFonts w:ascii="Arial" w:hAnsi="Arial"/>
          <w:color w:val="000000"/>
        </w:rPr>
      </w:pPr>
    </w:p>
    <w:p w:rsidR="004F3D27" w:rsidRDefault="004F3D27" w:rsidP="004F3D27">
      <w:pPr>
        <w:rPr>
          <w:rFonts w:ascii="Arial" w:hAnsi="Arial"/>
          <w:color w:val="000000"/>
        </w:rPr>
      </w:pPr>
      <w:r>
        <w:rPr>
          <w:rFonts w:ascii="Arial" w:hAnsi="Arial"/>
          <w:color w:val="000000"/>
        </w:rPr>
        <w:t xml:space="preserve">Weniger ungleich war die </w:t>
      </w:r>
      <w:r w:rsidR="0056417D">
        <w:rPr>
          <w:rFonts w:ascii="Arial" w:hAnsi="Arial"/>
          <w:color w:val="000000"/>
        </w:rPr>
        <w:t xml:space="preserve">Einkommensverteilung in Slowenien, Island </w:t>
      </w:r>
      <w:r>
        <w:rPr>
          <w:rFonts w:ascii="Arial" w:hAnsi="Arial"/>
          <w:color w:val="000000"/>
        </w:rPr>
        <w:t xml:space="preserve">und Tschechien – hier war das Einkommen </w:t>
      </w:r>
      <w:r w:rsidRPr="003E22B6">
        <w:rPr>
          <w:rFonts w:ascii="Arial" w:hAnsi="Arial"/>
          <w:color w:val="000000"/>
        </w:rPr>
        <w:t xml:space="preserve">des obersten Zehntels </w:t>
      </w:r>
      <w:r>
        <w:rPr>
          <w:rFonts w:ascii="Arial" w:hAnsi="Arial"/>
          <w:color w:val="000000"/>
        </w:rPr>
        <w:t>4,9</w:t>
      </w:r>
      <w:r w:rsidRPr="003E22B6">
        <w:rPr>
          <w:rFonts w:ascii="Arial" w:hAnsi="Arial"/>
          <w:color w:val="000000"/>
        </w:rPr>
        <w:t>-mal höher als das des untersten Zehntels.</w:t>
      </w:r>
      <w:r w:rsidRPr="004F3D27">
        <w:rPr>
          <w:rFonts w:ascii="Arial" w:hAnsi="Arial"/>
          <w:color w:val="000000"/>
        </w:rPr>
        <w:t xml:space="preserve"> </w:t>
      </w:r>
      <w:r w:rsidRPr="003E22B6">
        <w:rPr>
          <w:rFonts w:ascii="Arial" w:hAnsi="Arial"/>
          <w:color w:val="000000"/>
        </w:rPr>
        <w:t xml:space="preserve">Darauf folgten </w:t>
      </w:r>
      <w:r>
        <w:rPr>
          <w:rFonts w:ascii="Arial" w:hAnsi="Arial"/>
          <w:color w:val="000000"/>
        </w:rPr>
        <w:t xml:space="preserve">Finnland </w:t>
      </w:r>
      <w:r w:rsidRPr="003E22B6">
        <w:rPr>
          <w:rFonts w:ascii="Arial" w:hAnsi="Arial"/>
          <w:color w:val="000000"/>
        </w:rPr>
        <w:t xml:space="preserve">(Faktor </w:t>
      </w:r>
      <w:r>
        <w:rPr>
          <w:rFonts w:ascii="Arial" w:hAnsi="Arial"/>
          <w:color w:val="000000"/>
        </w:rPr>
        <w:t>5,1</w:t>
      </w:r>
      <w:r w:rsidRPr="003E22B6">
        <w:rPr>
          <w:rFonts w:ascii="Arial" w:hAnsi="Arial"/>
          <w:color w:val="000000"/>
        </w:rPr>
        <w:t xml:space="preserve">), </w:t>
      </w:r>
      <w:r>
        <w:rPr>
          <w:rFonts w:ascii="Arial" w:hAnsi="Arial"/>
          <w:color w:val="000000"/>
        </w:rPr>
        <w:t xml:space="preserve">Belgien </w:t>
      </w:r>
      <w:r w:rsidRPr="003E22B6">
        <w:rPr>
          <w:rFonts w:ascii="Arial" w:hAnsi="Arial"/>
          <w:color w:val="000000"/>
        </w:rPr>
        <w:t>(</w:t>
      </w:r>
      <w:r>
        <w:rPr>
          <w:rFonts w:ascii="Arial" w:hAnsi="Arial"/>
          <w:color w:val="000000"/>
        </w:rPr>
        <w:t>5,8</w:t>
      </w:r>
      <w:r w:rsidRPr="003E22B6">
        <w:rPr>
          <w:rFonts w:ascii="Arial" w:hAnsi="Arial"/>
          <w:color w:val="000000"/>
        </w:rPr>
        <w:t xml:space="preserve">), </w:t>
      </w:r>
      <w:r w:rsidR="0056417D">
        <w:rPr>
          <w:rFonts w:ascii="Arial" w:hAnsi="Arial"/>
          <w:color w:val="000000"/>
        </w:rPr>
        <w:t xml:space="preserve">die Slowakei und Norwegen </w:t>
      </w:r>
      <w:r>
        <w:rPr>
          <w:rFonts w:ascii="Arial" w:hAnsi="Arial"/>
          <w:color w:val="000000"/>
        </w:rPr>
        <w:t>(6</w:t>
      </w:r>
      <w:r w:rsidR="00312BEF">
        <w:rPr>
          <w:rFonts w:ascii="Arial" w:hAnsi="Arial"/>
          <w:color w:val="000000"/>
        </w:rPr>
        <w:t>,0</w:t>
      </w:r>
      <w:r>
        <w:rPr>
          <w:rFonts w:ascii="Arial" w:hAnsi="Arial"/>
          <w:color w:val="000000"/>
        </w:rPr>
        <w:t>).</w:t>
      </w:r>
      <w:r w:rsidRPr="004F3D27">
        <w:rPr>
          <w:rFonts w:ascii="Arial" w:hAnsi="Arial"/>
          <w:color w:val="000000"/>
        </w:rPr>
        <w:t xml:space="preserve"> </w:t>
      </w:r>
      <w:r w:rsidRPr="008845DE">
        <w:rPr>
          <w:rFonts w:ascii="Arial" w:hAnsi="Arial"/>
          <w:color w:val="000000"/>
        </w:rPr>
        <w:t xml:space="preserve">In Deutschland war das Einkommen der einkommensstärksten </w:t>
      </w:r>
      <w:r>
        <w:rPr>
          <w:rFonts w:ascii="Arial" w:hAnsi="Arial"/>
          <w:color w:val="000000"/>
        </w:rPr>
        <w:t>zehn</w:t>
      </w:r>
      <w:r w:rsidRPr="008845DE">
        <w:rPr>
          <w:rFonts w:ascii="Arial" w:hAnsi="Arial"/>
          <w:color w:val="000000"/>
        </w:rPr>
        <w:t xml:space="preserve"> Prozent der Bevölkerung </w:t>
      </w:r>
      <w:r>
        <w:rPr>
          <w:rFonts w:ascii="Arial" w:hAnsi="Arial"/>
          <w:color w:val="000000"/>
        </w:rPr>
        <w:t>7,2</w:t>
      </w:r>
      <w:r w:rsidRPr="008845DE">
        <w:rPr>
          <w:rFonts w:ascii="Arial" w:hAnsi="Arial"/>
          <w:color w:val="000000"/>
        </w:rPr>
        <w:t xml:space="preserve">-mal so hoch wie das der einkommensschwächsten </w:t>
      </w:r>
      <w:r>
        <w:rPr>
          <w:rFonts w:ascii="Arial" w:hAnsi="Arial"/>
          <w:color w:val="000000"/>
        </w:rPr>
        <w:t>zehn</w:t>
      </w:r>
      <w:r w:rsidRPr="008845DE">
        <w:rPr>
          <w:rFonts w:ascii="Arial" w:hAnsi="Arial"/>
          <w:color w:val="000000"/>
        </w:rPr>
        <w:t xml:space="preserve"> Prozent.</w:t>
      </w:r>
    </w:p>
    <w:p w:rsidR="004F3D27" w:rsidRDefault="004F3D27">
      <w:pPr>
        <w:rPr>
          <w:rFonts w:ascii="Arial" w:hAnsi="Arial"/>
          <w:color w:val="FF0000"/>
        </w:rPr>
      </w:pPr>
    </w:p>
    <w:p w:rsidR="00D417D2" w:rsidRDefault="00D417D2">
      <w:pPr>
        <w:rPr>
          <w:rFonts w:ascii="Arial" w:hAnsi="Arial"/>
          <w:color w:val="FF0000"/>
        </w:rPr>
      </w:pPr>
      <w:r>
        <w:rPr>
          <w:rFonts w:ascii="Arial" w:hAnsi="Arial"/>
          <w:color w:val="FF0000"/>
        </w:rPr>
        <w:lastRenderedPageBreak/>
        <w:t>Datenquelle</w:t>
      </w:r>
    </w:p>
    <w:p w:rsidR="00D417D2" w:rsidRPr="00FB29EE" w:rsidRDefault="00D417D2">
      <w:pPr>
        <w:rPr>
          <w:rFonts w:ascii="Arial" w:hAnsi="Arial"/>
          <w:color w:val="000000"/>
        </w:rPr>
      </w:pPr>
    </w:p>
    <w:p w:rsidR="00D417D2" w:rsidRPr="00FB29EE" w:rsidRDefault="00FB29EE">
      <w:pPr>
        <w:rPr>
          <w:rFonts w:ascii="Arial" w:hAnsi="Arial"/>
          <w:color w:val="000000"/>
        </w:rPr>
      </w:pPr>
      <w:r w:rsidRPr="00FB29EE">
        <w:rPr>
          <w:rFonts w:ascii="Arial" w:hAnsi="Arial"/>
          <w:color w:val="000000"/>
        </w:rPr>
        <w:t xml:space="preserve">Eurostat: Online-Datenbank: </w:t>
      </w:r>
      <w:proofErr w:type="spellStart"/>
      <w:r w:rsidRPr="00FB29EE">
        <w:rPr>
          <w:rFonts w:ascii="Arial" w:hAnsi="Arial"/>
          <w:color w:val="000000"/>
        </w:rPr>
        <w:t>Einkommensquintilverhältnis</w:t>
      </w:r>
      <w:proofErr w:type="spellEnd"/>
      <w:r w:rsidRPr="00FB29EE">
        <w:rPr>
          <w:rFonts w:ascii="Arial" w:hAnsi="Arial"/>
          <w:color w:val="000000"/>
        </w:rPr>
        <w:t xml:space="preserve"> (S80/S20)</w:t>
      </w:r>
      <w:r w:rsidR="002C6358">
        <w:rPr>
          <w:rFonts w:ascii="Arial" w:hAnsi="Arial"/>
          <w:color w:val="000000"/>
        </w:rPr>
        <w:t xml:space="preserve">, </w:t>
      </w:r>
      <w:r w:rsidR="002C6358" w:rsidRPr="002C6358">
        <w:rPr>
          <w:rFonts w:ascii="Arial" w:hAnsi="Arial"/>
          <w:color w:val="000000"/>
        </w:rPr>
        <w:t xml:space="preserve">Einkommensverteilung nach </w:t>
      </w:r>
      <w:proofErr w:type="spellStart"/>
      <w:r w:rsidR="002C6358" w:rsidRPr="002C6358">
        <w:rPr>
          <w:rFonts w:ascii="Arial" w:hAnsi="Arial"/>
          <w:color w:val="000000"/>
        </w:rPr>
        <w:t>Quantilen</w:t>
      </w:r>
      <w:proofErr w:type="spellEnd"/>
      <w:r w:rsidRPr="00FB29EE">
        <w:rPr>
          <w:rFonts w:ascii="Arial" w:hAnsi="Arial"/>
          <w:color w:val="000000"/>
        </w:rPr>
        <w:t xml:space="preserve"> (Stand: 11/2018)</w:t>
      </w:r>
    </w:p>
    <w:p w:rsidR="00FB29EE" w:rsidRPr="00FB29EE" w:rsidRDefault="00FB29EE">
      <w:pPr>
        <w:rPr>
          <w:rFonts w:ascii="Arial" w:hAnsi="Arial"/>
          <w:color w:val="000000"/>
        </w:rPr>
      </w:pPr>
    </w:p>
    <w:p w:rsidR="00D417D2" w:rsidRDefault="00D417D2">
      <w:pPr>
        <w:rPr>
          <w:rFonts w:ascii="Arial" w:hAnsi="Arial"/>
          <w:color w:val="FF0000"/>
        </w:rPr>
      </w:pPr>
      <w:r>
        <w:rPr>
          <w:rFonts w:ascii="Arial" w:hAnsi="Arial"/>
          <w:color w:val="FF0000"/>
        </w:rPr>
        <w:t>Begriffe, methodische Anmerkungen oder Lesehilfen</w:t>
      </w:r>
    </w:p>
    <w:p w:rsidR="008F4C83" w:rsidRDefault="008F4C83">
      <w:pPr>
        <w:rPr>
          <w:rFonts w:ascii="Arial" w:hAnsi="Arial"/>
          <w:color w:val="FF0000"/>
        </w:rPr>
      </w:pPr>
    </w:p>
    <w:p w:rsidR="002868B9" w:rsidRPr="003D7FBB" w:rsidRDefault="00D417D2">
      <w:pPr>
        <w:rPr>
          <w:rFonts w:ascii="Arial" w:hAnsi="Arial"/>
          <w:color w:val="000000"/>
        </w:rPr>
      </w:pPr>
      <w:r w:rsidRPr="003D7FBB">
        <w:rPr>
          <w:rFonts w:ascii="Arial" w:hAnsi="Arial"/>
          <w:color w:val="000000"/>
        </w:rPr>
        <w:t xml:space="preserve">Das </w:t>
      </w:r>
      <w:proofErr w:type="spellStart"/>
      <w:r w:rsidRPr="003D7FBB">
        <w:rPr>
          <w:rFonts w:ascii="Arial" w:hAnsi="Arial"/>
          <w:b/>
          <w:color w:val="000000"/>
        </w:rPr>
        <w:t>Einkommensquintilverhältnis</w:t>
      </w:r>
      <w:proofErr w:type="spellEnd"/>
      <w:r w:rsidRPr="003D7FBB">
        <w:rPr>
          <w:rFonts w:ascii="Arial" w:hAnsi="Arial"/>
          <w:b/>
          <w:color w:val="000000"/>
        </w:rPr>
        <w:t xml:space="preserve"> </w:t>
      </w:r>
      <w:r w:rsidRPr="003D7FBB">
        <w:rPr>
          <w:rFonts w:ascii="Arial" w:hAnsi="Arial"/>
          <w:color w:val="000000"/>
        </w:rPr>
        <w:t xml:space="preserve">ist das Verhältnis des Gesamteinkommens von den 20 Prozent der Bevölkerung mit den höchsten Einkommen (oberstes </w:t>
      </w:r>
      <w:proofErr w:type="spellStart"/>
      <w:r w:rsidRPr="003D7FBB">
        <w:rPr>
          <w:rFonts w:ascii="Arial" w:hAnsi="Arial"/>
          <w:color w:val="000000"/>
        </w:rPr>
        <w:t>Quintil</w:t>
      </w:r>
      <w:proofErr w:type="spellEnd"/>
      <w:r w:rsidRPr="003D7FBB">
        <w:rPr>
          <w:rFonts w:ascii="Arial" w:hAnsi="Arial"/>
          <w:color w:val="000000"/>
        </w:rPr>
        <w:t xml:space="preserve">) zum Gesamteinkommen von den 20 Prozent der Bevölkerung mit den niedrigsten Einkommen (unterstes </w:t>
      </w:r>
      <w:proofErr w:type="spellStart"/>
      <w:r w:rsidRPr="003D7FBB">
        <w:rPr>
          <w:rFonts w:ascii="Arial" w:hAnsi="Arial"/>
          <w:color w:val="000000"/>
        </w:rPr>
        <w:t>Quintil</w:t>
      </w:r>
      <w:proofErr w:type="spellEnd"/>
      <w:r w:rsidRPr="003D7FBB">
        <w:rPr>
          <w:rFonts w:ascii="Arial" w:hAnsi="Arial"/>
          <w:color w:val="000000"/>
        </w:rPr>
        <w:t xml:space="preserve">). Unter Einkommen wird das verfügbare </w:t>
      </w:r>
      <w:r w:rsidRPr="003D7FBB">
        <w:rPr>
          <w:rFonts w:ascii="Arial" w:hAnsi="Arial"/>
          <w:b/>
          <w:color w:val="000000"/>
        </w:rPr>
        <w:t>Äquivalenzeinkommen</w:t>
      </w:r>
      <w:r w:rsidRPr="003D7FBB">
        <w:rPr>
          <w:rFonts w:ascii="Arial" w:hAnsi="Arial"/>
          <w:color w:val="000000"/>
        </w:rPr>
        <w:t xml:space="preserve"> verstanden.</w:t>
      </w:r>
      <w:r w:rsidR="003D7FBB" w:rsidRPr="003D7FBB">
        <w:rPr>
          <w:rFonts w:ascii="Arial" w:hAnsi="Arial"/>
          <w:color w:val="000000"/>
        </w:rPr>
        <w:t xml:space="preserve"> </w:t>
      </w:r>
      <w:r w:rsidR="003D7FBB" w:rsidRPr="003D7FBB">
        <w:rPr>
          <w:rFonts w:ascii="Arial" w:hAnsi="Arial" w:cs="Arial"/>
          <w:color w:val="363636"/>
          <w:shd w:val="clear" w:color="auto" w:fill="FFFFFF"/>
        </w:rPr>
        <w:t xml:space="preserve">Beim EU-Gesamtwert handelt es sich um einen nach der Bevölkerungszahl gewichteten Durchschnittswert der Zahlen der einzelnen Mitgliedstaaten. </w:t>
      </w:r>
      <w:r w:rsidRPr="003D7FBB">
        <w:rPr>
          <w:rFonts w:ascii="Arial" w:hAnsi="Arial"/>
          <w:color w:val="000000"/>
        </w:rPr>
        <w:t xml:space="preserve">Informationen zur </w:t>
      </w:r>
      <w:r w:rsidRPr="003D7FBB">
        <w:rPr>
          <w:rFonts w:ascii="Arial" w:hAnsi="Arial"/>
          <w:b/>
          <w:color w:val="000000"/>
        </w:rPr>
        <w:t>Berechnung des Äquivalenzeinkommens</w:t>
      </w:r>
      <w:r w:rsidR="003D7FBB" w:rsidRPr="003D7FBB">
        <w:rPr>
          <w:rFonts w:ascii="Arial" w:hAnsi="Arial"/>
          <w:b/>
          <w:color w:val="000000"/>
        </w:rPr>
        <w:t xml:space="preserve"> </w:t>
      </w:r>
      <w:r w:rsidRPr="003D7FBB">
        <w:rPr>
          <w:rFonts w:ascii="Arial" w:hAnsi="Arial"/>
          <w:color w:val="000000"/>
        </w:rPr>
        <w:t xml:space="preserve">erhalten Sie </w:t>
      </w:r>
      <w:r w:rsidR="003D7FBB" w:rsidRPr="003D7FBB">
        <w:rPr>
          <w:rFonts w:ascii="Arial" w:hAnsi="Arial"/>
          <w:color w:val="000000"/>
        </w:rPr>
        <w:t xml:space="preserve">hier: </w:t>
      </w:r>
      <w:hyperlink r:id="rId5" w:history="1">
        <w:r w:rsidR="003D7FBB" w:rsidRPr="003D7FBB">
          <w:rPr>
            <w:rStyle w:val="Hyperlink"/>
            <w:rFonts w:ascii="Arial" w:hAnsi="Arial"/>
          </w:rPr>
          <w:t>http://www.bpb.de/70619</w:t>
        </w:r>
      </w:hyperlink>
    </w:p>
    <w:p w:rsidR="003D7FBB" w:rsidRPr="003D7FBB" w:rsidRDefault="003D7FBB">
      <w:pPr>
        <w:rPr>
          <w:rFonts w:ascii="Arial" w:hAnsi="Arial"/>
          <w:color w:val="000000"/>
        </w:rPr>
      </w:pPr>
    </w:p>
    <w:p w:rsidR="002C370F" w:rsidRDefault="002C370F">
      <w:pPr>
        <w:rPr>
          <w:rFonts w:ascii="Arial" w:hAnsi="Arial"/>
          <w:color w:val="000000"/>
        </w:rPr>
      </w:pPr>
      <w:r>
        <w:rPr>
          <w:rFonts w:ascii="Arial" w:hAnsi="Arial"/>
          <w:color w:val="000000"/>
        </w:rPr>
        <w:t xml:space="preserve">Informationen zur </w:t>
      </w:r>
      <w:r w:rsidRPr="002C370F">
        <w:rPr>
          <w:rFonts w:ascii="Arial" w:hAnsi="Arial"/>
          <w:b/>
          <w:color w:val="000000"/>
        </w:rPr>
        <w:t>Einkommensverteilung</w:t>
      </w:r>
      <w:r>
        <w:rPr>
          <w:rFonts w:ascii="Arial" w:hAnsi="Arial"/>
          <w:color w:val="000000"/>
        </w:rPr>
        <w:t xml:space="preserve"> erhalten Sie hier: </w:t>
      </w:r>
      <w:hyperlink r:id="rId6" w:history="1">
        <w:r w:rsidRPr="00344171">
          <w:rPr>
            <w:rStyle w:val="Hyperlink"/>
            <w:rFonts w:ascii="Arial" w:hAnsi="Arial"/>
          </w:rPr>
          <w:t>http://www.bpb.de/70643</w:t>
        </w:r>
      </w:hyperlink>
    </w:p>
    <w:p w:rsidR="002C370F" w:rsidRDefault="002C370F">
      <w:pPr>
        <w:rPr>
          <w:rFonts w:ascii="Arial" w:hAnsi="Arial"/>
          <w:color w:val="000000"/>
        </w:rPr>
      </w:pPr>
    </w:p>
    <w:p w:rsidR="002C370F" w:rsidRDefault="002C370F" w:rsidP="002C370F">
      <w:pPr>
        <w:rPr>
          <w:rFonts w:ascii="Arial" w:hAnsi="Arial"/>
          <w:color w:val="000000"/>
        </w:rPr>
      </w:pPr>
      <w:r>
        <w:rPr>
          <w:rFonts w:ascii="Arial" w:hAnsi="Arial"/>
          <w:color w:val="000000"/>
        </w:rPr>
        <w:t xml:space="preserve">Informationen zum </w:t>
      </w:r>
      <w:r w:rsidRPr="002C370F">
        <w:rPr>
          <w:rFonts w:ascii="Arial" w:hAnsi="Arial"/>
          <w:b/>
          <w:color w:val="000000"/>
        </w:rPr>
        <w:t>Einkommen</w:t>
      </w:r>
      <w:r>
        <w:rPr>
          <w:rFonts w:ascii="Arial" w:hAnsi="Arial"/>
          <w:color w:val="000000"/>
        </w:rPr>
        <w:t xml:space="preserve"> erhalten Sie hier: </w:t>
      </w:r>
      <w:hyperlink r:id="rId7" w:history="1">
        <w:r w:rsidRPr="00344171">
          <w:rPr>
            <w:rStyle w:val="Hyperlink"/>
            <w:rFonts w:ascii="Arial" w:hAnsi="Arial"/>
          </w:rPr>
          <w:t>http://www.bpb.de/70628</w:t>
        </w:r>
      </w:hyperlink>
    </w:p>
    <w:p w:rsidR="002C370F" w:rsidRDefault="002C370F">
      <w:pPr>
        <w:rPr>
          <w:rFonts w:ascii="Arial" w:hAnsi="Arial"/>
          <w:color w:val="000000"/>
        </w:rPr>
      </w:pPr>
    </w:p>
    <w:p w:rsidR="002868B9" w:rsidRDefault="002868B9">
      <w:pPr>
        <w:rPr>
          <w:rFonts w:ascii="Arial" w:hAnsi="Arial"/>
          <w:color w:val="000000"/>
        </w:rPr>
      </w:pPr>
      <w:r w:rsidRPr="003D7FBB">
        <w:rPr>
          <w:rFonts w:ascii="Arial" w:hAnsi="Arial"/>
          <w:color w:val="000000"/>
        </w:rPr>
        <w:t xml:space="preserve">Mitglieder des </w:t>
      </w:r>
      <w:r w:rsidRPr="003D7FBB">
        <w:rPr>
          <w:rFonts w:ascii="Arial" w:hAnsi="Arial"/>
          <w:b/>
          <w:color w:val="000000"/>
        </w:rPr>
        <w:t>Euroraums</w:t>
      </w:r>
      <w:r w:rsidRPr="003D7FBB">
        <w:rPr>
          <w:rFonts w:ascii="Arial" w:hAnsi="Arial"/>
          <w:color w:val="000000"/>
        </w:rPr>
        <w:t xml:space="preserve"> im Jahr 201</w:t>
      </w:r>
      <w:r w:rsidR="003D7FBB" w:rsidRPr="003D7FBB">
        <w:rPr>
          <w:rFonts w:ascii="Arial" w:hAnsi="Arial"/>
          <w:color w:val="000000"/>
        </w:rPr>
        <w:t>7</w:t>
      </w:r>
      <w:r w:rsidRPr="003D7FBB">
        <w:rPr>
          <w:rFonts w:ascii="Arial" w:hAnsi="Arial"/>
          <w:color w:val="000000"/>
        </w:rPr>
        <w:t xml:space="preserve">: </w:t>
      </w:r>
      <w:r w:rsidR="003D7FBB" w:rsidRPr="003D7FBB">
        <w:rPr>
          <w:rFonts w:ascii="Arial" w:hAnsi="Arial"/>
          <w:color w:val="000000"/>
        </w:rPr>
        <w:t>Belgien, Deutschland, Estland, Finnland, Frankreich, Griechenland, Irland, Italien, Lettland, Litauen, Luxemburg, Malta, Niederlande, Österreich, Portugal, Slowakei, Slowenien, Spanien und Zypern.</w:t>
      </w:r>
    </w:p>
    <w:p w:rsidR="00FB29EE" w:rsidRDefault="00FB29EE">
      <w:pPr>
        <w:rPr>
          <w:rFonts w:ascii="Arial" w:hAnsi="Arial"/>
          <w:color w:val="000000"/>
        </w:rPr>
      </w:pPr>
    </w:p>
    <w:p w:rsidR="00FB29EE" w:rsidRPr="00ED3843" w:rsidRDefault="00FB29EE" w:rsidP="00FB29EE">
      <w:pPr>
        <w:pStyle w:val="StandardWeb"/>
        <w:tabs>
          <w:tab w:val="left" w:pos="1046"/>
        </w:tabs>
        <w:spacing w:before="0" w:after="0"/>
        <w:rPr>
          <w:rFonts w:ascii="Arial" w:hAnsi="Arial" w:cs="Arial"/>
          <w:sz w:val="20"/>
          <w:szCs w:val="20"/>
        </w:rPr>
      </w:pPr>
      <w:r w:rsidRPr="00ED3843">
        <w:rPr>
          <w:rFonts w:ascii="Arial" w:hAnsi="Arial" w:cs="Arial"/>
          <w:sz w:val="20"/>
          <w:szCs w:val="20"/>
        </w:rPr>
        <w:t xml:space="preserve">Dieser Text ist unter der Creative </w:t>
      </w:r>
      <w:proofErr w:type="spellStart"/>
      <w:r w:rsidRPr="00ED3843">
        <w:rPr>
          <w:rFonts w:ascii="Arial" w:hAnsi="Arial" w:cs="Arial"/>
          <w:sz w:val="20"/>
          <w:szCs w:val="20"/>
        </w:rPr>
        <w:t>Commons</w:t>
      </w:r>
      <w:proofErr w:type="spellEnd"/>
      <w:r w:rsidRPr="00ED3843">
        <w:rPr>
          <w:rFonts w:ascii="Arial" w:hAnsi="Arial" w:cs="Arial"/>
          <w:sz w:val="20"/>
          <w:szCs w:val="20"/>
        </w:rPr>
        <w:t xml:space="preserve"> Lizenz </w:t>
      </w:r>
      <w:proofErr w:type="spellStart"/>
      <w:r w:rsidRPr="00ED3843">
        <w:rPr>
          <w:rFonts w:ascii="Arial" w:hAnsi="Arial" w:cs="Arial"/>
          <w:sz w:val="20"/>
          <w:szCs w:val="20"/>
        </w:rPr>
        <w:t>by-nc-nd</w:t>
      </w:r>
      <w:proofErr w:type="spellEnd"/>
      <w:r w:rsidRPr="00ED3843">
        <w:rPr>
          <w:rFonts w:ascii="Arial" w:hAnsi="Arial" w:cs="Arial"/>
          <w:sz w:val="20"/>
          <w:szCs w:val="20"/>
        </w:rPr>
        <w:t>/3.0/de/ veröffentlicht.</w:t>
      </w:r>
    </w:p>
    <w:p w:rsidR="00FB29EE" w:rsidRPr="003D7FBB" w:rsidRDefault="00FB29EE" w:rsidP="00FB29EE">
      <w:pPr>
        <w:pStyle w:val="StandardWeb"/>
        <w:tabs>
          <w:tab w:val="left" w:pos="1046"/>
        </w:tabs>
        <w:spacing w:before="0" w:after="0"/>
      </w:pPr>
      <w:r w:rsidRPr="00ED3843">
        <w:rPr>
          <w:rFonts w:ascii="Arial" w:hAnsi="Arial" w:cs="Arial"/>
          <w:sz w:val="20"/>
          <w:szCs w:val="20"/>
        </w:rPr>
        <w:t>Bundeszentrale für politische Bildung 201</w:t>
      </w:r>
      <w:r>
        <w:rPr>
          <w:rFonts w:ascii="Arial" w:hAnsi="Arial" w:cs="Arial"/>
          <w:sz w:val="20"/>
          <w:szCs w:val="20"/>
        </w:rPr>
        <w:t>9</w:t>
      </w:r>
      <w:r w:rsidRPr="00ED3843">
        <w:rPr>
          <w:rFonts w:ascii="Arial" w:hAnsi="Arial" w:cs="Arial"/>
          <w:sz w:val="20"/>
          <w:szCs w:val="20"/>
        </w:rPr>
        <w:t xml:space="preserve"> | www.bpb.de</w:t>
      </w:r>
    </w:p>
    <w:sectPr w:rsidR="00FB29EE" w:rsidRPr="003D7FBB">
      <w:footnotePr>
        <w:pos w:val="beneathText"/>
      </w:footnotePr>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pb-mj">
    <w15:presenceInfo w15:providerId="None" w15:userId="bpb-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FAD"/>
    <w:rsid w:val="0008093B"/>
    <w:rsid w:val="0012147B"/>
    <w:rsid w:val="0016389A"/>
    <w:rsid w:val="00235472"/>
    <w:rsid w:val="002868B9"/>
    <w:rsid w:val="002B1801"/>
    <w:rsid w:val="002C370F"/>
    <w:rsid w:val="002C6358"/>
    <w:rsid w:val="002F10B8"/>
    <w:rsid w:val="00312BEF"/>
    <w:rsid w:val="003557AB"/>
    <w:rsid w:val="003A7959"/>
    <w:rsid w:val="003C71F4"/>
    <w:rsid w:val="003D294E"/>
    <w:rsid w:val="003D7FBB"/>
    <w:rsid w:val="003E22B6"/>
    <w:rsid w:val="00492B62"/>
    <w:rsid w:val="004F3D27"/>
    <w:rsid w:val="00512F8B"/>
    <w:rsid w:val="0054464E"/>
    <w:rsid w:val="0056417D"/>
    <w:rsid w:val="005A43DF"/>
    <w:rsid w:val="005B6B9F"/>
    <w:rsid w:val="00606993"/>
    <w:rsid w:val="00623C4B"/>
    <w:rsid w:val="006314E3"/>
    <w:rsid w:val="00662B96"/>
    <w:rsid w:val="00664349"/>
    <w:rsid w:val="00670C08"/>
    <w:rsid w:val="0076490A"/>
    <w:rsid w:val="00854A82"/>
    <w:rsid w:val="008845DE"/>
    <w:rsid w:val="008E6940"/>
    <w:rsid w:val="008F4C83"/>
    <w:rsid w:val="00A078C8"/>
    <w:rsid w:val="00A2771C"/>
    <w:rsid w:val="00A4554A"/>
    <w:rsid w:val="00AD72DA"/>
    <w:rsid w:val="00AD7B7E"/>
    <w:rsid w:val="00B44069"/>
    <w:rsid w:val="00B6783C"/>
    <w:rsid w:val="00B84256"/>
    <w:rsid w:val="00C830F5"/>
    <w:rsid w:val="00D417D2"/>
    <w:rsid w:val="00D75FAD"/>
    <w:rsid w:val="00DA40AF"/>
    <w:rsid w:val="00E367C0"/>
    <w:rsid w:val="00E6041D"/>
    <w:rsid w:val="00E83878"/>
    <w:rsid w:val="00FB29EE"/>
    <w:rsid w:val="00FC47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prechblasentext">
    <w:name w:val="Balloon Text"/>
    <w:basedOn w:val="Standard"/>
    <w:semiHidden/>
    <w:rsid w:val="00D75FAD"/>
    <w:rPr>
      <w:rFonts w:ascii="Tahoma" w:hAnsi="Tahoma" w:cs="Tahoma"/>
      <w:sz w:val="16"/>
      <w:szCs w:val="16"/>
    </w:rPr>
  </w:style>
  <w:style w:type="paragraph" w:styleId="StandardWeb">
    <w:name w:val="Normal (Web)"/>
    <w:basedOn w:val="Standard"/>
    <w:uiPriority w:val="99"/>
    <w:rsid w:val="00FB29EE"/>
    <w:pPr>
      <w:spacing w:before="100"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prechblasentext">
    <w:name w:val="Balloon Text"/>
    <w:basedOn w:val="Standard"/>
    <w:semiHidden/>
    <w:rsid w:val="00D75FAD"/>
    <w:rPr>
      <w:rFonts w:ascii="Tahoma" w:hAnsi="Tahoma" w:cs="Tahoma"/>
      <w:sz w:val="16"/>
      <w:szCs w:val="16"/>
    </w:rPr>
  </w:style>
  <w:style w:type="paragraph" w:styleId="StandardWeb">
    <w:name w:val="Normal (Web)"/>
    <w:basedOn w:val="Standard"/>
    <w:uiPriority w:val="99"/>
    <w:rsid w:val="00FB29EE"/>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0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7062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70643" TargetMode="External"/><Relationship Id="rId5" Type="http://schemas.openxmlformats.org/officeDocument/2006/relationships/hyperlink" Target="http://www.bpb.de/70619"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3964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Fakten</vt:lpstr>
    </vt:vector>
  </TitlesOfParts>
  <Company>bpb</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9</cp:revision>
  <cp:lastPrinted>1900-12-31T23:00:00Z</cp:lastPrinted>
  <dcterms:created xsi:type="dcterms:W3CDTF">2019-03-19T07:58:00Z</dcterms:created>
  <dcterms:modified xsi:type="dcterms:W3CDTF">2019-03-31T17:40:00Z</dcterms:modified>
</cp:coreProperties>
</file>