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2658C" w14:textId="1878E1FA" w:rsidR="0025319D" w:rsidRPr="002B5EE8" w:rsidRDefault="0025319D" w:rsidP="002F45A7">
      <w:pPr>
        <w:suppressAutoHyphens w:val="0"/>
        <w:autoSpaceDE w:val="0"/>
        <w:rPr>
          <w:rFonts w:ascii="Arial" w:hAnsi="Arial"/>
          <w:b/>
          <w:color w:val="000000"/>
        </w:rPr>
      </w:pPr>
      <w:bookmarkStart w:id="0" w:name="_GoBack"/>
      <w:bookmarkEnd w:id="0"/>
      <w:r w:rsidRPr="002F45A7">
        <w:rPr>
          <w:rFonts w:ascii="Arial" w:hAnsi="Arial"/>
          <w:b/>
          <w:color w:val="000000"/>
        </w:rPr>
        <w:t>Das mittlere Einkommen der 28 Mitgliedstaaten der E</w:t>
      </w:r>
      <w:r w:rsidR="00206C25">
        <w:rPr>
          <w:rFonts w:ascii="Arial" w:hAnsi="Arial"/>
          <w:b/>
          <w:color w:val="000000"/>
        </w:rPr>
        <w:t xml:space="preserve">uropäischen </w:t>
      </w:r>
      <w:r w:rsidRPr="002F45A7">
        <w:rPr>
          <w:rFonts w:ascii="Arial" w:hAnsi="Arial"/>
          <w:b/>
          <w:color w:val="000000"/>
        </w:rPr>
        <w:t>U</w:t>
      </w:r>
      <w:r w:rsidR="00206C25">
        <w:rPr>
          <w:rFonts w:ascii="Arial" w:hAnsi="Arial"/>
          <w:b/>
          <w:color w:val="000000"/>
        </w:rPr>
        <w:t>nion</w:t>
      </w:r>
      <w:r w:rsidRPr="002F45A7">
        <w:rPr>
          <w:rFonts w:ascii="Arial" w:hAnsi="Arial"/>
          <w:b/>
          <w:color w:val="000000"/>
        </w:rPr>
        <w:t xml:space="preserve"> lag im Jahr 2017 bei 16.324 Euro. Auf der Ebene der 34 Staaten</w:t>
      </w:r>
      <w:r w:rsidR="002F45A7">
        <w:rPr>
          <w:rFonts w:ascii="Arial" w:hAnsi="Arial"/>
          <w:b/>
          <w:color w:val="000000"/>
        </w:rPr>
        <w:t>,</w:t>
      </w:r>
      <w:r w:rsidRPr="002F45A7">
        <w:rPr>
          <w:rFonts w:ascii="Arial" w:hAnsi="Arial"/>
          <w:b/>
          <w:color w:val="000000"/>
        </w:rPr>
        <w:t xml:space="preserve"> für die Eurostat Daten zur Verfügung stellt, lag das mittlere, verfügbare und gewichtete Einkommen (mediane Nettoäquivalenzeinkommen) zwischen 44.253 Euro in der Schweiz und 2.233 Euro in </w:t>
      </w:r>
      <w:r w:rsidR="00947676">
        <w:rPr>
          <w:rFonts w:ascii="Arial" w:hAnsi="Arial"/>
          <w:b/>
          <w:color w:val="000000"/>
        </w:rPr>
        <w:t>Nordm</w:t>
      </w:r>
      <w:r w:rsidRPr="002F45A7">
        <w:rPr>
          <w:rFonts w:ascii="Arial" w:hAnsi="Arial"/>
          <w:b/>
          <w:color w:val="000000"/>
        </w:rPr>
        <w:t>azedonien. Deutschland belegte mit 21.920 Euro den 10. Rang innerhalb der EU. Wird zusätzlich noch die Kaufkraft berücksichtigt, war 2017 das mittlere</w:t>
      </w:r>
      <w:r w:rsidR="00206C25">
        <w:rPr>
          <w:rFonts w:ascii="Arial" w:hAnsi="Arial"/>
          <w:b/>
          <w:color w:val="000000"/>
        </w:rPr>
        <w:t xml:space="preserve"> </w:t>
      </w:r>
      <w:r w:rsidRPr="002F45A7">
        <w:rPr>
          <w:rFonts w:ascii="Arial" w:hAnsi="Arial"/>
          <w:b/>
          <w:color w:val="000000"/>
        </w:rPr>
        <w:t xml:space="preserve">Einkommen in Norwegen am höchsten. Darauf folgten Luxemburg, die Schweiz und Österreich. Deutschland lag 2017 hinter Island und den Niederlanden und belegte damit den 4. Rang innerhalb der EU. Am niedrigsten war das </w:t>
      </w:r>
      <w:r w:rsidR="002B5EE8" w:rsidRPr="002B5EE8">
        <w:rPr>
          <w:rFonts w:ascii="Arial" w:hAnsi="Arial"/>
          <w:b/>
          <w:color w:val="000000"/>
        </w:rPr>
        <w:t xml:space="preserve">die Kaufkraft berücksichtigende </w:t>
      </w:r>
      <w:r w:rsidRPr="002F45A7">
        <w:rPr>
          <w:rFonts w:ascii="Arial" w:hAnsi="Arial"/>
          <w:b/>
          <w:color w:val="000000"/>
        </w:rPr>
        <w:t>Einkommen in</w:t>
      </w:r>
      <w:r w:rsidR="00947676">
        <w:rPr>
          <w:rFonts w:ascii="Arial" w:hAnsi="Arial"/>
          <w:b/>
          <w:color w:val="000000"/>
        </w:rPr>
        <w:t xml:space="preserve"> Nordm</w:t>
      </w:r>
      <w:r w:rsidRPr="002F45A7">
        <w:rPr>
          <w:rFonts w:ascii="Arial" w:hAnsi="Arial"/>
          <w:b/>
          <w:color w:val="000000"/>
        </w:rPr>
        <w:t>azedonien sowie in Rumänien, Serbien, der Türkei, Bulgarien und Ungarn.</w:t>
      </w:r>
    </w:p>
    <w:p w14:paraId="79EEAA7C" w14:textId="77777777" w:rsidR="0025319D" w:rsidRDefault="0025319D">
      <w:pPr>
        <w:rPr>
          <w:rFonts w:ascii="Arial" w:hAnsi="Arial"/>
          <w:color w:val="FF0000"/>
        </w:rPr>
      </w:pPr>
    </w:p>
    <w:p w14:paraId="540F5659" w14:textId="77777777" w:rsidR="00CD7595" w:rsidRDefault="00CD7595">
      <w:pPr>
        <w:rPr>
          <w:rFonts w:ascii="Arial" w:hAnsi="Arial"/>
          <w:color w:val="FF0000"/>
        </w:rPr>
      </w:pPr>
      <w:r>
        <w:rPr>
          <w:rFonts w:ascii="Arial" w:hAnsi="Arial"/>
          <w:color w:val="FF0000"/>
        </w:rPr>
        <w:t>Fakten</w:t>
      </w:r>
    </w:p>
    <w:p w14:paraId="6B70858C" w14:textId="77777777" w:rsidR="00CD7595" w:rsidRDefault="00CD7595">
      <w:pPr>
        <w:suppressAutoHyphens w:val="0"/>
        <w:autoSpaceDE w:val="0"/>
        <w:rPr>
          <w:rFonts w:ascii="Arial" w:hAnsi="Arial"/>
          <w:color w:val="000000"/>
        </w:rPr>
      </w:pPr>
    </w:p>
    <w:p w14:paraId="56C0374E" w14:textId="77777777" w:rsidR="00CD7595" w:rsidRDefault="00CD7595">
      <w:pPr>
        <w:suppressAutoHyphens w:val="0"/>
        <w:autoSpaceDE w:val="0"/>
        <w:rPr>
          <w:rFonts w:ascii="Arial" w:hAnsi="Arial"/>
          <w:color w:val="000000"/>
        </w:rPr>
      </w:pPr>
      <w:r w:rsidRPr="00DD3749">
        <w:rPr>
          <w:rFonts w:ascii="Arial" w:hAnsi="Arial"/>
          <w:color w:val="000000"/>
        </w:rPr>
        <w:t xml:space="preserve">Um das Einkommen von Personen, die in Haushalten unterschiedlicher Größe leben, sinnvoll miteinander vergleichen zu können, werden bei der Einkommensberechnung sowohl die unterschiedlichen Haushaltsstrukturen </w:t>
      </w:r>
      <w:r w:rsidR="00931BBA" w:rsidRPr="00DD3749">
        <w:rPr>
          <w:rFonts w:ascii="Arial" w:hAnsi="Arial"/>
          <w:color w:val="000000"/>
        </w:rPr>
        <w:t xml:space="preserve">berücksichtigt </w:t>
      </w:r>
      <w:r w:rsidRPr="00DD3749">
        <w:rPr>
          <w:rFonts w:ascii="Arial" w:hAnsi="Arial"/>
          <w:color w:val="000000"/>
        </w:rPr>
        <w:t>als auch die Einspareffekte, die durch das Zusammenleben entstehen (zum Beispiel geringere Miete und Energiekosten pro Kopf durch gemeinsam genutzten Wohnraum</w:t>
      </w:r>
      <w:r w:rsidR="00B13649" w:rsidRPr="00DD3749">
        <w:rPr>
          <w:rFonts w:ascii="Arial" w:hAnsi="Arial"/>
          <w:color w:val="000000"/>
        </w:rPr>
        <w:t xml:space="preserve"> oder E</w:t>
      </w:r>
      <w:r w:rsidRPr="00DD3749">
        <w:rPr>
          <w:rFonts w:ascii="Arial" w:hAnsi="Arial"/>
          <w:color w:val="000000"/>
        </w:rPr>
        <w:t>inspareffekte durch gemeinsame Haushaltsanschaffungen). Die Einkommen werden also gewichtet bzw. wird das sogenannte Äquivalenzeinkommen ermittelt.</w:t>
      </w:r>
    </w:p>
    <w:p w14:paraId="27169776" w14:textId="77777777" w:rsidR="00CD7595" w:rsidRPr="00DD3749" w:rsidRDefault="00CD7595">
      <w:pPr>
        <w:suppressAutoHyphens w:val="0"/>
        <w:autoSpaceDE w:val="0"/>
        <w:rPr>
          <w:rFonts w:ascii="Arial" w:hAnsi="Arial"/>
          <w:color w:val="000000"/>
        </w:rPr>
      </w:pPr>
    </w:p>
    <w:p w14:paraId="28BD4177" w14:textId="1A1B6BE5" w:rsidR="00DD3749" w:rsidRPr="00DD3749" w:rsidRDefault="00CD7595">
      <w:pPr>
        <w:suppressAutoHyphens w:val="0"/>
        <w:autoSpaceDE w:val="0"/>
        <w:rPr>
          <w:rFonts w:ascii="Arial" w:hAnsi="Arial"/>
          <w:color w:val="000000"/>
        </w:rPr>
      </w:pPr>
      <w:r w:rsidRPr="00DD3749">
        <w:rPr>
          <w:rFonts w:ascii="Arial" w:hAnsi="Arial"/>
          <w:color w:val="000000"/>
        </w:rPr>
        <w:t xml:space="preserve">Werden die so ermittelten Einkommen der </w:t>
      </w:r>
      <w:r w:rsidR="00931BBA">
        <w:rPr>
          <w:rFonts w:ascii="Arial" w:hAnsi="Arial"/>
          <w:color w:val="000000"/>
        </w:rPr>
        <w:t xml:space="preserve">Höhe </w:t>
      </w:r>
      <w:r w:rsidRPr="00DD3749">
        <w:rPr>
          <w:rFonts w:ascii="Arial" w:hAnsi="Arial"/>
          <w:color w:val="000000"/>
        </w:rPr>
        <w:t>nach sortiert, ist das Einkommen in der Mitte der Verteilung das sogenannte</w:t>
      </w:r>
      <w:r w:rsidR="00022B38" w:rsidRPr="00DD3749">
        <w:rPr>
          <w:rFonts w:ascii="Arial" w:hAnsi="Arial"/>
          <w:color w:val="000000"/>
        </w:rPr>
        <w:t xml:space="preserve"> </w:t>
      </w:r>
      <w:r w:rsidRPr="00DD3749">
        <w:rPr>
          <w:rFonts w:ascii="Arial" w:hAnsi="Arial"/>
          <w:color w:val="000000"/>
        </w:rPr>
        <w:t>Median-Einkommen (Zentralwert)</w:t>
      </w:r>
      <w:r w:rsidR="00DD3749">
        <w:rPr>
          <w:rFonts w:ascii="Arial" w:hAnsi="Arial"/>
          <w:color w:val="000000"/>
        </w:rPr>
        <w:t xml:space="preserve">. Ausgehend vom Median hat also </w:t>
      </w:r>
      <w:r w:rsidR="00DD3749" w:rsidRPr="00DD3749">
        <w:rPr>
          <w:rFonts w:ascii="Arial" w:hAnsi="Arial"/>
          <w:color w:val="000000"/>
        </w:rPr>
        <w:t xml:space="preserve">die eine Hälfte ein höheres und die andere Hälfte ein niedrigeres gewichtetes Einkommen. </w:t>
      </w:r>
      <w:r w:rsidRPr="00DD3749">
        <w:rPr>
          <w:rFonts w:ascii="Arial" w:hAnsi="Arial"/>
          <w:color w:val="000000"/>
        </w:rPr>
        <w:t xml:space="preserve">Eurostat ermittelt das </w:t>
      </w:r>
      <w:r w:rsidR="00DD3749" w:rsidRPr="00DD3749">
        <w:rPr>
          <w:rFonts w:ascii="Arial" w:hAnsi="Arial"/>
          <w:color w:val="000000"/>
        </w:rPr>
        <w:t xml:space="preserve">mittlere, verfügbare und gewichtete Einkommen (medianes Nettoäquivalenzeinkommen) </w:t>
      </w:r>
      <w:r w:rsidRPr="00DD3749">
        <w:rPr>
          <w:rFonts w:ascii="Arial" w:hAnsi="Arial"/>
          <w:color w:val="000000"/>
        </w:rPr>
        <w:t xml:space="preserve">für alle Staaten der Europäischen Union (EU) </w:t>
      </w:r>
      <w:r w:rsidR="00DD3749" w:rsidRPr="00DD3749">
        <w:rPr>
          <w:rFonts w:ascii="Arial" w:hAnsi="Arial"/>
          <w:color w:val="000000"/>
        </w:rPr>
        <w:t>sowie für Island,</w:t>
      </w:r>
      <w:r w:rsidR="00947676">
        <w:rPr>
          <w:rFonts w:ascii="Arial" w:hAnsi="Arial"/>
          <w:color w:val="000000"/>
        </w:rPr>
        <w:t xml:space="preserve"> Nordm</w:t>
      </w:r>
      <w:r w:rsidR="00DD3749" w:rsidRPr="00DD3749">
        <w:rPr>
          <w:rFonts w:ascii="Arial" w:hAnsi="Arial"/>
          <w:color w:val="000000"/>
        </w:rPr>
        <w:t>azedonien, Norwegen, die Schweiz, Serbien und die Türkei</w:t>
      </w:r>
      <w:r w:rsidRPr="00DD3749">
        <w:rPr>
          <w:rFonts w:ascii="Arial" w:hAnsi="Arial"/>
          <w:color w:val="000000"/>
        </w:rPr>
        <w:t>.</w:t>
      </w:r>
    </w:p>
    <w:p w14:paraId="7F854386" w14:textId="77777777" w:rsidR="00DD3749" w:rsidRPr="00972BDA" w:rsidRDefault="00DD3749">
      <w:pPr>
        <w:suppressAutoHyphens w:val="0"/>
        <w:autoSpaceDE w:val="0"/>
        <w:rPr>
          <w:rFonts w:ascii="Arial" w:hAnsi="Arial"/>
          <w:color w:val="000000"/>
        </w:rPr>
      </w:pPr>
    </w:p>
    <w:p w14:paraId="367C6EF4" w14:textId="6EA8AE43" w:rsidR="00CD7595" w:rsidRPr="00972BDA" w:rsidRDefault="00CD7595">
      <w:pPr>
        <w:suppressAutoHyphens w:val="0"/>
        <w:autoSpaceDE w:val="0"/>
        <w:rPr>
          <w:rFonts w:ascii="Arial" w:hAnsi="Arial"/>
          <w:color w:val="000000"/>
        </w:rPr>
      </w:pPr>
      <w:r w:rsidRPr="00507E17">
        <w:rPr>
          <w:rFonts w:ascii="Arial" w:hAnsi="Arial"/>
          <w:color w:val="000000"/>
        </w:rPr>
        <w:t xml:space="preserve">Das </w:t>
      </w:r>
      <w:r w:rsidR="007979F9" w:rsidRPr="00507E17">
        <w:rPr>
          <w:rFonts w:ascii="Arial" w:hAnsi="Arial"/>
          <w:color w:val="000000"/>
        </w:rPr>
        <w:t>mittlere E</w:t>
      </w:r>
      <w:r w:rsidRPr="00507E17">
        <w:rPr>
          <w:rFonts w:ascii="Arial" w:hAnsi="Arial"/>
          <w:color w:val="000000"/>
        </w:rPr>
        <w:t xml:space="preserve">inkommen der </w:t>
      </w:r>
      <w:r w:rsidR="00507E17" w:rsidRPr="00507E17">
        <w:rPr>
          <w:rFonts w:ascii="Arial" w:hAnsi="Arial"/>
          <w:color w:val="000000"/>
        </w:rPr>
        <w:t xml:space="preserve">28 Mitgliedstaaten der </w:t>
      </w:r>
      <w:r w:rsidRPr="00507E17">
        <w:rPr>
          <w:rFonts w:ascii="Arial" w:hAnsi="Arial"/>
          <w:color w:val="000000"/>
        </w:rPr>
        <w:t>EU</w:t>
      </w:r>
      <w:r w:rsidR="00507E17" w:rsidRPr="00507E17">
        <w:rPr>
          <w:rFonts w:ascii="Arial" w:hAnsi="Arial"/>
          <w:color w:val="000000"/>
        </w:rPr>
        <w:t xml:space="preserve"> </w:t>
      </w:r>
      <w:r w:rsidRPr="00507E17">
        <w:rPr>
          <w:rFonts w:ascii="Arial" w:hAnsi="Arial"/>
          <w:color w:val="000000"/>
        </w:rPr>
        <w:t>lag im Jahr 20</w:t>
      </w:r>
      <w:r w:rsidR="007979F9" w:rsidRPr="00507E17">
        <w:rPr>
          <w:rFonts w:ascii="Arial" w:hAnsi="Arial"/>
          <w:color w:val="000000"/>
        </w:rPr>
        <w:t>17</w:t>
      </w:r>
      <w:r w:rsidRPr="00507E17">
        <w:rPr>
          <w:rFonts w:ascii="Arial" w:hAnsi="Arial"/>
          <w:color w:val="000000"/>
        </w:rPr>
        <w:t xml:space="preserve"> bei 1</w:t>
      </w:r>
      <w:r w:rsidR="00507E17" w:rsidRPr="00507E17">
        <w:rPr>
          <w:rFonts w:ascii="Arial" w:hAnsi="Arial"/>
          <w:color w:val="000000"/>
        </w:rPr>
        <w:t>6</w:t>
      </w:r>
      <w:r w:rsidRPr="00507E17">
        <w:rPr>
          <w:rFonts w:ascii="Arial" w:hAnsi="Arial"/>
          <w:color w:val="000000"/>
        </w:rPr>
        <w:t>.</w:t>
      </w:r>
      <w:r w:rsidR="00507E17" w:rsidRPr="00507E17">
        <w:rPr>
          <w:rFonts w:ascii="Arial" w:hAnsi="Arial"/>
          <w:color w:val="000000"/>
        </w:rPr>
        <w:t>324</w:t>
      </w:r>
      <w:r w:rsidRPr="00507E17">
        <w:rPr>
          <w:rFonts w:ascii="Arial" w:hAnsi="Arial"/>
          <w:color w:val="000000"/>
        </w:rPr>
        <w:t xml:space="preserve"> Euro, das des Euroraums (1</w:t>
      </w:r>
      <w:r w:rsidR="00507E17" w:rsidRPr="00507E17">
        <w:rPr>
          <w:rFonts w:ascii="Arial" w:hAnsi="Arial"/>
          <w:color w:val="000000"/>
        </w:rPr>
        <w:t>9</w:t>
      </w:r>
      <w:r w:rsidRPr="00507E17">
        <w:rPr>
          <w:rFonts w:ascii="Arial" w:hAnsi="Arial"/>
          <w:color w:val="000000"/>
        </w:rPr>
        <w:t xml:space="preserve"> Länder) bei 1</w:t>
      </w:r>
      <w:r w:rsidR="00507E17" w:rsidRPr="00507E17">
        <w:rPr>
          <w:rFonts w:ascii="Arial" w:hAnsi="Arial"/>
          <w:color w:val="000000"/>
        </w:rPr>
        <w:t>8</w:t>
      </w:r>
      <w:r w:rsidRPr="00507E17">
        <w:rPr>
          <w:rFonts w:ascii="Arial" w:hAnsi="Arial"/>
          <w:color w:val="000000"/>
        </w:rPr>
        <w:t>.</w:t>
      </w:r>
      <w:r w:rsidR="00507E17" w:rsidRPr="00507E17">
        <w:rPr>
          <w:rFonts w:ascii="Arial" w:hAnsi="Arial"/>
          <w:color w:val="000000"/>
        </w:rPr>
        <w:t>673</w:t>
      </w:r>
      <w:r w:rsidRPr="00507E17">
        <w:rPr>
          <w:rFonts w:ascii="Arial" w:hAnsi="Arial"/>
          <w:color w:val="000000"/>
        </w:rPr>
        <w:t xml:space="preserve"> Euro.</w:t>
      </w:r>
      <w:r w:rsidR="00507E17">
        <w:rPr>
          <w:rFonts w:ascii="Arial" w:hAnsi="Arial"/>
          <w:color w:val="000000"/>
        </w:rPr>
        <w:t xml:space="preserve"> </w:t>
      </w:r>
      <w:r w:rsidRPr="00972BDA">
        <w:rPr>
          <w:rFonts w:ascii="Arial" w:hAnsi="Arial"/>
          <w:color w:val="000000"/>
        </w:rPr>
        <w:t xml:space="preserve">Auf der Ebene der </w:t>
      </w:r>
      <w:r w:rsidR="00507E17" w:rsidRPr="00972BDA">
        <w:rPr>
          <w:rFonts w:ascii="Arial" w:hAnsi="Arial"/>
          <w:color w:val="000000"/>
        </w:rPr>
        <w:t>34</w:t>
      </w:r>
      <w:r w:rsidRPr="00972BDA">
        <w:rPr>
          <w:rFonts w:ascii="Arial" w:hAnsi="Arial"/>
          <w:color w:val="000000"/>
        </w:rPr>
        <w:t xml:space="preserve"> hier betrachteten Staaten hatten </w:t>
      </w:r>
      <w:r w:rsidR="00507E17" w:rsidRPr="00972BDA">
        <w:rPr>
          <w:rFonts w:ascii="Arial" w:hAnsi="Arial"/>
          <w:color w:val="000000"/>
        </w:rPr>
        <w:t xml:space="preserve">die Schweiz (44.253 Euro), </w:t>
      </w:r>
      <w:r w:rsidRPr="00972BDA">
        <w:rPr>
          <w:rFonts w:ascii="Arial" w:hAnsi="Arial"/>
          <w:color w:val="000000"/>
        </w:rPr>
        <w:t>Norwegen (3</w:t>
      </w:r>
      <w:r w:rsidR="00507E17" w:rsidRPr="00972BDA">
        <w:rPr>
          <w:rFonts w:ascii="Arial" w:hAnsi="Arial"/>
          <w:color w:val="000000"/>
        </w:rPr>
        <w:t>9</w:t>
      </w:r>
      <w:r w:rsidRPr="00972BDA">
        <w:rPr>
          <w:rFonts w:ascii="Arial" w:hAnsi="Arial"/>
          <w:color w:val="000000"/>
        </w:rPr>
        <w:t>.</w:t>
      </w:r>
      <w:r w:rsidR="00507E17" w:rsidRPr="00972BDA">
        <w:rPr>
          <w:rFonts w:ascii="Arial" w:hAnsi="Arial"/>
          <w:color w:val="000000"/>
        </w:rPr>
        <w:t>573</w:t>
      </w:r>
      <w:r w:rsidRPr="00972BDA">
        <w:rPr>
          <w:rFonts w:ascii="Arial" w:hAnsi="Arial"/>
          <w:color w:val="000000"/>
        </w:rPr>
        <w:t xml:space="preserve"> Euro), Luxemburg (3</w:t>
      </w:r>
      <w:r w:rsidR="00507E17" w:rsidRPr="00972BDA">
        <w:rPr>
          <w:rFonts w:ascii="Arial" w:hAnsi="Arial"/>
          <w:color w:val="000000"/>
        </w:rPr>
        <w:t>6</w:t>
      </w:r>
      <w:r w:rsidRPr="00972BDA">
        <w:rPr>
          <w:rFonts w:ascii="Arial" w:hAnsi="Arial"/>
          <w:color w:val="000000"/>
        </w:rPr>
        <w:t>.</w:t>
      </w:r>
      <w:r w:rsidR="00507E17" w:rsidRPr="00972BDA">
        <w:rPr>
          <w:rFonts w:ascii="Arial" w:hAnsi="Arial"/>
          <w:color w:val="000000"/>
        </w:rPr>
        <w:t>076</w:t>
      </w:r>
      <w:r w:rsidRPr="00972BDA">
        <w:rPr>
          <w:rFonts w:ascii="Arial" w:hAnsi="Arial"/>
          <w:color w:val="000000"/>
        </w:rPr>
        <w:t xml:space="preserve"> Euro), Dänemark (2</w:t>
      </w:r>
      <w:r w:rsidR="00507E17" w:rsidRPr="00972BDA">
        <w:rPr>
          <w:rFonts w:ascii="Arial" w:hAnsi="Arial"/>
          <w:color w:val="000000"/>
        </w:rPr>
        <w:t>9</w:t>
      </w:r>
      <w:r w:rsidRPr="00972BDA">
        <w:rPr>
          <w:rFonts w:ascii="Arial" w:hAnsi="Arial"/>
          <w:color w:val="000000"/>
        </w:rPr>
        <w:t>.</w:t>
      </w:r>
      <w:r w:rsidR="00507E17" w:rsidRPr="00972BDA">
        <w:rPr>
          <w:rFonts w:ascii="Arial" w:hAnsi="Arial"/>
          <w:color w:val="000000"/>
        </w:rPr>
        <w:t>38</w:t>
      </w:r>
      <w:r w:rsidRPr="00972BDA">
        <w:rPr>
          <w:rFonts w:ascii="Arial" w:hAnsi="Arial"/>
          <w:color w:val="000000"/>
        </w:rPr>
        <w:t>3 Euro) und I</w:t>
      </w:r>
      <w:r w:rsidR="00507E17" w:rsidRPr="00972BDA">
        <w:rPr>
          <w:rFonts w:ascii="Arial" w:hAnsi="Arial"/>
          <w:color w:val="000000"/>
        </w:rPr>
        <w:t>s</w:t>
      </w:r>
      <w:r w:rsidRPr="00972BDA">
        <w:rPr>
          <w:rFonts w:ascii="Arial" w:hAnsi="Arial"/>
          <w:color w:val="000000"/>
        </w:rPr>
        <w:t>land (2</w:t>
      </w:r>
      <w:r w:rsidR="00507E17" w:rsidRPr="00972BDA">
        <w:rPr>
          <w:rFonts w:ascii="Arial" w:hAnsi="Arial"/>
          <w:color w:val="000000"/>
        </w:rPr>
        <w:t>8</w:t>
      </w:r>
      <w:r w:rsidRPr="00972BDA">
        <w:rPr>
          <w:rFonts w:ascii="Arial" w:hAnsi="Arial"/>
          <w:color w:val="000000"/>
        </w:rPr>
        <w:t>.</w:t>
      </w:r>
      <w:r w:rsidR="00507E17" w:rsidRPr="00972BDA">
        <w:rPr>
          <w:rFonts w:ascii="Arial" w:hAnsi="Arial"/>
          <w:color w:val="000000"/>
        </w:rPr>
        <w:t>393</w:t>
      </w:r>
      <w:r w:rsidRPr="00972BDA">
        <w:rPr>
          <w:rFonts w:ascii="Arial" w:hAnsi="Arial"/>
          <w:color w:val="000000"/>
        </w:rPr>
        <w:t xml:space="preserve"> Euro) d</w:t>
      </w:r>
      <w:r w:rsidR="00507E17" w:rsidRPr="00972BDA">
        <w:rPr>
          <w:rFonts w:ascii="Arial" w:hAnsi="Arial"/>
          <w:color w:val="000000"/>
        </w:rPr>
        <w:t xml:space="preserve">ie </w:t>
      </w:r>
      <w:r w:rsidRPr="00972BDA">
        <w:rPr>
          <w:rFonts w:ascii="Arial" w:hAnsi="Arial"/>
          <w:color w:val="000000"/>
        </w:rPr>
        <w:t>höchsten</w:t>
      </w:r>
      <w:r w:rsidR="00507E17" w:rsidRPr="00972BDA">
        <w:rPr>
          <w:rFonts w:ascii="Arial" w:hAnsi="Arial"/>
          <w:color w:val="000000"/>
        </w:rPr>
        <w:t xml:space="preserve"> mittleren </w:t>
      </w:r>
      <w:r w:rsidRPr="00972BDA">
        <w:rPr>
          <w:rFonts w:ascii="Arial" w:hAnsi="Arial"/>
          <w:color w:val="000000"/>
        </w:rPr>
        <w:t>Nettoäquivalenzeinkommen.</w:t>
      </w:r>
      <w:r w:rsidR="00947676">
        <w:rPr>
          <w:rFonts w:ascii="Arial" w:hAnsi="Arial"/>
          <w:color w:val="000000"/>
        </w:rPr>
        <w:t xml:space="preserve"> </w:t>
      </w:r>
      <w:r w:rsidR="00947676">
        <w:rPr>
          <w:rFonts w:ascii="Arial" w:hAnsi="Arial"/>
          <w:color w:val="000000"/>
        </w:rPr>
        <w:t>Nordm</w:t>
      </w:r>
      <w:r w:rsidR="00947676" w:rsidRPr="00DD3749">
        <w:rPr>
          <w:rFonts w:ascii="Arial" w:hAnsi="Arial"/>
          <w:color w:val="000000"/>
        </w:rPr>
        <w:t>azedonien</w:t>
      </w:r>
      <w:r w:rsidR="00670648" w:rsidRPr="00972BDA">
        <w:rPr>
          <w:rFonts w:ascii="Arial" w:hAnsi="Arial"/>
          <w:color w:val="000000"/>
        </w:rPr>
        <w:t xml:space="preserve"> (2.233 Euro), Serbien (2.554 Euro), Rumänien (2.742 Euro), Bulgarien (3.590 Euro), die Türkei (3.752 Euro), Ungarn (4.988 Euro) und Polen (5.945 Euro) </w:t>
      </w:r>
      <w:r w:rsidRPr="00972BDA">
        <w:rPr>
          <w:rFonts w:ascii="Arial" w:hAnsi="Arial"/>
          <w:color w:val="000000"/>
        </w:rPr>
        <w:t>waren die Staaten mit de</w:t>
      </w:r>
      <w:r w:rsidR="00AF545C" w:rsidRPr="00972BDA">
        <w:rPr>
          <w:rFonts w:ascii="Arial" w:hAnsi="Arial"/>
          <w:color w:val="000000"/>
        </w:rPr>
        <w:t>n</w:t>
      </w:r>
      <w:r w:rsidRPr="00972BDA">
        <w:rPr>
          <w:rFonts w:ascii="Arial" w:hAnsi="Arial"/>
          <w:color w:val="000000"/>
        </w:rPr>
        <w:t xml:space="preserve"> niedrigsten Einkommen. Deutschland belegte mit </w:t>
      </w:r>
      <w:r w:rsidR="00AF545C" w:rsidRPr="00972BDA">
        <w:rPr>
          <w:rFonts w:ascii="Arial" w:hAnsi="Arial"/>
          <w:color w:val="000000"/>
        </w:rPr>
        <w:t>21</w:t>
      </w:r>
      <w:r w:rsidRPr="00972BDA">
        <w:rPr>
          <w:rFonts w:ascii="Arial" w:hAnsi="Arial"/>
          <w:color w:val="000000"/>
        </w:rPr>
        <w:t>.</w:t>
      </w:r>
      <w:r w:rsidR="00AF545C" w:rsidRPr="00972BDA">
        <w:rPr>
          <w:rFonts w:ascii="Arial" w:hAnsi="Arial"/>
          <w:color w:val="000000"/>
        </w:rPr>
        <w:t>920</w:t>
      </w:r>
      <w:r w:rsidRPr="00972BDA">
        <w:rPr>
          <w:rFonts w:ascii="Arial" w:hAnsi="Arial"/>
          <w:color w:val="000000"/>
        </w:rPr>
        <w:t xml:space="preserve"> Euro den 10. Rang innerhalb der EU.</w:t>
      </w:r>
    </w:p>
    <w:p w14:paraId="5EB96978" w14:textId="77777777" w:rsidR="00AF545C" w:rsidRPr="00FB4A77" w:rsidRDefault="00AF545C">
      <w:pPr>
        <w:suppressAutoHyphens w:val="0"/>
        <w:autoSpaceDE w:val="0"/>
        <w:rPr>
          <w:rFonts w:ascii="Arial" w:hAnsi="Arial"/>
          <w:color w:val="000000"/>
        </w:rPr>
      </w:pPr>
    </w:p>
    <w:p w14:paraId="0A1010D7" w14:textId="77777777" w:rsidR="00CD7595" w:rsidRPr="00FB4A77" w:rsidRDefault="00CD7595">
      <w:pPr>
        <w:suppressAutoHyphens w:val="0"/>
        <w:autoSpaceDE w:val="0"/>
        <w:rPr>
          <w:rFonts w:ascii="Arial" w:hAnsi="Arial"/>
          <w:color w:val="000000"/>
        </w:rPr>
      </w:pPr>
      <w:r w:rsidRPr="00FB4A77">
        <w:rPr>
          <w:rFonts w:ascii="Arial" w:hAnsi="Arial"/>
          <w:color w:val="000000"/>
        </w:rPr>
        <w:t xml:space="preserve">Um auf der Ebene der einzelnen Staaten die Einkommen miteinander vergleichen zu können, muss die jeweilige Kaufkraft berücksichtigt werden. </w:t>
      </w:r>
      <w:r w:rsidR="00EB3D84" w:rsidRPr="00FB4A77">
        <w:rPr>
          <w:rFonts w:ascii="Arial" w:hAnsi="Arial"/>
          <w:color w:val="000000"/>
        </w:rPr>
        <w:t xml:space="preserve">Der Kaufkraftstandard (KKS) ist eine künstliche Währungseinheit, mit deren Hilfe Preisniveauunterschiede zwischen Staaten ausgeglichen werden. Theoretisch kann also mit </w:t>
      </w:r>
      <w:r w:rsidR="00EB4F94">
        <w:rPr>
          <w:rFonts w:ascii="Arial" w:hAnsi="Arial"/>
          <w:color w:val="000000"/>
        </w:rPr>
        <w:t>einem</w:t>
      </w:r>
      <w:r w:rsidR="00EB3D84" w:rsidRPr="00FB4A77">
        <w:rPr>
          <w:rFonts w:ascii="Arial" w:hAnsi="Arial"/>
          <w:color w:val="000000"/>
        </w:rPr>
        <w:t xml:space="preserve"> KKS in allen Staaten dieselbe Menge an Waren und Dienstleistungen erworben werden. Die Kaufkraft von einem KKS entspricht der durchschnittlichen Kaufkraft von einem Euro in der EU-28.</w:t>
      </w:r>
    </w:p>
    <w:p w14:paraId="2562BF54" w14:textId="77777777" w:rsidR="00EB3D84" w:rsidRPr="00237807" w:rsidRDefault="00EB3D84">
      <w:pPr>
        <w:suppressAutoHyphens w:val="0"/>
        <w:autoSpaceDE w:val="0"/>
        <w:rPr>
          <w:rFonts w:ascii="Arial" w:hAnsi="Arial"/>
          <w:color w:val="000000"/>
        </w:rPr>
      </w:pPr>
    </w:p>
    <w:p w14:paraId="5852CE55" w14:textId="430EBAB8" w:rsidR="00CD7595" w:rsidRPr="00237807" w:rsidRDefault="00CD7595" w:rsidP="006E421E">
      <w:pPr>
        <w:suppressAutoHyphens w:val="0"/>
        <w:autoSpaceDE w:val="0"/>
        <w:rPr>
          <w:rFonts w:ascii="Arial" w:hAnsi="Arial"/>
          <w:color w:val="000000"/>
        </w:rPr>
      </w:pPr>
      <w:r w:rsidRPr="00237807">
        <w:rPr>
          <w:rFonts w:ascii="Arial" w:hAnsi="Arial"/>
          <w:color w:val="000000"/>
        </w:rPr>
        <w:t>Unter Berücksichtigung der Kaufkraft war 20</w:t>
      </w:r>
      <w:r w:rsidR="006E421E" w:rsidRPr="00237807">
        <w:rPr>
          <w:rFonts w:ascii="Arial" w:hAnsi="Arial"/>
          <w:color w:val="000000"/>
        </w:rPr>
        <w:t>17</w:t>
      </w:r>
      <w:r w:rsidRPr="00237807">
        <w:rPr>
          <w:rFonts w:ascii="Arial" w:hAnsi="Arial"/>
          <w:color w:val="000000"/>
        </w:rPr>
        <w:t xml:space="preserve"> das </w:t>
      </w:r>
      <w:r w:rsidR="006E421E" w:rsidRPr="00DD3749">
        <w:rPr>
          <w:rFonts w:ascii="Arial" w:hAnsi="Arial"/>
          <w:color w:val="000000"/>
        </w:rPr>
        <w:t xml:space="preserve">mittlere, verfügbare und gewichtete Einkommen </w:t>
      </w:r>
      <w:r w:rsidRPr="00237807">
        <w:rPr>
          <w:rFonts w:ascii="Arial" w:hAnsi="Arial"/>
          <w:color w:val="000000"/>
        </w:rPr>
        <w:t xml:space="preserve">in </w:t>
      </w:r>
      <w:r w:rsidR="006E421E" w:rsidRPr="00237807">
        <w:rPr>
          <w:rFonts w:ascii="Arial" w:hAnsi="Arial"/>
          <w:color w:val="000000"/>
        </w:rPr>
        <w:t xml:space="preserve">Norwegen </w:t>
      </w:r>
      <w:r w:rsidRPr="00237807">
        <w:rPr>
          <w:rFonts w:ascii="Arial" w:hAnsi="Arial"/>
          <w:color w:val="000000"/>
        </w:rPr>
        <w:t xml:space="preserve">mit </w:t>
      </w:r>
      <w:r w:rsidR="006E421E" w:rsidRPr="00237807">
        <w:rPr>
          <w:rFonts w:ascii="Arial" w:hAnsi="Arial"/>
          <w:color w:val="000000"/>
        </w:rPr>
        <w:t xml:space="preserve">28.875 </w:t>
      </w:r>
      <w:r w:rsidRPr="00237807">
        <w:rPr>
          <w:rFonts w:ascii="Arial" w:hAnsi="Arial"/>
          <w:color w:val="000000"/>
        </w:rPr>
        <w:t xml:space="preserve">KKS am höchsten. Darauf folgten </w:t>
      </w:r>
      <w:r w:rsidR="006E421E" w:rsidRPr="00237807">
        <w:rPr>
          <w:rFonts w:ascii="Arial" w:hAnsi="Arial"/>
          <w:color w:val="000000"/>
        </w:rPr>
        <w:lastRenderedPageBreak/>
        <w:t xml:space="preserve">Luxemburg </w:t>
      </w:r>
      <w:r w:rsidRPr="00237807">
        <w:rPr>
          <w:rFonts w:ascii="Arial" w:hAnsi="Arial"/>
          <w:color w:val="000000"/>
        </w:rPr>
        <w:t>(2</w:t>
      </w:r>
      <w:r w:rsidR="006E421E" w:rsidRPr="00237807">
        <w:rPr>
          <w:rFonts w:ascii="Arial" w:hAnsi="Arial"/>
          <w:color w:val="000000"/>
        </w:rPr>
        <w:t>8</w:t>
      </w:r>
      <w:r w:rsidRPr="00237807">
        <w:rPr>
          <w:rFonts w:ascii="Arial" w:hAnsi="Arial"/>
          <w:color w:val="000000"/>
        </w:rPr>
        <w:t>.</w:t>
      </w:r>
      <w:r w:rsidR="006E421E" w:rsidRPr="00237807">
        <w:rPr>
          <w:rFonts w:ascii="Arial" w:hAnsi="Arial"/>
          <w:color w:val="000000"/>
        </w:rPr>
        <w:t>820</w:t>
      </w:r>
      <w:r w:rsidRPr="00237807">
        <w:rPr>
          <w:rFonts w:ascii="Arial" w:hAnsi="Arial"/>
          <w:color w:val="000000"/>
        </w:rPr>
        <w:t xml:space="preserve"> KKS), die Schweiz (2</w:t>
      </w:r>
      <w:r w:rsidR="006E421E" w:rsidRPr="00237807">
        <w:rPr>
          <w:rFonts w:ascii="Arial" w:hAnsi="Arial"/>
          <w:color w:val="000000"/>
        </w:rPr>
        <w:t>7</w:t>
      </w:r>
      <w:r w:rsidRPr="00237807">
        <w:rPr>
          <w:rFonts w:ascii="Arial" w:hAnsi="Arial"/>
          <w:color w:val="000000"/>
        </w:rPr>
        <w:t>.</w:t>
      </w:r>
      <w:r w:rsidR="006E421E" w:rsidRPr="00237807">
        <w:rPr>
          <w:rFonts w:ascii="Arial" w:hAnsi="Arial"/>
          <w:color w:val="000000"/>
        </w:rPr>
        <w:t>602</w:t>
      </w:r>
      <w:r w:rsidRPr="00237807">
        <w:rPr>
          <w:rFonts w:ascii="Arial" w:hAnsi="Arial"/>
          <w:color w:val="000000"/>
        </w:rPr>
        <w:t xml:space="preserve"> KKS)</w:t>
      </w:r>
      <w:r w:rsidR="006E421E" w:rsidRPr="00237807">
        <w:rPr>
          <w:rFonts w:ascii="Arial" w:hAnsi="Arial"/>
          <w:color w:val="000000"/>
        </w:rPr>
        <w:t xml:space="preserve"> </w:t>
      </w:r>
      <w:r w:rsidRPr="00237807">
        <w:rPr>
          <w:rFonts w:ascii="Arial" w:hAnsi="Arial"/>
          <w:color w:val="000000"/>
        </w:rPr>
        <w:t xml:space="preserve">und </w:t>
      </w:r>
      <w:r w:rsidR="006E421E" w:rsidRPr="00237807">
        <w:rPr>
          <w:rFonts w:ascii="Arial" w:hAnsi="Arial"/>
          <w:color w:val="000000"/>
        </w:rPr>
        <w:t>Österreich</w:t>
      </w:r>
      <w:r w:rsidRPr="00237807">
        <w:rPr>
          <w:rFonts w:ascii="Arial" w:hAnsi="Arial"/>
          <w:color w:val="000000"/>
        </w:rPr>
        <w:t xml:space="preserve"> (</w:t>
      </w:r>
      <w:r w:rsidR="006E421E" w:rsidRPr="00237807">
        <w:rPr>
          <w:rFonts w:ascii="Arial" w:hAnsi="Arial"/>
          <w:color w:val="000000"/>
        </w:rPr>
        <w:t>23</w:t>
      </w:r>
      <w:r w:rsidRPr="00237807">
        <w:rPr>
          <w:rFonts w:ascii="Arial" w:hAnsi="Arial"/>
          <w:color w:val="000000"/>
        </w:rPr>
        <w:t>.</w:t>
      </w:r>
      <w:r w:rsidR="006E421E" w:rsidRPr="00237807">
        <w:rPr>
          <w:rFonts w:ascii="Arial" w:hAnsi="Arial"/>
          <w:color w:val="000000"/>
        </w:rPr>
        <w:t>334</w:t>
      </w:r>
      <w:r w:rsidRPr="00237807">
        <w:rPr>
          <w:rFonts w:ascii="Arial" w:hAnsi="Arial"/>
          <w:color w:val="000000"/>
        </w:rPr>
        <w:t xml:space="preserve"> KKS).</w:t>
      </w:r>
      <w:r w:rsidR="006E421E" w:rsidRPr="00237807">
        <w:rPr>
          <w:rFonts w:ascii="Arial" w:hAnsi="Arial"/>
          <w:color w:val="000000"/>
        </w:rPr>
        <w:t xml:space="preserve"> </w:t>
      </w:r>
      <w:r w:rsidR="006E421E" w:rsidRPr="00972BDA">
        <w:rPr>
          <w:rFonts w:ascii="Arial" w:hAnsi="Arial"/>
          <w:color w:val="000000"/>
        </w:rPr>
        <w:t xml:space="preserve">Deutschland </w:t>
      </w:r>
      <w:r w:rsidR="006E421E">
        <w:rPr>
          <w:rFonts w:ascii="Arial" w:hAnsi="Arial"/>
          <w:color w:val="000000"/>
        </w:rPr>
        <w:t xml:space="preserve">lag </w:t>
      </w:r>
      <w:r w:rsidR="006E421E" w:rsidRPr="00972BDA">
        <w:rPr>
          <w:rFonts w:ascii="Arial" w:hAnsi="Arial"/>
          <w:color w:val="000000"/>
        </w:rPr>
        <w:t>mit 21.</w:t>
      </w:r>
      <w:r w:rsidR="006E421E">
        <w:rPr>
          <w:rFonts w:ascii="Arial" w:hAnsi="Arial"/>
          <w:color w:val="000000"/>
        </w:rPr>
        <w:t xml:space="preserve">215 KKS hinter Island und den Niederlanden und </w:t>
      </w:r>
      <w:r w:rsidR="00237807">
        <w:rPr>
          <w:rFonts w:ascii="Arial" w:hAnsi="Arial"/>
          <w:color w:val="000000"/>
        </w:rPr>
        <w:t xml:space="preserve">belegte damit den </w:t>
      </w:r>
      <w:r w:rsidR="006E421E">
        <w:rPr>
          <w:rFonts w:ascii="Arial" w:hAnsi="Arial"/>
          <w:color w:val="000000"/>
        </w:rPr>
        <w:t>4</w:t>
      </w:r>
      <w:r w:rsidR="006E421E" w:rsidRPr="00972BDA">
        <w:rPr>
          <w:rFonts w:ascii="Arial" w:hAnsi="Arial"/>
          <w:color w:val="000000"/>
        </w:rPr>
        <w:t>. Rang innerhalb der EU.</w:t>
      </w:r>
      <w:r w:rsidR="00C01655">
        <w:rPr>
          <w:rFonts w:ascii="Arial" w:hAnsi="Arial"/>
          <w:color w:val="000000"/>
        </w:rPr>
        <w:t xml:space="preserve"> </w:t>
      </w:r>
      <w:r w:rsidRPr="00237807">
        <w:rPr>
          <w:rFonts w:ascii="Arial" w:hAnsi="Arial"/>
          <w:color w:val="000000"/>
        </w:rPr>
        <w:t xml:space="preserve">Am niedrigsten war das entsprechende Einkommen in </w:t>
      </w:r>
      <w:r w:rsidR="00947676">
        <w:rPr>
          <w:rFonts w:ascii="Arial" w:hAnsi="Arial"/>
          <w:color w:val="000000"/>
        </w:rPr>
        <w:t>Nordm</w:t>
      </w:r>
      <w:r w:rsidR="006E421E" w:rsidRPr="00237807">
        <w:rPr>
          <w:rFonts w:ascii="Arial" w:hAnsi="Arial"/>
          <w:color w:val="000000"/>
        </w:rPr>
        <w:t>azedonien (4.941 KKS)</w:t>
      </w:r>
      <w:r w:rsidR="00931BBA">
        <w:rPr>
          <w:rFonts w:ascii="Arial" w:hAnsi="Arial"/>
          <w:color w:val="000000"/>
        </w:rPr>
        <w:t xml:space="preserve"> sowie in</w:t>
      </w:r>
      <w:r w:rsidR="006E421E" w:rsidRPr="00237807">
        <w:rPr>
          <w:rFonts w:ascii="Arial" w:hAnsi="Arial"/>
          <w:color w:val="000000"/>
        </w:rPr>
        <w:t xml:space="preserve"> Rumänien (5.239 KKS), Serbien (5.248 KKS), der Türkei (6.338 KKS), Bulgarien (7.517 KKS) und Ungarn (8.364 KKS).</w:t>
      </w:r>
    </w:p>
    <w:p w14:paraId="7BC28464" w14:textId="77777777" w:rsidR="00CD7595" w:rsidRPr="00DB0C48" w:rsidRDefault="00CD7595">
      <w:pPr>
        <w:suppressAutoHyphens w:val="0"/>
        <w:autoSpaceDE w:val="0"/>
        <w:rPr>
          <w:rFonts w:ascii="Arial" w:hAnsi="Arial"/>
          <w:color w:val="000000"/>
        </w:rPr>
      </w:pPr>
    </w:p>
    <w:p w14:paraId="705DF7A5" w14:textId="77777777" w:rsidR="00015922" w:rsidRPr="00015922" w:rsidRDefault="00015922" w:rsidP="00015922">
      <w:pPr>
        <w:suppressAutoHyphens w:val="0"/>
        <w:autoSpaceDE w:val="0"/>
        <w:rPr>
          <w:rFonts w:ascii="Arial" w:hAnsi="Arial"/>
          <w:color w:val="000000"/>
        </w:rPr>
      </w:pPr>
      <w:r w:rsidRPr="00015922">
        <w:rPr>
          <w:rFonts w:ascii="Arial" w:hAnsi="Arial"/>
          <w:color w:val="000000"/>
        </w:rPr>
        <w:t xml:space="preserve">Wenn das </w:t>
      </w:r>
      <w:r w:rsidR="00B243B1">
        <w:rPr>
          <w:rFonts w:ascii="Arial" w:hAnsi="Arial"/>
          <w:color w:val="000000"/>
        </w:rPr>
        <w:t>die K</w:t>
      </w:r>
      <w:r w:rsidRPr="00015922">
        <w:rPr>
          <w:rFonts w:ascii="Arial" w:hAnsi="Arial"/>
          <w:color w:val="000000"/>
        </w:rPr>
        <w:t>aufkraft</w:t>
      </w:r>
      <w:r w:rsidR="00B243B1">
        <w:rPr>
          <w:rFonts w:ascii="Arial" w:hAnsi="Arial"/>
          <w:color w:val="000000"/>
        </w:rPr>
        <w:t xml:space="preserve"> berücksichtigende E</w:t>
      </w:r>
      <w:r w:rsidRPr="00015922">
        <w:rPr>
          <w:rFonts w:ascii="Arial" w:hAnsi="Arial"/>
          <w:color w:val="000000"/>
        </w:rPr>
        <w:t xml:space="preserve">inkommen Deutschlands bei einer Index-Darstellung den Wert '100' erhält, ist schnell zu sehen, dass das </w:t>
      </w:r>
      <w:r w:rsidR="00B243B1">
        <w:rPr>
          <w:rFonts w:ascii="Arial" w:hAnsi="Arial"/>
          <w:color w:val="000000"/>
        </w:rPr>
        <w:t xml:space="preserve">mittlere </w:t>
      </w:r>
      <w:r w:rsidR="00B243B1" w:rsidRPr="00DD3749">
        <w:rPr>
          <w:rFonts w:ascii="Arial" w:hAnsi="Arial"/>
          <w:color w:val="000000"/>
        </w:rPr>
        <w:t>Nettoäquivalenzeinkommen</w:t>
      </w:r>
      <w:r w:rsidR="00B243B1" w:rsidRPr="00015922">
        <w:rPr>
          <w:rFonts w:ascii="Arial" w:hAnsi="Arial"/>
          <w:color w:val="000000"/>
        </w:rPr>
        <w:t xml:space="preserve"> </w:t>
      </w:r>
      <w:r w:rsidRPr="00015922">
        <w:rPr>
          <w:rFonts w:ascii="Arial" w:hAnsi="Arial"/>
          <w:color w:val="000000"/>
        </w:rPr>
        <w:t xml:space="preserve">Luxemburgs und Norwegens (Indexwert: 136) </w:t>
      </w:r>
      <w:r>
        <w:rPr>
          <w:rFonts w:ascii="Arial" w:hAnsi="Arial"/>
          <w:color w:val="000000"/>
        </w:rPr>
        <w:t xml:space="preserve">sowie das der Schweiz (130) </w:t>
      </w:r>
      <w:r w:rsidRPr="00015922">
        <w:rPr>
          <w:rFonts w:ascii="Arial" w:hAnsi="Arial"/>
          <w:color w:val="000000"/>
        </w:rPr>
        <w:t xml:space="preserve">im Jahr 2017 </w:t>
      </w:r>
      <w:r>
        <w:rPr>
          <w:rFonts w:ascii="Arial" w:hAnsi="Arial"/>
          <w:color w:val="000000"/>
        </w:rPr>
        <w:t>rund</w:t>
      </w:r>
      <w:r w:rsidRPr="00015922">
        <w:rPr>
          <w:rFonts w:ascii="Arial" w:hAnsi="Arial"/>
          <w:color w:val="000000"/>
        </w:rPr>
        <w:t xml:space="preserve"> ein Drittel höher lag. Auf der anderen Seite war das entsprechende Einkommen im selben Jahr in Litauen (46), Kroatien und Lettland (44), Griechenland (43) und Ungarn (39) weniger als halb so hoch. In Bulgarien (3</w:t>
      </w:r>
      <w:r w:rsidR="003202B1">
        <w:rPr>
          <w:rFonts w:ascii="Arial" w:hAnsi="Arial"/>
          <w:color w:val="000000"/>
        </w:rPr>
        <w:t>5</w:t>
      </w:r>
      <w:r w:rsidRPr="00015922">
        <w:rPr>
          <w:rFonts w:ascii="Arial" w:hAnsi="Arial"/>
          <w:color w:val="000000"/>
        </w:rPr>
        <w:t xml:space="preserve">) und der Türkei (30) entsprach das Einkommen </w:t>
      </w:r>
      <w:r w:rsidR="00B243B1">
        <w:rPr>
          <w:rFonts w:ascii="Arial" w:hAnsi="Arial"/>
          <w:color w:val="000000"/>
        </w:rPr>
        <w:t xml:space="preserve">in KKS </w:t>
      </w:r>
      <w:r w:rsidRPr="00015922">
        <w:rPr>
          <w:rFonts w:ascii="Arial" w:hAnsi="Arial"/>
          <w:color w:val="000000"/>
        </w:rPr>
        <w:t>nur rund einem Drittel des Einkommens in Deutschland. In Rumänien und Serbien (25) war es ein Viertel.</w:t>
      </w:r>
    </w:p>
    <w:p w14:paraId="5FF276F1" w14:textId="77777777" w:rsidR="00015922" w:rsidRPr="002B5989" w:rsidRDefault="00015922" w:rsidP="00A22F45">
      <w:pPr>
        <w:suppressAutoHyphens w:val="0"/>
        <w:autoSpaceDE w:val="0"/>
        <w:rPr>
          <w:rFonts w:ascii="Arial" w:hAnsi="Arial"/>
          <w:color w:val="000000"/>
        </w:rPr>
      </w:pPr>
    </w:p>
    <w:p w14:paraId="73C9DB15" w14:textId="77777777" w:rsidR="00CD7595" w:rsidRPr="00DB0C48" w:rsidRDefault="00CD7595">
      <w:pPr>
        <w:suppressAutoHyphens w:val="0"/>
        <w:autoSpaceDE w:val="0"/>
        <w:rPr>
          <w:rFonts w:ascii="Arial" w:hAnsi="Arial"/>
          <w:color w:val="000000"/>
        </w:rPr>
      </w:pPr>
      <w:r w:rsidRPr="00DB0C48">
        <w:rPr>
          <w:rFonts w:ascii="Arial" w:hAnsi="Arial"/>
          <w:color w:val="000000"/>
        </w:rPr>
        <w:t>Wird die Reihenfolge der 3</w:t>
      </w:r>
      <w:r w:rsidR="00DB0C48" w:rsidRPr="00DB0C48">
        <w:rPr>
          <w:rFonts w:ascii="Arial" w:hAnsi="Arial"/>
          <w:color w:val="000000"/>
        </w:rPr>
        <w:t>4</w:t>
      </w:r>
      <w:r w:rsidRPr="00DB0C48">
        <w:rPr>
          <w:rFonts w:ascii="Arial" w:hAnsi="Arial"/>
          <w:color w:val="000000"/>
        </w:rPr>
        <w:t xml:space="preserve"> hier betrachteten Staaten vor Berücksichtigung der Kaufkraft mit der danach verglichen, so verschlechtert sich </w:t>
      </w:r>
      <w:r w:rsidR="00DB0C48" w:rsidRPr="00DB0C48">
        <w:rPr>
          <w:rFonts w:ascii="Arial" w:hAnsi="Arial"/>
          <w:color w:val="000000"/>
        </w:rPr>
        <w:t xml:space="preserve">die </w:t>
      </w:r>
      <w:r w:rsidRPr="00DB0C48">
        <w:rPr>
          <w:rFonts w:ascii="Arial" w:hAnsi="Arial"/>
          <w:color w:val="000000"/>
        </w:rPr>
        <w:t>Einkommensposition</w:t>
      </w:r>
      <w:r w:rsidR="00DB0C48" w:rsidRPr="00DB0C48">
        <w:rPr>
          <w:rFonts w:ascii="Arial" w:hAnsi="Arial"/>
          <w:color w:val="000000"/>
        </w:rPr>
        <w:t xml:space="preserve"> von Griechenland und Schweden jeweils </w:t>
      </w:r>
      <w:r w:rsidRPr="00DB0C48">
        <w:rPr>
          <w:rFonts w:ascii="Arial" w:hAnsi="Arial"/>
          <w:color w:val="000000"/>
        </w:rPr>
        <w:t xml:space="preserve">um </w:t>
      </w:r>
      <w:r w:rsidR="00DB0C48" w:rsidRPr="00DB0C48">
        <w:rPr>
          <w:rFonts w:ascii="Arial" w:hAnsi="Arial"/>
          <w:color w:val="000000"/>
        </w:rPr>
        <w:t>5</w:t>
      </w:r>
      <w:r w:rsidRPr="00DB0C48">
        <w:rPr>
          <w:rFonts w:ascii="Arial" w:hAnsi="Arial"/>
          <w:color w:val="000000"/>
        </w:rPr>
        <w:t xml:space="preserve"> Ränge (von Rang </w:t>
      </w:r>
      <w:r w:rsidR="00DB0C48" w:rsidRPr="00DB0C48">
        <w:rPr>
          <w:rFonts w:ascii="Arial" w:hAnsi="Arial"/>
          <w:color w:val="000000"/>
        </w:rPr>
        <w:t>23</w:t>
      </w:r>
      <w:r w:rsidRPr="00DB0C48">
        <w:rPr>
          <w:rFonts w:ascii="Arial" w:hAnsi="Arial"/>
          <w:color w:val="000000"/>
        </w:rPr>
        <w:t xml:space="preserve"> auf Rang </w:t>
      </w:r>
      <w:r w:rsidR="00DB0C48" w:rsidRPr="00DB0C48">
        <w:rPr>
          <w:rFonts w:ascii="Arial" w:hAnsi="Arial"/>
          <w:color w:val="000000"/>
        </w:rPr>
        <w:t>28 bzw. von 6 auf 11</w:t>
      </w:r>
      <w:r w:rsidRPr="00DB0C48">
        <w:rPr>
          <w:rFonts w:ascii="Arial" w:hAnsi="Arial"/>
          <w:color w:val="000000"/>
        </w:rPr>
        <w:t xml:space="preserve">). Und auch Dänemark und Finnland rutschen um jeweils </w:t>
      </w:r>
      <w:r w:rsidR="00DB0C48" w:rsidRPr="00DB0C48">
        <w:rPr>
          <w:rFonts w:ascii="Arial" w:hAnsi="Arial"/>
          <w:color w:val="000000"/>
        </w:rPr>
        <w:t>4</w:t>
      </w:r>
      <w:r w:rsidRPr="00DB0C48">
        <w:rPr>
          <w:rFonts w:ascii="Arial" w:hAnsi="Arial"/>
          <w:color w:val="000000"/>
        </w:rPr>
        <w:t xml:space="preserve"> Ränge nach unten (von Rang 4 auf Rang </w:t>
      </w:r>
      <w:r w:rsidR="00DB0C48" w:rsidRPr="00DB0C48">
        <w:rPr>
          <w:rFonts w:ascii="Arial" w:hAnsi="Arial"/>
          <w:color w:val="000000"/>
        </w:rPr>
        <w:t>8</w:t>
      </w:r>
      <w:r w:rsidRPr="00DB0C48">
        <w:rPr>
          <w:rFonts w:ascii="Arial" w:hAnsi="Arial"/>
          <w:color w:val="000000"/>
        </w:rPr>
        <w:t xml:space="preserve"> bzw. von 8 auf 1</w:t>
      </w:r>
      <w:r w:rsidR="00DB0C48" w:rsidRPr="00DB0C48">
        <w:rPr>
          <w:rFonts w:ascii="Arial" w:hAnsi="Arial"/>
          <w:color w:val="000000"/>
        </w:rPr>
        <w:t>2</w:t>
      </w:r>
      <w:r w:rsidRPr="00DB0C48">
        <w:rPr>
          <w:rFonts w:ascii="Arial" w:hAnsi="Arial"/>
          <w:color w:val="000000"/>
        </w:rPr>
        <w:t xml:space="preserve">). </w:t>
      </w:r>
      <w:r w:rsidR="00DB0C48" w:rsidRPr="00DB0C48">
        <w:rPr>
          <w:rFonts w:ascii="Arial" w:hAnsi="Arial"/>
          <w:color w:val="000000"/>
        </w:rPr>
        <w:t>I</w:t>
      </w:r>
      <w:r w:rsidRPr="00DB0C48">
        <w:rPr>
          <w:rFonts w:ascii="Arial" w:hAnsi="Arial"/>
          <w:color w:val="000000"/>
        </w:rPr>
        <w:t xml:space="preserve">n diesen Staaten </w:t>
      </w:r>
      <w:r w:rsidR="00DB0C48" w:rsidRPr="00DB0C48">
        <w:rPr>
          <w:rFonts w:ascii="Arial" w:hAnsi="Arial"/>
          <w:color w:val="000000"/>
        </w:rPr>
        <w:t xml:space="preserve">wird also </w:t>
      </w:r>
      <w:r w:rsidRPr="00DB0C48">
        <w:rPr>
          <w:rFonts w:ascii="Arial" w:hAnsi="Arial"/>
          <w:color w:val="000000"/>
        </w:rPr>
        <w:t>d</w:t>
      </w:r>
      <w:r w:rsidR="00C077AC">
        <w:rPr>
          <w:rFonts w:ascii="Arial" w:hAnsi="Arial"/>
          <w:color w:val="000000"/>
        </w:rPr>
        <w:t xml:space="preserve">ie Kaufkraft des </w:t>
      </w:r>
      <w:r w:rsidR="00DB0C48" w:rsidRPr="00DB0C48">
        <w:rPr>
          <w:rFonts w:ascii="Arial" w:hAnsi="Arial"/>
          <w:color w:val="000000"/>
        </w:rPr>
        <w:t>E</w:t>
      </w:r>
      <w:r w:rsidRPr="00DB0C48">
        <w:rPr>
          <w:rFonts w:ascii="Arial" w:hAnsi="Arial"/>
          <w:color w:val="000000"/>
        </w:rPr>
        <w:t>inkommen</w:t>
      </w:r>
      <w:r w:rsidR="00C077AC">
        <w:rPr>
          <w:rFonts w:ascii="Arial" w:hAnsi="Arial"/>
          <w:color w:val="000000"/>
        </w:rPr>
        <w:t>s</w:t>
      </w:r>
      <w:r w:rsidRPr="00DB0C48">
        <w:rPr>
          <w:rFonts w:ascii="Arial" w:hAnsi="Arial"/>
          <w:color w:val="000000"/>
        </w:rPr>
        <w:t xml:space="preserve"> durch ein überdurchschnittlich hohes Preisniveau verringert. Auf der anderen </w:t>
      </w:r>
      <w:r w:rsidR="00F617C5" w:rsidRPr="00DB0C48">
        <w:rPr>
          <w:rFonts w:ascii="Arial" w:hAnsi="Arial"/>
          <w:color w:val="000000"/>
        </w:rPr>
        <w:t xml:space="preserve">Seite </w:t>
      </w:r>
      <w:proofErr w:type="gramStart"/>
      <w:r w:rsidR="00F617C5" w:rsidRPr="00DB0C48">
        <w:rPr>
          <w:rFonts w:ascii="Arial" w:hAnsi="Arial"/>
          <w:color w:val="000000"/>
        </w:rPr>
        <w:t>verbesser</w:t>
      </w:r>
      <w:r w:rsidR="00DB0C48" w:rsidRPr="00DB0C48">
        <w:rPr>
          <w:rFonts w:ascii="Arial" w:hAnsi="Arial"/>
          <w:color w:val="000000"/>
        </w:rPr>
        <w:t>n</w:t>
      </w:r>
      <w:proofErr w:type="gramEnd"/>
      <w:r w:rsidRPr="00DB0C48">
        <w:rPr>
          <w:rFonts w:ascii="Arial" w:hAnsi="Arial"/>
          <w:color w:val="000000"/>
        </w:rPr>
        <w:t xml:space="preserve"> im Vergleich zu den anderen Staaten vor allem </w:t>
      </w:r>
      <w:r w:rsidR="00DB0C48" w:rsidRPr="00DB0C48">
        <w:rPr>
          <w:rFonts w:ascii="Arial" w:hAnsi="Arial"/>
          <w:color w:val="000000"/>
        </w:rPr>
        <w:t xml:space="preserve">Deutschland und Polen ihre </w:t>
      </w:r>
      <w:r w:rsidRPr="00DB0C48">
        <w:rPr>
          <w:rFonts w:ascii="Arial" w:hAnsi="Arial"/>
          <w:color w:val="000000"/>
        </w:rPr>
        <w:t xml:space="preserve">Einkommensposition (von Rang </w:t>
      </w:r>
      <w:r w:rsidR="00DB0C48" w:rsidRPr="00DB0C48">
        <w:rPr>
          <w:rFonts w:ascii="Arial" w:hAnsi="Arial"/>
          <w:color w:val="000000"/>
        </w:rPr>
        <w:t>13</w:t>
      </w:r>
      <w:r w:rsidRPr="00DB0C48">
        <w:rPr>
          <w:rFonts w:ascii="Arial" w:hAnsi="Arial"/>
          <w:color w:val="000000"/>
        </w:rPr>
        <w:t xml:space="preserve"> auf Rang </w:t>
      </w:r>
      <w:r w:rsidR="00DB0C48" w:rsidRPr="00DB0C48">
        <w:rPr>
          <w:rFonts w:ascii="Arial" w:hAnsi="Arial"/>
          <w:color w:val="000000"/>
        </w:rPr>
        <w:t>7 bzw. von 28 auf 22</w:t>
      </w:r>
      <w:r w:rsidRPr="00DB0C48">
        <w:rPr>
          <w:rFonts w:ascii="Arial" w:hAnsi="Arial"/>
          <w:color w:val="000000"/>
        </w:rPr>
        <w:t>).</w:t>
      </w:r>
    </w:p>
    <w:p w14:paraId="21E6A52C" w14:textId="77777777" w:rsidR="00CD7595" w:rsidRPr="00015922" w:rsidRDefault="00CD7595">
      <w:pPr>
        <w:suppressAutoHyphens w:val="0"/>
        <w:autoSpaceDE w:val="0"/>
        <w:rPr>
          <w:rFonts w:ascii="Arial" w:hAnsi="Arial"/>
          <w:color w:val="000000"/>
        </w:rPr>
      </w:pPr>
    </w:p>
    <w:p w14:paraId="285B5C3B" w14:textId="77777777" w:rsidR="00CD7595" w:rsidRPr="002B5989" w:rsidRDefault="00CD7595" w:rsidP="00A22F45">
      <w:pPr>
        <w:suppressAutoHyphens w:val="0"/>
        <w:autoSpaceDE w:val="0"/>
        <w:rPr>
          <w:rFonts w:ascii="Arial" w:hAnsi="Arial"/>
          <w:color w:val="000000"/>
        </w:rPr>
      </w:pPr>
      <w:r w:rsidRPr="002B5989">
        <w:rPr>
          <w:rFonts w:ascii="Arial" w:hAnsi="Arial"/>
          <w:color w:val="000000"/>
        </w:rPr>
        <w:t>Generell ist bei den genannten Werten zu beachten, dass es sich um Mittelwerte handelt. Innerhalb der einzelnen Staaten und auch auf EU-Ebene sind die Einkommen sehr unterschiedlich verteilt. So war in der EU</w:t>
      </w:r>
      <w:r w:rsidR="002B5989">
        <w:rPr>
          <w:rFonts w:ascii="Arial" w:hAnsi="Arial"/>
          <w:color w:val="000000"/>
        </w:rPr>
        <w:t>-28</w:t>
      </w:r>
      <w:r w:rsidRPr="002B5989">
        <w:rPr>
          <w:rFonts w:ascii="Arial" w:hAnsi="Arial"/>
          <w:color w:val="000000"/>
        </w:rPr>
        <w:t xml:space="preserve"> im Jahr 20</w:t>
      </w:r>
      <w:r w:rsidR="002B5989" w:rsidRPr="002B5989">
        <w:rPr>
          <w:rFonts w:ascii="Arial" w:hAnsi="Arial"/>
          <w:color w:val="000000"/>
        </w:rPr>
        <w:t>17</w:t>
      </w:r>
      <w:r w:rsidRPr="002B5989">
        <w:rPr>
          <w:rFonts w:ascii="Arial" w:hAnsi="Arial"/>
          <w:color w:val="000000"/>
        </w:rPr>
        <w:t xml:space="preserve"> das Einkommen des </w:t>
      </w:r>
      <w:r w:rsidR="002B5989" w:rsidRPr="002B5989">
        <w:rPr>
          <w:rFonts w:ascii="Arial" w:hAnsi="Arial"/>
          <w:color w:val="000000"/>
        </w:rPr>
        <w:t>Zehntel</w:t>
      </w:r>
      <w:r w:rsidRPr="002B5989">
        <w:rPr>
          <w:rFonts w:ascii="Arial" w:hAnsi="Arial"/>
          <w:color w:val="000000"/>
        </w:rPr>
        <w:t xml:space="preserve">s der Bevölkerung mit den höchsten Einkommen </w:t>
      </w:r>
      <w:r w:rsidR="002B5989" w:rsidRPr="002B5989">
        <w:rPr>
          <w:rFonts w:ascii="Arial" w:hAnsi="Arial"/>
          <w:color w:val="000000"/>
        </w:rPr>
        <w:t>8,4</w:t>
      </w:r>
      <w:r w:rsidRPr="002B5989">
        <w:rPr>
          <w:rFonts w:ascii="Arial" w:hAnsi="Arial"/>
          <w:color w:val="000000"/>
        </w:rPr>
        <w:t xml:space="preserve">-mal höher als das des </w:t>
      </w:r>
      <w:r w:rsidR="002B5989" w:rsidRPr="002B5989">
        <w:rPr>
          <w:rFonts w:ascii="Arial" w:hAnsi="Arial"/>
          <w:color w:val="000000"/>
        </w:rPr>
        <w:t xml:space="preserve">Zehntels </w:t>
      </w:r>
      <w:r w:rsidRPr="002B5989">
        <w:rPr>
          <w:rFonts w:ascii="Arial" w:hAnsi="Arial"/>
          <w:color w:val="000000"/>
        </w:rPr>
        <w:t xml:space="preserve">der Bevölkerung mit den niedrigsten Einkommen. In Deutschland war das Einkommen der einkommensstärksten </w:t>
      </w:r>
      <w:r w:rsidR="002B5989" w:rsidRPr="002B5989">
        <w:rPr>
          <w:rFonts w:ascii="Arial" w:hAnsi="Arial"/>
          <w:color w:val="000000"/>
        </w:rPr>
        <w:t>1</w:t>
      </w:r>
      <w:r w:rsidRPr="002B5989">
        <w:rPr>
          <w:rFonts w:ascii="Arial" w:hAnsi="Arial"/>
          <w:color w:val="000000"/>
        </w:rPr>
        <w:t xml:space="preserve">0 Prozent der Bevölkerung </w:t>
      </w:r>
      <w:r w:rsidR="002B5989" w:rsidRPr="002B5989">
        <w:rPr>
          <w:rFonts w:ascii="Arial" w:hAnsi="Arial"/>
          <w:color w:val="000000"/>
        </w:rPr>
        <w:t>7,2</w:t>
      </w:r>
      <w:r w:rsidRPr="002B5989">
        <w:rPr>
          <w:rFonts w:ascii="Arial" w:hAnsi="Arial"/>
          <w:color w:val="000000"/>
        </w:rPr>
        <w:t xml:space="preserve">-mal so hoch wie das der einkommensschwächsten </w:t>
      </w:r>
      <w:r w:rsidR="002B5989" w:rsidRPr="002B5989">
        <w:rPr>
          <w:rFonts w:ascii="Arial" w:hAnsi="Arial"/>
          <w:color w:val="000000"/>
        </w:rPr>
        <w:t>1</w:t>
      </w:r>
      <w:r w:rsidRPr="002B5989">
        <w:rPr>
          <w:rFonts w:ascii="Arial" w:hAnsi="Arial"/>
          <w:color w:val="000000"/>
        </w:rPr>
        <w:t>0 Prozent</w:t>
      </w:r>
      <w:r w:rsidR="002B5989">
        <w:rPr>
          <w:rFonts w:ascii="Arial" w:hAnsi="Arial"/>
          <w:color w:val="000000"/>
        </w:rPr>
        <w:t xml:space="preserve"> </w:t>
      </w:r>
      <w:r w:rsidR="002B5989" w:rsidRPr="00A22F45">
        <w:rPr>
          <w:rFonts w:ascii="Arial" w:hAnsi="Arial"/>
          <w:color w:val="000000"/>
        </w:rPr>
        <w:t>(jeweils verfügbare, gewichtete Einkommen = Nettoäquivalenzeinkommen).</w:t>
      </w:r>
    </w:p>
    <w:p w14:paraId="53EE15B4" w14:textId="77777777" w:rsidR="002B5989" w:rsidRPr="002B5989" w:rsidRDefault="002B5989" w:rsidP="00A22F45">
      <w:pPr>
        <w:suppressAutoHyphens w:val="0"/>
        <w:autoSpaceDE w:val="0"/>
        <w:rPr>
          <w:rFonts w:ascii="Arial" w:hAnsi="Arial"/>
          <w:color w:val="000000"/>
        </w:rPr>
      </w:pPr>
    </w:p>
    <w:p w14:paraId="6FC38529" w14:textId="77777777" w:rsidR="00CD7595" w:rsidRDefault="00CD7595">
      <w:pPr>
        <w:rPr>
          <w:rFonts w:ascii="Arial" w:hAnsi="Arial"/>
          <w:color w:val="FF0000"/>
        </w:rPr>
      </w:pPr>
      <w:r>
        <w:rPr>
          <w:rFonts w:ascii="Arial" w:hAnsi="Arial"/>
          <w:color w:val="FF0000"/>
        </w:rPr>
        <w:t>Datenquelle</w:t>
      </w:r>
    </w:p>
    <w:p w14:paraId="3AD86FE1" w14:textId="77777777" w:rsidR="00CD7595" w:rsidRPr="002B5989" w:rsidRDefault="00CD7595" w:rsidP="00A22F45">
      <w:pPr>
        <w:suppressAutoHyphens w:val="0"/>
        <w:autoSpaceDE w:val="0"/>
        <w:rPr>
          <w:rFonts w:ascii="Arial" w:hAnsi="Arial"/>
          <w:color w:val="000000"/>
        </w:rPr>
      </w:pPr>
    </w:p>
    <w:p w14:paraId="1C48D97E" w14:textId="77777777" w:rsidR="002B5989" w:rsidRPr="00A22F45" w:rsidRDefault="00CD7595" w:rsidP="00A22F45">
      <w:pPr>
        <w:suppressAutoHyphens w:val="0"/>
        <w:autoSpaceDE w:val="0"/>
        <w:rPr>
          <w:rFonts w:ascii="Arial" w:hAnsi="Arial"/>
          <w:color w:val="000000"/>
        </w:rPr>
      </w:pPr>
      <w:r w:rsidRPr="002B5989">
        <w:rPr>
          <w:rFonts w:ascii="Arial" w:hAnsi="Arial"/>
          <w:color w:val="000000"/>
        </w:rPr>
        <w:t xml:space="preserve">Eurostat: </w:t>
      </w:r>
      <w:r w:rsidR="002B5989" w:rsidRPr="002B5989">
        <w:rPr>
          <w:rFonts w:ascii="Arial" w:hAnsi="Arial"/>
          <w:color w:val="000000"/>
        </w:rPr>
        <w:t>Online-Datenbank: Durchschnittliches und Median-Einkommen nach Alter und Geschlecht (Stand: 12/2018)</w:t>
      </w:r>
      <w:r w:rsidR="002B5989">
        <w:rPr>
          <w:rFonts w:ascii="Arial" w:hAnsi="Arial"/>
          <w:color w:val="000000"/>
        </w:rPr>
        <w:t xml:space="preserve">, </w:t>
      </w:r>
      <w:r w:rsidR="002B5989" w:rsidRPr="00A22F45">
        <w:rPr>
          <w:rFonts w:ascii="Arial" w:hAnsi="Arial"/>
          <w:color w:val="000000"/>
        </w:rPr>
        <w:t xml:space="preserve">Einkommensverteilung nach </w:t>
      </w:r>
      <w:proofErr w:type="spellStart"/>
      <w:r w:rsidR="002B5989" w:rsidRPr="00A22F45">
        <w:rPr>
          <w:rFonts w:ascii="Arial" w:hAnsi="Arial"/>
          <w:color w:val="000000"/>
        </w:rPr>
        <w:t>Quantilen</w:t>
      </w:r>
      <w:proofErr w:type="spellEnd"/>
      <w:r w:rsidR="002B5989" w:rsidRPr="00A22F45">
        <w:rPr>
          <w:rFonts w:ascii="Arial" w:hAnsi="Arial"/>
          <w:color w:val="000000"/>
        </w:rPr>
        <w:t xml:space="preserve"> (Stand: 11/2018)</w:t>
      </w:r>
    </w:p>
    <w:p w14:paraId="31CC6694" w14:textId="77777777" w:rsidR="00CD7595" w:rsidRPr="002B5989" w:rsidRDefault="00CD7595" w:rsidP="00A22F45">
      <w:pPr>
        <w:suppressAutoHyphens w:val="0"/>
        <w:autoSpaceDE w:val="0"/>
        <w:rPr>
          <w:rFonts w:ascii="Arial" w:hAnsi="Arial"/>
          <w:color w:val="000000"/>
        </w:rPr>
      </w:pPr>
    </w:p>
    <w:p w14:paraId="09881143" w14:textId="77777777" w:rsidR="00CD7595" w:rsidRPr="002B5989" w:rsidRDefault="00CD7595">
      <w:pPr>
        <w:rPr>
          <w:rFonts w:ascii="Arial" w:hAnsi="Arial"/>
          <w:color w:val="FF0000"/>
        </w:rPr>
      </w:pPr>
      <w:r w:rsidRPr="002B5989">
        <w:rPr>
          <w:rFonts w:ascii="Arial" w:hAnsi="Arial"/>
          <w:color w:val="FF0000"/>
        </w:rPr>
        <w:t>Begriffe, methodische Anmerkungen oder Lesehilfen</w:t>
      </w:r>
    </w:p>
    <w:p w14:paraId="440AF47B" w14:textId="77777777" w:rsidR="00CD7595" w:rsidRPr="002B5989" w:rsidRDefault="00CD7595">
      <w:pPr>
        <w:rPr>
          <w:rFonts w:ascii="Arial" w:hAnsi="Arial"/>
          <w:color w:val="000000"/>
        </w:rPr>
      </w:pPr>
    </w:p>
    <w:p w14:paraId="7351F4E9" w14:textId="77777777" w:rsidR="00C05E2A" w:rsidRDefault="00C05E2A" w:rsidP="00C05E2A">
      <w:pPr>
        <w:rPr>
          <w:rFonts w:ascii="Arial" w:hAnsi="Arial"/>
          <w:color w:val="000000"/>
        </w:rPr>
      </w:pPr>
      <w:r>
        <w:rPr>
          <w:rFonts w:ascii="Arial" w:hAnsi="Arial"/>
          <w:color w:val="000000"/>
        </w:rPr>
        <w:t xml:space="preserve">Informationen zur </w:t>
      </w:r>
      <w:r w:rsidRPr="002C370F">
        <w:rPr>
          <w:rFonts w:ascii="Arial" w:hAnsi="Arial"/>
          <w:b/>
          <w:color w:val="000000"/>
        </w:rPr>
        <w:t>Einkommensverteilung</w:t>
      </w:r>
      <w:r>
        <w:rPr>
          <w:rFonts w:ascii="Arial" w:hAnsi="Arial"/>
          <w:color w:val="000000"/>
        </w:rPr>
        <w:t xml:space="preserve"> erhalten Sie hier: </w:t>
      </w:r>
      <w:hyperlink r:id="rId5" w:history="1">
        <w:r w:rsidRPr="00344171">
          <w:rPr>
            <w:rStyle w:val="Hyperlink"/>
            <w:rFonts w:ascii="Arial" w:hAnsi="Arial"/>
          </w:rPr>
          <w:t>http://www.bpb.de/70643</w:t>
        </w:r>
      </w:hyperlink>
    </w:p>
    <w:p w14:paraId="2A2D93DE" w14:textId="77777777" w:rsidR="00C05E2A" w:rsidRDefault="00C05E2A" w:rsidP="00C05E2A">
      <w:pPr>
        <w:rPr>
          <w:rFonts w:ascii="Arial" w:hAnsi="Arial"/>
          <w:color w:val="000000"/>
        </w:rPr>
      </w:pPr>
    </w:p>
    <w:p w14:paraId="318E83FD" w14:textId="77777777" w:rsidR="00C05E2A" w:rsidRPr="002E0F48" w:rsidRDefault="00C05E2A" w:rsidP="00C05E2A">
      <w:pPr>
        <w:rPr>
          <w:rFonts w:ascii="Arial" w:hAnsi="Arial" w:cs="Arial"/>
          <w:color w:val="000000"/>
        </w:rPr>
      </w:pPr>
      <w:r w:rsidRPr="002E0F48">
        <w:rPr>
          <w:rFonts w:ascii="Arial" w:hAnsi="Arial" w:cs="Arial"/>
          <w:color w:val="000000"/>
        </w:rPr>
        <w:t xml:space="preserve">Weitere Informationen zur </w:t>
      </w:r>
      <w:r w:rsidRPr="002E0F48">
        <w:rPr>
          <w:rFonts w:ascii="Arial" w:hAnsi="Arial" w:cs="Arial"/>
          <w:b/>
          <w:color w:val="000000"/>
        </w:rPr>
        <w:t xml:space="preserve">Einkommensungleichheit </w:t>
      </w:r>
      <w:r w:rsidRPr="002E0F48">
        <w:rPr>
          <w:rFonts w:ascii="Arial" w:hAnsi="Arial" w:cs="Arial"/>
          <w:color w:val="000000"/>
        </w:rPr>
        <w:t xml:space="preserve">erhalten Sie hier: </w:t>
      </w:r>
      <w:hyperlink r:id="rId6" w:history="1">
        <w:r w:rsidRPr="002E0F48">
          <w:rPr>
            <w:rStyle w:val="Hyperlink"/>
            <w:rFonts w:ascii="Arial" w:hAnsi="Arial" w:cs="Arial"/>
          </w:rPr>
          <w:t>http://www.bpb.de/70631</w:t>
        </w:r>
      </w:hyperlink>
    </w:p>
    <w:p w14:paraId="436A60AB" w14:textId="77777777" w:rsidR="00C05E2A" w:rsidRPr="002E0F48" w:rsidRDefault="00C05E2A" w:rsidP="00C05E2A">
      <w:pPr>
        <w:rPr>
          <w:rFonts w:ascii="Arial" w:hAnsi="Arial" w:cs="Arial"/>
          <w:color w:val="000000"/>
        </w:rPr>
      </w:pPr>
    </w:p>
    <w:p w14:paraId="630B5F34" w14:textId="77777777" w:rsidR="006C749E" w:rsidRDefault="006C749E" w:rsidP="006C749E">
      <w:pPr>
        <w:rPr>
          <w:rFonts w:ascii="Arial" w:hAnsi="Arial" w:cs="Arial"/>
          <w:color w:val="363636"/>
          <w:shd w:val="clear" w:color="auto" w:fill="FFFFFF"/>
        </w:rPr>
      </w:pPr>
      <w:r w:rsidRPr="002B5989">
        <w:rPr>
          <w:rFonts w:ascii="Arial" w:hAnsi="Arial" w:cs="Arial"/>
          <w:color w:val="363636"/>
          <w:shd w:val="clear" w:color="auto" w:fill="FFFFFF"/>
        </w:rPr>
        <w:t>Zur Ermittlung des Einkommens wird zunächst das von allen Haushaltsmitgliedern tatsächlich erzielte Haushaltseinkommen</w:t>
      </w:r>
      <w:r w:rsidRPr="00ED3843">
        <w:rPr>
          <w:rFonts w:ascii="Arial" w:hAnsi="Arial" w:cs="Arial"/>
          <w:color w:val="363636"/>
          <w:shd w:val="clear" w:color="auto" w:fill="FFFFFF"/>
        </w:rPr>
        <w:t xml:space="preserve"> zusammengefasst. Anschließend wird das </w:t>
      </w:r>
      <w:r w:rsidRPr="00ED3843">
        <w:rPr>
          <w:rFonts w:ascii="Arial" w:hAnsi="Arial" w:cs="Arial"/>
          <w:color w:val="363636"/>
          <w:shd w:val="clear" w:color="auto" w:fill="FFFFFF"/>
        </w:rPr>
        <w:lastRenderedPageBreak/>
        <w:t xml:space="preserve">verfügbare Einkommen gewichtetet bzw. das sogenannte </w:t>
      </w:r>
      <w:r w:rsidRPr="00ED3843">
        <w:rPr>
          <w:rFonts w:ascii="Arial" w:hAnsi="Arial" w:cs="Arial"/>
          <w:b/>
          <w:color w:val="363636"/>
          <w:shd w:val="clear" w:color="auto" w:fill="FFFFFF"/>
        </w:rPr>
        <w:t>Ä</w:t>
      </w:r>
      <w:r w:rsidRPr="00ED3843">
        <w:rPr>
          <w:rStyle w:val="Fett"/>
          <w:rFonts w:ascii="Arial" w:hAnsi="Arial" w:cs="Arial"/>
          <w:color w:val="363636"/>
          <w:shd w:val="clear" w:color="auto" w:fill="FFFFFF"/>
        </w:rPr>
        <w:t>quivalenzeinkommen </w:t>
      </w:r>
      <w:r w:rsidRPr="00ED3843">
        <w:rPr>
          <w:rFonts w:ascii="Arial" w:hAnsi="Arial" w:cs="Arial"/>
          <w:color w:val="363636"/>
          <w:shd w:val="clear" w:color="auto" w:fill="FFFFFF"/>
        </w:rPr>
        <w:t>ermittelt. Dazu wird das verfügbare Haushaltseinkommen unter Berücksichtigung eines Gewichtungsschlüssels (Äquivalenzskala) geteilt. Die Äquivalenzskala weist dabei der ersten erwachsenen Person stets das Gewicht 1 zu. Weitere Erwachsene und Kinder ab 14 Jahren erhalten das Gewicht 0,5, Kinder unter 14 Jahren das Gewicht 0,3.</w:t>
      </w:r>
    </w:p>
    <w:p w14:paraId="46503AFC" w14:textId="77777777" w:rsidR="006C749E" w:rsidRDefault="006C749E" w:rsidP="006C749E">
      <w:pPr>
        <w:rPr>
          <w:rFonts w:ascii="Arial" w:hAnsi="Arial" w:cs="Arial"/>
          <w:color w:val="363636"/>
          <w:shd w:val="clear" w:color="auto" w:fill="FFFFFF"/>
        </w:rPr>
      </w:pPr>
    </w:p>
    <w:p w14:paraId="0EF3C15F" w14:textId="77777777" w:rsidR="00CD7595" w:rsidRDefault="006C749E">
      <w:pPr>
        <w:rPr>
          <w:rFonts w:ascii="Arial" w:hAnsi="Arial" w:cs="Arial"/>
          <w:color w:val="363636"/>
          <w:shd w:val="clear" w:color="auto" w:fill="FFFFFF"/>
        </w:rPr>
      </w:pPr>
      <w:r w:rsidRPr="00ED3843">
        <w:rPr>
          <w:rStyle w:val="Fett"/>
          <w:rFonts w:ascii="Arial" w:hAnsi="Arial" w:cs="Arial"/>
          <w:color w:val="363636"/>
          <w:shd w:val="clear" w:color="auto" w:fill="FFFFFF"/>
        </w:rPr>
        <w:t>Ein Beispiel: </w:t>
      </w:r>
      <w:r w:rsidRPr="00ED3843">
        <w:rPr>
          <w:rFonts w:ascii="Arial" w:hAnsi="Arial" w:cs="Arial"/>
          <w:color w:val="363636"/>
          <w:shd w:val="clear" w:color="auto" w:fill="FFFFFF"/>
        </w:rPr>
        <w:t>Eine Familie mit zwei Erwachsenen und zwei Kindern unter 14 Jahren hat nach der Äquivalenzskala das Gesamtgewicht 2,1 (1 plus 0,5 plus 0,3 plus 0,3). Zu Berechnung des Äquivalenzeinkommens muss das verfügbare Haushaltseinkommen demnach durch 2,1 – und nicht durch die Anzahl der Personen – geteilt werden. Bei einem verfügbaren Haushaltseinkommen von beispielsweise 2.100 Euro hat jedes der vier Haushaltsmitglieder ein Äquivalenzeinkommen von 1.000 Euro. </w:t>
      </w:r>
      <w:r w:rsidRPr="00ED3843">
        <w:rPr>
          <w:rFonts w:ascii="Arial" w:hAnsi="Arial" w:cs="Arial"/>
          <w:color w:val="363636"/>
        </w:rPr>
        <w:br/>
      </w:r>
      <w:r w:rsidRPr="00ED3843">
        <w:rPr>
          <w:rFonts w:ascii="Arial" w:hAnsi="Arial" w:cs="Arial"/>
          <w:color w:val="000000"/>
        </w:rPr>
        <w:br/>
      </w:r>
      <w:r>
        <w:rPr>
          <w:rFonts w:ascii="Arial" w:hAnsi="Arial" w:cs="Arial"/>
          <w:color w:val="363636"/>
          <w:shd w:val="clear" w:color="auto" w:fill="FFFFFF"/>
        </w:rPr>
        <w:t xml:space="preserve">Zur Berechnung des </w:t>
      </w:r>
      <w:r w:rsidRPr="00ED3843">
        <w:rPr>
          <w:rFonts w:ascii="Arial" w:hAnsi="Arial" w:cs="Arial"/>
          <w:b/>
          <w:color w:val="363636"/>
          <w:shd w:val="clear" w:color="auto" w:fill="FFFFFF"/>
        </w:rPr>
        <w:t>Median</w:t>
      </w:r>
      <w:r w:rsidRPr="00ED3843">
        <w:rPr>
          <w:rFonts w:ascii="Arial" w:hAnsi="Arial" w:cs="Arial"/>
          <w:color w:val="363636"/>
          <w:shd w:val="clear" w:color="auto" w:fill="FFFFFF"/>
        </w:rPr>
        <w:t xml:space="preserve"> (Zentralwert) werden </w:t>
      </w:r>
      <w:r>
        <w:rPr>
          <w:rFonts w:ascii="Arial" w:hAnsi="Arial" w:cs="Arial"/>
          <w:color w:val="363636"/>
          <w:shd w:val="clear" w:color="auto" w:fill="FFFFFF"/>
        </w:rPr>
        <w:t xml:space="preserve">hier </w:t>
      </w:r>
      <w:r w:rsidRPr="00ED3843">
        <w:rPr>
          <w:rFonts w:ascii="Arial" w:hAnsi="Arial" w:cs="Arial"/>
          <w:color w:val="363636"/>
          <w:shd w:val="clear" w:color="auto" w:fill="FFFFFF"/>
        </w:rPr>
        <w:t>alle Personen ihrem gewichteten Einkommen nach aufsteigend sortiert. Der Median ist der Einkommenswert derjenigen Person, die die Bevölkerung in genau zwei Hälften teilt. Das heißt, die eine Hälfte hat ein höheres, die andere ein niedrigeres gewichtetes Einkommen.</w:t>
      </w:r>
      <w:r w:rsidR="00C077AC">
        <w:rPr>
          <w:rFonts w:ascii="Arial" w:hAnsi="Arial" w:cs="Arial"/>
          <w:color w:val="363636"/>
          <w:shd w:val="clear" w:color="auto" w:fill="FFFFFF"/>
        </w:rPr>
        <w:t xml:space="preserve"> </w:t>
      </w:r>
      <w:r w:rsidR="00CD7595" w:rsidRPr="006C749E">
        <w:rPr>
          <w:rFonts w:ascii="Arial" w:hAnsi="Arial" w:cs="Arial"/>
          <w:color w:val="363636"/>
          <w:shd w:val="clear" w:color="auto" w:fill="FFFFFF"/>
        </w:rPr>
        <w:t>Hingegen wird zur Berechnung des Durchschnittseinkommens (arithmetisches Mittel) die Summe aller gewichteten Einkommen durch die Anzahl aller gewichteten Einkommen geteilt.</w:t>
      </w:r>
    </w:p>
    <w:p w14:paraId="384E1B99" w14:textId="77777777" w:rsidR="006C749E" w:rsidRDefault="006C749E" w:rsidP="006C749E">
      <w:pPr>
        <w:rPr>
          <w:rFonts w:ascii="Arial" w:hAnsi="Arial" w:cs="Arial"/>
          <w:color w:val="363636"/>
          <w:shd w:val="clear" w:color="auto" w:fill="FFFFFF"/>
        </w:rPr>
      </w:pPr>
    </w:p>
    <w:p w14:paraId="27859E5E" w14:textId="77777777" w:rsidR="00C05E2A" w:rsidRDefault="00C05E2A" w:rsidP="00C05E2A">
      <w:pPr>
        <w:rPr>
          <w:rFonts w:ascii="Arial" w:hAnsi="Arial"/>
          <w:color w:val="000000"/>
        </w:rPr>
      </w:pPr>
      <w:r w:rsidRPr="003D7FBB">
        <w:rPr>
          <w:rFonts w:ascii="Arial" w:hAnsi="Arial"/>
          <w:color w:val="000000"/>
        </w:rPr>
        <w:t xml:space="preserve">Mitglieder des </w:t>
      </w:r>
      <w:r w:rsidRPr="003D7FBB">
        <w:rPr>
          <w:rFonts w:ascii="Arial" w:hAnsi="Arial"/>
          <w:b/>
          <w:color w:val="000000"/>
        </w:rPr>
        <w:t>Euroraums</w:t>
      </w:r>
      <w:r w:rsidRPr="003D7FBB">
        <w:rPr>
          <w:rFonts w:ascii="Arial" w:hAnsi="Arial"/>
          <w:color w:val="000000"/>
        </w:rPr>
        <w:t xml:space="preserve"> im Jahr 2017: Belgien, Deutschland, Estland, Finnland, Frankreich, Griechenland, Irland, Italien, Lettland, Litauen, Luxemburg, Malta, Niederlande, Österreich, Portugal, Slowakei, Slowenien, Spanien und Zypern.</w:t>
      </w:r>
    </w:p>
    <w:p w14:paraId="4C193132" w14:textId="77777777" w:rsidR="00C05E2A" w:rsidRDefault="00C05E2A" w:rsidP="00C05E2A">
      <w:pPr>
        <w:rPr>
          <w:rFonts w:ascii="Arial" w:hAnsi="Arial"/>
          <w:color w:val="000000"/>
        </w:rPr>
      </w:pPr>
    </w:p>
    <w:p w14:paraId="7D813C14" w14:textId="77777777" w:rsidR="006C749E" w:rsidRPr="00ED3843" w:rsidRDefault="006C749E" w:rsidP="006C749E">
      <w:pPr>
        <w:pStyle w:val="StandardWeb"/>
        <w:tabs>
          <w:tab w:val="left" w:pos="1046"/>
        </w:tabs>
        <w:spacing w:before="0" w:after="0"/>
        <w:rPr>
          <w:rFonts w:ascii="Arial" w:hAnsi="Arial" w:cs="Arial"/>
          <w:sz w:val="20"/>
          <w:szCs w:val="20"/>
        </w:rPr>
      </w:pPr>
      <w:r w:rsidRPr="00ED3843">
        <w:rPr>
          <w:rFonts w:ascii="Arial" w:hAnsi="Arial" w:cs="Arial"/>
          <w:sz w:val="20"/>
          <w:szCs w:val="20"/>
        </w:rPr>
        <w:t xml:space="preserve">Dieser Text ist unter der Creative </w:t>
      </w:r>
      <w:proofErr w:type="spellStart"/>
      <w:r w:rsidRPr="00ED3843">
        <w:rPr>
          <w:rFonts w:ascii="Arial" w:hAnsi="Arial" w:cs="Arial"/>
          <w:sz w:val="20"/>
          <w:szCs w:val="20"/>
        </w:rPr>
        <w:t>Commons</w:t>
      </w:r>
      <w:proofErr w:type="spellEnd"/>
      <w:r w:rsidRPr="00ED3843">
        <w:rPr>
          <w:rFonts w:ascii="Arial" w:hAnsi="Arial" w:cs="Arial"/>
          <w:sz w:val="20"/>
          <w:szCs w:val="20"/>
        </w:rPr>
        <w:t xml:space="preserve"> Lizenz </w:t>
      </w:r>
      <w:proofErr w:type="spellStart"/>
      <w:r w:rsidRPr="00ED3843">
        <w:rPr>
          <w:rFonts w:ascii="Arial" w:hAnsi="Arial" w:cs="Arial"/>
          <w:sz w:val="20"/>
          <w:szCs w:val="20"/>
        </w:rPr>
        <w:t>by-nc-nd</w:t>
      </w:r>
      <w:proofErr w:type="spellEnd"/>
      <w:r w:rsidRPr="00ED3843">
        <w:rPr>
          <w:rFonts w:ascii="Arial" w:hAnsi="Arial" w:cs="Arial"/>
          <w:sz w:val="20"/>
          <w:szCs w:val="20"/>
        </w:rPr>
        <w:t>/3.0/de/ veröffentlicht.</w:t>
      </w:r>
    </w:p>
    <w:p w14:paraId="61EAC133" w14:textId="77777777" w:rsidR="006C749E" w:rsidRPr="006C749E" w:rsidRDefault="006C749E" w:rsidP="006C749E">
      <w:pPr>
        <w:pStyle w:val="StandardWeb"/>
        <w:tabs>
          <w:tab w:val="left" w:pos="1046"/>
        </w:tabs>
        <w:spacing w:before="0" w:after="0"/>
        <w:rPr>
          <w:rFonts w:ascii="Arial" w:hAnsi="Arial" w:cs="Arial"/>
          <w:sz w:val="20"/>
          <w:szCs w:val="20"/>
        </w:rPr>
      </w:pPr>
      <w:r w:rsidRPr="00ED3843">
        <w:rPr>
          <w:rFonts w:ascii="Arial" w:hAnsi="Arial" w:cs="Arial"/>
          <w:sz w:val="20"/>
          <w:szCs w:val="20"/>
        </w:rPr>
        <w:t>Bundeszentrale für politische Bildung 201</w:t>
      </w:r>
      <w:r>
        <w:rPr>
          <w:rFonts w:ascii="Arial" w:hAnsi="Arial" w:cs="Arial"/>
          <w:sz w:val="20"/>
          <w:szCs w:val="20"/>
        </w:rPr>
        <w:t>9</w:t>
      </w:r>
      <w:r w:rsidRPr="00ED3843">
        <w:rPr>
          <w:rFonts w:ascii="Arial" w:hAnsi="Arial" w:cs="Arial"/>
          <w:sz w:val="20"/>
          <w:szCs w:val="20"/>
        </w:rPr>
        <w:t xml:space="preserve"> | www.bpb.de</w:t>
      </w:r>
    </w:p>
    <w:sectPr w:rsidR="006C749E" w:rsidRPr="006C749E">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4FA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C5"/>
    <w:rsid w:val="00015922"/>
    <w:rsid w:val="00022B38"/>
    <w:rsid w:val="00096105"/>
    <w:rsid w:val="00122BE7"/>
    <w:rsid w:val="001A24C9"/>
    <w:rsid w:val="001E1F6B"/>
    <w:rsid w:val="00206C25"/>
    <w:rsid w:val="00237807"/>
    <w:rsid w:val="0025319D"/>
    <w:rsid w:val="002B5989"/>
    <w:rsid w:val="002B5EE8"/>
    <w:rsid w:val="002F45A7"/>
    <w:rsid w:val="003202B1"/>
    <w:rsid w:val="003E48D8"/>
    <w:rsid w:val="00470E90"/>
    <w:rsid w:val="004945DA"/>
    <w:rsid w:val="00507E17"/>
    <w:rsid w:val="00514070"/>
    <w:rsid w:val="005E03D6"/>
    <w:rsid w:val="00613D9F"/>
    <w:rsid w:val="00620A73"/>
    <w:rsid w:val="00646089"/>
    <w:rsid w:val="00670648"/>
    <w:rsid w:val="006C749E"/>
    <w:rsid w:val="006E421E"/>
    <w:rsid w:val="00773330"/>
    <w:rsid w:val="007979F9"/>
    <w:rsid w:val="0083748F"/>
    <w:rsid w:val="008A133C"/>
    <w:rsid w:val="008A1AFF"/>
    <w:rsid w:val="009016E3"/>
    <w:rsid w:val="00931BBA"/>
    <w:rsid w:val="00947676"/>
    <w:rsid w:val="00972BDA"/>
    <w:rsid w:val="009D121C"/>
    <w:rsid w:val="00A22F45"/>
    <w:rsid w:val="00A54FC7"/>
    <w:rsid w:val="00AF545C"/>
    <w:rsid w:val="00B13649"/>
    <w:rsid w:val="00B22D52"/>
    <w:rsid w:val="00B243B1"/>
    <w:rsid w:val="00C01655"/>
    <w:rsid w:val="00C05E2A"/>
    <w:rsid w:val="00C077AC"/>
    <w:rsid w:val="00C8109A"/>
    <w:rsid w:val="00C87D91"/>
    <w:rsid w:val="00CD7595"/>
    <w:rsid w:val="00CE1D07"/>
    <w:rsid w:val="00D56C6B"/>
    <w:rsid w:val="00DB0C48"/>
    <w:rsid w:val="00DD3749"/>
    <w:rsid w:val="00EB3D84"/>
    <w:rsid w:val="00EB4F94"/>
    <w:rsid w:val="00F617C5"/>
    <w:rsid w:val="00FB4A77"/>
    <w:rsid w:val="00FF4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link w:val="berschrift1Zchn"/>
    <w:uiPriority w:val="9"/>
    <w:qFormat/>
    <w:rsid w:val="00EB3D84"/>
    <w:pPr>
      <w:suppressAutoHyphens w:val="0"/>
      <w:spacing w:before="100" w:beforeAutospacing="1" w:after="100" w:afterAutospacing="1"/>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yperlink">
    <w:name w:val="Hyperlink"/>
    <w:basedOn w:val="WW-Absatz-Standardschriftart"/>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prechblasentext">
    <w:name w:val="Balloon Text"/>
    <w:basedOn w:val="Standard"/>
    <w:rPr>
      <w:rFonts w:ascii="Tahoma" w:hAnsi="Tahoma" w:cs="Andale Sans UI"/>
      <w:sz w:val="16"/>
      <w:szCs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character" w:styleId="Fett">
    <w:name w:val="Strong"/>
    <w:basedOn w:val="Absatz-Standardschriftart"/>
    <w:uiPriority w:val="22"/>
    <w:qFormat/>
    <w:rsid w:val="006C749E"/>
    <w:rPr>
      <w:b/>
      <w:bCs/>
    </w:rPr>
  </w:style>
  <w:style w:type="paragraph" w:styleId="StandardWeb">
    <w:name w:val="Normal (Web)"/>
    <w:basedOn w:val="Standard"/>
    <w:uiPriority w:val="99"/>
    <w:rsid w:val="006C749E"/>
    <w:pPr>
      <w:spacing w:before="100" w:after="100"/>
    </w:pPr>
    <w:rPr>
      <w:lang w:eastAsia="zh-CN"/>
    </w:rPr>
  </w:style>
  <w:style w:type="character" w:customStyle="1" w:styleId="berschrift1Zchn">
    <w:name w:val="Überschrift 1 Zchn"/>
    <w:basedOn w:val="Absatz-Standardschriftart"/>
    <w:link w:val="berschrift1"/>
    <w:uiPriority w:val="9"/>
    <w:rsid w:val="00EB3D84"/>
    <w:rPr>
      <w:b/>
      <w:bCs/>
      <w:kern w:val="36"/>
      <w:sz w:val="48"/>
      <w:szCs w:val="48"/>
    </w:rPr>
  </w:style>
  <w:style w:type="paragraph" w:styleId="Kommentarthema">
    <w:name w:val="annotation subject"/>
    <w:basedOn w:val="Kommentartext"/>
    <w:next w:val="Kommentartext"/>
    <w:link w:val="KommentarthemaZchn"/>
    <w:uiPriority w:val="99"/>
    <w:semiHidden/>
    <w:unhideWhenUsed/>
    <w:rsid w:val="001E1F6B"/>
    <w:rPr>
      <w:b/>
      <w:bCs/>
      <w:szCs w:val="20"/>
    </w:rPr>
  </w:style>
  <w:style w:type="character" w:customStyle="1" w:styleId="KommentartextZchn">
    <w:name w:val="Kommentartext Zchn"/>
    <w:basedOn w:val="Absatz-Standardschriftart"/>
    <w:link w:val="Kommentartext"/>
    <w:semiHidden/>
    <w:rsid w:val="001E1F6B"/>
    <w:rPr>
      <w:szCs w:val="24"/>
      <w:lang w:eastAsia="ar-SA"/>
    </w:rPr>
  </w:style>
  <w:style w:type="character" w:customStyle="1" w:styleId="KommentarthemaZchn">
    <w:name w:val="Kommentarthema Zchn"/>
    <w:basedOn w:val="KommentartextZchn"/>
    <w:link w:val="Kommentarthema"/>
    <w:uiPriority w:val="99"/>
    <w:semiHidden/>
    <w:rsid w:val="001E1F6B"/>
    <w:rPr>
      <w:b/>
      <w:bCs/>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link w:val="berschrift1Zchn"/>
    <w:uiPriority w:val="9"/>
    <w:qFormat/>
    <w:rsid w:val="00EB3D84"/>
    <w:pPr>
      <w:suppressAutoHyphens w:val="0"/>
      <w:spacing w:before="100" w:beforeAutospacing="1" w:after="100" w:afterAutospacing="1"/>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yperlink">
    <w:name w:val="Hyperlink"/>
    <w:basedOn w:val="WW-Absatz-Standardschriftart"/>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prechblasentext">
    <w:name w:val="Balloon Text"/>
    <w:basedOn w:val="Standard"/>
    <w:rPr>
      <w:rFonts w:ascii="Tahoma" w:hAnsi="Tahoma" w:cs="Andale Sans UI"/>
      <w:sz w:val="16"/>
      <w:szCs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character" w:styleId="Fett">
    <w:name w:val="Strong"/>
    <w:basedOn w:val="Absatz-Standardschriftart"/>
    <w:uiPriority w:val="22"/>
    <w:qFormat/>
    <w:rsid w:val="006C749E"/>
    <w:rPr>
      <w:b/>
      <w:bCs/>
    </w:rPr>
  </w:style>
  <w:style w:type="paragraph" w:styleId="StandardWeb">
    <w:name w:val="Normal (Web)"/>
    <w:basedOn w:val="Standard"/>
    <w:uiPriority w:val="99"/>
    <w:rsid w:val="006C749E"/>
    <w:pPr>
      <w:spacing w:before="100" w:after="100"/>
    </w:pPr>
    <w:rPr>
      <w:lang w:eastAsia="zh-CN"/>
    </w:rPr>
  </w:style>
  <w:style w:type="character" w:customStyle="1" w:styleId="berschrift1Zchn">
    <w:name w:val="Überschrift 1 Zchn"/>
    <w:basedOn w:val="Absatz-Standardschriftart"/>
    <w:link w:val="berschrift1"/>
    <w:uiPriority w:val="9"/>
    <w:rsid w:val="00EB3D84"/>
    <w:rPr>
      <w:b/>
      <w:bCs/>
      <w:kern w:val="36"/>
      <w:sz w:val="48"/>
      <w:szCs w:val="48"/>
    </w:rPr>
  </w:style>
  <w:style w:type="paragraph" w:styleId="Kommentarthema">
    <w:name w:val="annotation subject"/>
    <w:basedOn w:val="Kommentartext"/>
    <w:next w:val="Kommentartext"/>
    <w:link w:val="KommentarthemaZchn"/>
    <w:uiPriority w:val="99"/>
    <w:semiHidden/>
    <w:unhideWhenUsed/>
    <w:rsid w:val="001E1F6B"/>
    <w:rPr>
      <w:b/>
      <w:bCs/>
      <w:szCs w:val="20"/>
    </w:rPr>
  </w:style>
  <w:style w:type="character" w:customStyle="1" w:styleId="KommentartextZchn">
    <w:name w:val="Kommentartext Zchn"/>
    <w:basedOn w:val="Absatz-Standardschriftart"/>
    <w:link w:val="Kommentartext"/>
    <w:semiHidden/>
    <w:rsid w:val="001E1F6B"/>
    <w:rPr>
      <w:szCs w:val="24"/>
      <w:lang w:eastAsia="ar-SA"/>
    </w:rPr>
  </w:style>
  <w:style w:type="character" w:customStyle="1" w:styleId="KommentarthemaZchn">
    <w:name w:val="Kommentarthema Zchn"/>
    <w:basedOn w:val="KommentartextZchn"/>
    <w:link w:val="Kommentarthema"/>
    <w:uiPriority w:val="99"/>
    <w:semiHidden/>
    <w:rsid w:val="001E1F6B"/>
    <w:rPr>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7504">
      <w:bodyDiv w:val="1"/>
      <w:marLeft w:val="0"/>
      <w:marRight w:val="0"/>
      <w:marTop w:val="0"/>
      <w:marBottom w:val="0"/>
      <w:divBdr>
        <w:top w:val="none" w:sz="0" w:space="0" w:color="auto"/>
        <w:left w:val="none" w:sz="0" w:space="0" w:color="auto"/>
        <w:bottom w:val="none" w:sz="0" w:space="0" w:color="auto"/>
        <w:right w:val="none" w:sz="0" w:space="0" w:color="auto"/>
      </w:divBdr>
      <w:divsChild>
        <w:div w:id="1736120819">
          <w:marLeft w:val="0"/>
          <w:marRight w:val="0"/>
          <w:marTop w:val="0"/>
          <w:marBottom w:val="0"/>
          <w:divBdr>
            <w:top w:val="none" w:sz="0" w:space="0" w:color="auto"/>
            <w:left w:val="none" w:sz="0" w:space="0" w:color="auto"/>
            <w:bottom w:val="none" w:sz="0" w:space="0" w:color="auto"/>
            <w:right w:val="none" w:sz="0" w:space="0" w:color="auto"/>
          </w:divBdr>
          <w:divsChild>
            <w:div w:id="13647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70631" TargetMode="External"/><Relationship Id="rId5" Type="http://schemas.openxmlformats.org/officeDocument/2006/relationships/hyperlink" Target="http://www.bpb.de/70643"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6756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8</cp:revision>
  <cp:lastPrinted>1900-12-31T23:00:00Z</cp:lastPrinted>
  <dcterms:created xsi:type="dcterms:W3CDTF">2019-03-19T08:19:00Z</dcterms:created>
  <dcterms:modified xsi:type="dcterms:W3CDTF">2019-03-31T17:44:00Z</dcterms:modified>
</cp:coreProperties>
</file>