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FC8A0" w14:textId="3E159479" w:rsidR="00C25CB1" w:rsidRDefault="00C25CB1" w:rsidP="000955DC">
      <w:pPr>
        <w:rPr>
          <w:rStyle w:val="Fett"/>
          <w:rFonts w:ascii="Arial" w:hAnsi="Arial" w:cs="Arial"/>
          <w:color w:val="363636"/>
          <w:shd w:val="clear" w:color="auto" w:fill="FFFFFF"/>
        </w:rPr>
      </w:pPr>
      <w:bookmarkStart w:id="0" w:name="_GoBack"/>
      <w:bookmarkEnd w:id="0"/>
      <w:r w:rsidRPr="00C25CB1">
        <w:rPr>
          <w:rStyle w:val="Fett"/>
          <w:rFonts w:ascii="Arial" w:hAnsi="Arial" w:cs="Arial"/>
          <w:color w:val="363636"/>
          <w:shd w:val="clear" w:color="auto" w:fill="FFFFFF"/>
        </w:rPr>
        <w:t xml:space="preserve">Bildung ist nicht nur bei der Persönlichkeitsentwicklung von großer Bedeutung, sie ist auch eine der wichtigsten Voraussetzungen für eine aktive Teilnahme am Erwerbsleben. </w:t>
      </w:r>
      <w:r>
        <w:rPr>
          <w:rStyle w:val="Fett"/>
          <w:rFonts w:ascii="Arial" w:hAnsi="Arial" w:cs="Arial"/>
          <w:color w:val="363636"/>
          <w:shd w:val="clear" w:color="auto" w:fill="FFFFFF"/>
        </w:rPr>
        <w:t>In allen Mitgliedstaaten der Europäischen Union</w:t>
      </w:r>
      <w:r w:rsidR="00E34E14">
        <w:rPr>
          <w:rStyle w:val="Fett"/>
          <w:rFonts w:ascii="Arial" w:hAnsi="Arial" w:cs="Arial"/>
          <w:color w:val="363636"/>
          <w:shd w:val="clear" w:color="auto" w:fill="FFFFFF"/>
        </w:rPr>
        <w:t xml:space="preserve"> </w:t>
      </w:r>
      <w:r w:rsidR="00E34E14" w:rsidRPr="008F4D86">
        <w:rPr>
          <w:rFonts w:ascii="Arial" w:hAnsi="Arial"/>
          <w:b/>
        </w:rPr>
        <w:t>gilt, dass die Erwerbsbeteiligung mit steigendem Bildungsniveau zunimmt.</w:t>
      </w:r>
      <w:r w:rsidR="00E34E14">
        <w:rPr>
          <w:rFonts w:ascii="Arial" w:hAnsi="Arial"/>
          <w:b/>
        </w:rPr>
        <w:t xml:space="preserve"> T</w:t>
      </w:r>
      <w:r>
        <w:rPr>
          <w:rStyle w:val="Fett"/>
          <w:rFonts w:ascii="Arial" w:hAnsi="Arial" w:cs="Arial"/>
          <w:color w:val="363636"/>
          <w:shd w:val="clear" w:color="auto" w:fill="FFFFFF"/>
        </w:rPr>
        <w:t>rotzdem investieren nicht alle Staaten gleichermaßen in den Bildungsbereich.</w:t>
      </w:r>
      <w:r w:rsidRPr="00AF13C7">
        <w:rPr>
          <w:rStyle w:val="Fett"/>
          <w:rFonts w:ascii="Arial" w:hAnsi="Arial" w:cs="Arial"/>
          <w:color w:val="363636"/>
          <w:shd w:val="clear" w:color="auto" w:fill="FFFFFF"/>
        </w:rPr>
        <w:t xml:space="preserve"> Bezogen auf das Bruttoinlandsprodukt waren </w:t>
      </w:r>
      <w:r w:rsidR="00F80E98">
        <w:rPr>
          <w:rStyle w:val="Fett"/>
          <w:rFonts w:ascii="Arial" w:hAnsi="Arial" w:cs="Arial"/>
          <w:color w:val="363636"/>
          <w:shd w:val="clear" w:color="auto" w:fill="FFFFFF"/>
        </w:rPr>
        <w:t xml:space="preserve">in der EU </w:t>
      </w:r>
      <w:r w:rsidRPr="00AF13C7">
        <w:rPr>
          <w:rStyle w:val="Fett"/>
          <w:rFonts w:ascii="Arial" w:hAnsi="Arial" w:cs="Arial"/>
          <w:color w:val="363636"/>
          <w:shd w:val="clear" w:color="auto" w:fill="FFFFFF"/>
        </w:rPr>
        <w:t>die öffentlichen Bildungsausgaben im Jahr 2015 in Schweden (7,1 Prozent) und Finnland (6,8 Prozent) am höchsten. Auf der anderen Seite standen Rumänien (2,7 Prozent), Griechenland (3,7 Prozent), Irland und Tschechien</w:t>
      </w:r>
      <w:r w:rsidR="00F80E98">
        <w:rPr>
          <w:rStyle w:val="Fett"/>
          <w:rFonts w:ascii="Arial" w:hAnsi="Arial" w:cs="Arial"/>
          <w:color w:val="363636"/>
          <w:shd w:val="clear" w:color="auto" w:fill="FFFFFF"/>
        </w:rPr>
        <w:t xml:space="preserve"> </w:t>
      </w:r>
      <w:r w:rsidR="00F80E98" w:rsidRPr="00F80E98">
        <w:rPr>
          <w:rStyle w:val="Fett"/>
          <w:rFonts w:ascii="Arial" w:hAnsi="Arial" w:cs="Arial"/>
          <w:color w:val="363636"/>
          <w:shd w:val="clear" w:color="auto" w:fill="FFFFFF"/>
        </w:rPr>
        <w:t>(3,8 Prozent)</w:t>
      </w:r>
      <w:r w:rsidR="00AF13C7" w:rsidRPr="00AF13C7">
        <w:rPr>
          <w:rStyle w:val="Fett"/>
          <w:rFonts w:ascii="Arial" w:hAnsi="Arial" w:cs="Arial"/>
          <w:color w:val="363636"/>
          <w:shd w:val="clear" w:color="auto" w:fill="FFFFFF"/>
        </w:rPr>
        <w:t xml:space="preserve">. </w:t>
      </w:r>
      <w:r w:rsidRPr="00AF13C7">
        <w:rPr>
          <w:rStyle w:val="Fett"/>
          <w:rFonts w:ascii="Arial" w:hAnsi="Arial" w:cs="Arial"/>
          <w:color w:val="363636"/>
          <w:shd w:val="clear" w:color="auto" w:fill="FFFFFF"/>
        </w:rPr>
        <w:t xml:space="preserve">Deutschland belegte </w:t>
      </w:r>
      <w:r w:rsidR="00AF13C7" w:rsidRPr="00AF13C7">
        <w:rPr>
          <w:rStyle w:val="Fett"/>
          <w:rFonts w:ascii="Arial" w:hAnsi="Arial" w:cs="Arial"/>
          <w:color w:val="363636"/>
          <w:shd w:val="clear" w:color="auto" w:fill="FFFFFF"/>
        </w:rPr>
        <w:t xml:space="preserve">mit öffentlichen Bildungsausgaben in Höhe von 4,5 Prozent des BIP </w:t>
      </w:r>
      <w:r w:rsidRPr="00AF13C7">
        <w:rPr>
          <w:rStyle w:val="Fett"/>
          <w:rFonts w:ascii="Arial" w:hAnsi="Arial" w:cs="Arial"/>
          <w:color w:val="363636"/>
          <w:shd w:val="clear" w:color="auto" w:fill="FFFFFF"/>
        </w:rPr>
        <w:t>unter den 30 hier betrachteten Staaten den 19. Rang.</w:t>
      </w:r>
    </w:p>
    <w:p w14:paraId="0C807394" w14:textId="77777777" w:rsidR="00C25CB1" w:rsidRPr="00AF13C7" w:rsidRDefault="00C25CB1" w:rsidP="000955DC">
      <w:pPr>
        <w:rPr>
          <w:rStyle w:val="Fett"/>
          <w:rFonts w:ascii="Arial" w:hAnsi="Arial" w:cs="Arial"/>
          <w:color w:val="363636"/>
          <w:shd w:val="clear" w:color="auto" w:fill="FFFFFF"/>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F40AD1" w:rsidRDefault="00E16064" w:rsidP="00C2200F">
      <w:pPr>
        <w:rPr>
          <w:rFonts w:ascii="Arial" w:hAnsi="Arial" w:cs="Arial"/>
          <w:color w:val="363636"/>
          <w:shd w:val="clear" w:color="auto" w:fill="FFFFFF"/>
        </w:rPr>
      </w:pPr>
    </w:p>
    <w:p w14:paraId="325532BA" w14:textId="04E913F7" w:rsidR="00F40AD1" w:rsidRDefault="00F566C7" w:rsidP="00341826">
      <w:pPr>
        <w:rPr>
          <w:rFonts w:ascii="Arial" w:hAnsi="Arial" w:cs="Arial"/>
          <w:color w:val="363636"/>
          <w:shd w:val="clear" w:color="auto" w:fill="FFFFFF"/>
        </w:rPr>
      </w:pPr>
      <w:r w:rsidRPr="00F40AD1">
        <w:rPr>
          <w:rFonts w:ascii="Arial" w:hAnsi="Arial" w:cs="Arial"/>
          <w:color w:val="363636"/>
          <w:shd w:val="clear" w:color="auto" w:fill="FFFFFF"/>
        </w:rPr>
        <w:t>Bildung ist nicht nur bei der Persönlichkeitsentwicklung von großer Bedeutung, sie ist auch eine der wichtigsten Voraussetzungen für eine aktive Teilnahme am Erwerbsleben. Sowohl für die Europäische Union insgesamt als auch für alle EU-Mitgliedstaaten ist ein klarer Zusammenhang zwischen der Höhe des Bildungsstandes und der Höhe der Erwerbstätigenquote festzustellen – und dies gilt wiederum sowohl für die Gesamtbevölkerung als auch für eine gesonderte Betrachtung von Männern und Frauen. Auch das Risiko von Armut und/oder Arbeitslosigkeit betroffen zu sein, wird eindeutig vom Bildungsstand beeinflusst.</w:t>
      </w:r>
    </w:p>
    <w:p w14:paraId="37CB3B0B" w14:textId="77777777" w:rsidR="002E2E30" w:rsidRDefault="002E2E30" w:rsidP="00341826">
      <w:pPr>
        <w:rPr>
          <w:rFonts w:ascii="Arial" w:hAnsi="Arial" w:cs="Arial"/>
          <w:color w:val="363636"/>
          <w:shd w:val="clear" w:color="auto" w:fill="FFFFFF"/>
        </w:rPr>
      </w:pPr>
    </w:p>
    <w:p w14:paraId="64410495" w14:textId="1F4E44CD" w:rsidR="002E2E30" w:rsidRDefault="00541DEC" w:rsidP="00541DEC">
      <w:pPr>
        <w:rPr>
          <w:rFonts w:ascii="Arial" w:hAnsi="Arial" w:cs="Arial"/>
          <w:color w:val="363636"/>
          <w:shd w:val="clear" w:color="auto" w:fill="FFFFFF"/>
        </w:rPr>
      </w:pPr>
      <w:r w:rsidRPr="00D60B5D">
        <w:rPr>
          <w:rFonts w:ascii="Arial" w:hAnsi="Arial" w:cs="Arial"/>
          <w:color w:val="363636"/>
          <w:shd w:val="clear" w:color="auto" w:fill="FFFFFF"/>
        </w:rPr>
        <w:t>In Deutschland lagen die öffentlichen Bildungsausgaben im Jahr 201</w:t>
      </w:r>
      <w:r w:rsidR="002E2E30">
        <w:rPr>
          <w:rFonts w:ascii="Arial" w:hAnsi="Arial" w:cs="Arial"/>
          <w:color w:val="363636"/>
          <w:shd w:val="clear" w:color="auto" w:fill="FFFFFF"/>
        </w:rPr>
        <w:t xml:space="preserve">5 bei rund 137 Milliarden Euro. </w:t>
      </w:r>
      <w:r w:rsidRPr="00D60B5D">
        <w:rPr>
          <w:rFonts w:ascii="Arial" w:hAnsi="Arial" w:cs="Arial"/>
          <w:color w:val="363636"/>
          <w:shd w:val="clear" w:color="auto" w:fill="FFFFFF"/>
        </w:rPr>
        <w:t xml:space="preserve">Das entsprach 4,5 Prozent </w:t>
      </w:r>
      <w:r w:rsidR="00053F39">
        <w:rPr>
          <w:rFonts w:ascii="Arial" w:hAnsi="Arial" w:cs="Arial"/>
          <w:color w:val="363636"/>
          <w:shd w:val="clear" w:color="auto" w:fill="FFFFFF"/>
        </w:rPr>
        <w:t xml:space="preserve">des </w:t>
      </w:r>
      <w:r w:rsidR="00F566C7" w:rsidRPr="00D60B5D">
        <w:rPr>
          <w:rFonts w:ascii="Arial" w:hAnsi="Arial" w:cs="Arial"/>
          <w:color w:val="363636"/>
          <w:shd w:val="clear" w:color="auto" w:fill="FFFFFF"/>
        </w:rPr>
        <w:t>Bruttoinlandsprodukt</w:t>
      </w:r>
      <w:r w:rsidR="00053F39">
        <w:rPr>
          <w:rFonts w:ascii="Arial" w:hAnsi="Arial" w:cs="Arial"/>
          <w:color w:val="363636"/>
          <w:shd w:val="clear" w:color="auto" w:fill="FFFFFF"/>
        </w:rPr>
        <w:t>s</w:t>
      </w:r>
      <w:r w:rsidR="00F566C7" w:rsidRPr="00D60B5D">
        <w:rPr>
          <w:rFonts w:ascii="Arial" w:hAnsi="Arial" w:cs="Arial"/>
          <w:color w:val="363636"/>
          <w:shd w:val="clear" w:color="auto" w:fill="FFFFFF"/>
        </w:rPr>
        <w:t xml:space="preserve"> (BIP)</w:t>
      </w:r>
      <w:r w:rsidRPr="00D60B5D">
        <w:rPr>
          <w:rFonts w:ascii="Arial" w:hAnsi="Arial" w:cs="Arial"/>
          <w:color w:val="363636"/>
          <w:shd w:val="clear" w:color="auto" w:fill="FFFFFF"/>
        </w:rPr>
        <w:t xml:space="preserve">. Bezogen auf die 30 Staaten, zu denen Eurostat Daten bereitstellt, </w:t>
      </w:r>
      <w:r w:rsidR="00F566C7" w:rsidRPr="00D60B5D">
        <w:rPr>
          <w:rFonts w:ascii="Arial" w:hAnsi="Arial" w:cs="Arial"/>
          <w:color w:val="363636"/>
          <w:shd w:val="clear" w:color="auto" w:fill="FFFFFF"/>
        </w:rPr>
        <w:t xml:space="preserve">waren die Bildungsausgaben </w:t>
      </w:r>
      <w:r w:rsidRPr="00D60B5D">
        <w:rPr>
          <w:rFonts w:ascii="Arial" w:hAnsi="Arial" w:cs="Arial"/>
          <w:color w:val="363636"/>
          <w:shd w:val="clear" w:color="auto" w:fill="FFFFFF"/>
        </w:rPr>
        <w:t xml:space="preserve">gemessen am BIP </w:t>
      </w:r>
      <w:r w:rsidR="00F566C7" w:rsidRPr="00D60B5D">
        <w:rPr>
          <w:rFonts w:ascii="Arial" w:hAnsi="Arial" w:cs="Arial"/>
          <w:color w:val="363636"/>
          <w:shd w:val="clear" w:color="auto" w:fill="FFFFFF"/>
        </w:rPr>
        <w:t xml:space="preserve">in </w:t>
      </w:r>
      <w:r w:rsidR="0023615A" w:rsidRPr="00D60B5D">
        <w:rPr>
          <w:rFonts w:ascii="Arial" w:hAnsi="Arial" w:cs="Arial"/>
          <w:color w:val="363636"/>
          <w:shd w:val="clear" w:color="auto" w:fill="FFFFFF"/>
        </w:rPr>
        <w:t xml:space="preserve">Schweden (7,1 Prozent), Island und Finnland (6,8 Prozent), Norwegen (6,7 Prozent) sowie Belgien und Zypern (6,4 Prozent) </w:t>
      </w:r>
      <w:r w:rsidRPr="00D60B5D">
        <w:rPr>
          <w:rFonts w:ascii="Arial" w:hAnsi="Arial" w:cs="Arial"/>
          <w:color w:val="363636"/>
          <w:shd w:val="clear" w:color="auto" w:fill="FFFFFF"/>
        </w:rPr>
        <w:t>am höchsten.</w:t>
      </w:r>
      <w:r w:rsidR="00FE0093">
        <w:rPr>
          <w:rFonts w:ascii="Arial" w:hAnsi="Arial" w:cs="Arial"/>
          <w:color w:val="363636"/>
          <w:shd w:val="clear" w:color="auto" w:fill="FFFFFF"/>
        </w:rPr>
        <w:t xml:space="preserve"> </w:t>
      </w:r>
      <w:r w:rsidR="00F566C7" w:rsidRPr="00D60B5D">
        <w:rPr>
          <w:rFonts w:ascii="Arial" w:hAnsi="Arial" w:cs="Arial"/>
          <w:color w:val="363636"/>
          <w:shd w:val="clear" w:color="auto" w:fill="FFFFFF"/>
        </w:rPr>
        <w:t xml:space="preserve">Hingegen hatten die </w:t>
      </w:r>
      <w:r w:rsidRPr="00D60B5D">
        <w:rPr>
          <w:rFonts w:ascii="Arial" w:hAnsi="Arial" w:cs="Arial"/>
          <w:color w:val="363636"/>
          <w:shd w:val="clear" w:color="auto" w:fill="FFFFFF"/>
        </w:rPr>
        <w:t xml:space="preserve">öffentlichen </w:t>
      </w:r>
      <w:r w:rsidR="00F566C7" w:rsidRPr="00D60B5D">
        <w:rPr>
          <w:rFonts w:ascii="Arial" w:hAnsi="Arial" w:cs="Arial"/>
          <w:color w:val="363636"/>
          <w:shd w:val="clear" w:color="auto" w:fill="FFFFFF"/>
        </w:rPr>
        <w:t>Bildungsausgaben in</w:t>
      </w:r>
      <w:r w:rsidR="0023615A" w:rsidRPr="00D60B5D">
        <w:rPr>
          <w:rFonts w:ascii="Arial" w:hAnsi="Arial" w:cs="Arial"/>
          <w:color w:val="363636"/>
          <w:shd w:val="clear" w:color="auto" w:fill="FFFFFF"/>
        </w:rPr>
        <w:t xml:space="preserve"> Rumänien (2,7 Prozent), Griechenland (3,7 Prozent), Irland, Tschechien und Serbien (3,8 Prozent) sowie Luxemburg und Bulgarien (3,9 Prozent) </w:t>
      </w:r>
      <w:r w:rsidR="00F566C7" w:rsidRPr="00D60B5D">
        <w:rPr>
          <w:rFonts w:ascii="Arial" w:hAnsi="Arial" w:cs="Arial"/>
          <w:color w:val="363636"/>
          <w:shd w:val="clear" w:color="auto" w:fill="FFFFFF"/>
        </w:rPr>
        <w:t>einen vergleichsweise geringen Anteil am jeweiligen BIP.</w:t>
      </w:r>
      <w:r w:rsidR="00FE0093">
        <w:rPr>
          <w:rFonts w:ascii="Arial" w:hAnsi="Arial" w:cs="Arial"/>
          <w:color w:val="363636"/>
          <w:shd w:val="clear" w:color="auto" w:fill="FFFFFF"/>
        </w:rPr>
        <w:t xml:space="preserve"> </w:t>
      </w:r>
      <w:r w:rsidR="0023615A" w:rsidRPr="00D60B5D">
        <w:rPr>
          <w:rFonts w:ascii="Arial" w:hAnsi="Arial" w:cs="Arial"/>
          <w:color w:val="363636"/>
          <w:shd w:val="clear" w:color="auto" w:fill="FFFFFF"/>
        </w:rPr>
        <w:t>Deutschland belegte u</w:t>
      </w:r>
      <w:r w:rsidR="00F566C7" w:rsidRPr="00D60B5D">
        <w:rPr>
          <w:rFonts w:ascii="Arial" w:hAnsi="Arial" w:cs="Arial"/>
          <w:color w:val="363636"/>
          <w:shd w:val="clear" w:color="auto" w:fill="FFFFFF"/>
        </w:rPr>
        <w:t>nter den 3</w:t>
      </w:r>
      <w:r w:rsidRPr="00D60B5D">
        <w:rPr>
          <w:rFonts w:ascii="Arial" w:hAnsi="Arial" w:cs="Arial"/>
          <w:color w:val="363636"/>
          <w:shd w:val="clear" w:color="auto" w:fill="FFFFFF"/>
        </w:rPr>
        <w:t>0</w:t>
      </w:r>
      <w:r w:rsidR="00F566C7" w:rsidRPr="00D60B5D">
        <w:rPr>
          <w:rFonts w:ascii="Arial" w:hAnsi="Arial" w:cs="Arial"/>
          <w:color w:val="363636"/>
          <w:shd w:val="clear" w:color="auto" w:fill="FFFFFF"/>
        </w:rPr>
        <w:t xml:space="preserve"> hier betrachteten Staaten </w:t>
      </w:r>
      <w:r w:rsidRPr="00D60B5D">
        <w:rPr>
          <w:rFonts w:ascii="Arial" w:hAnsi="Arial" w:cs="Arial"/>
          <w:color w:val="363636"/>
          <w:shd w:val="clear" w:color="auto" w:fill="FFFFFF"/>
        </w:rPr>
        <w:t>den 19</w:t>
      </w:r>
      <w:r w:rsidR="00F566C7" w:rsidRPr="00D60B5D">
        <w:rPr>
          <w:rFonts w:ascii="Arial" w:hAnsi="Arial" w:cs="Arial"/>
          <w:color w:val="363636"/>
          <w:shd w:val="clear" w:color="auto" w:fill="FFFFFF"/>
        </w:rPr>
        <w:t>. Rang.</w:t>
      </w:r>
    </w:p>
    <w:p w14:paraId="63487186" w14:textId="77777777" w:rsidR="002E2E30" w:rsidRDefault="002E2E30" w:rsidP="00541DEC">
      <w:pPr>
        <w:rPr>
          <w:rFonts w:ascii="Arial" w:hAnsi="Arial" w:cs="Arial"/>
          <w:color w:val="363636"/>
          <w:shd w:val="clear" w:color="auto" w:fill="FFFFFF"/>
        </w:rPr>
      </w:pPr>
    </w:p>
    <w:p w14:paraId="1A0EC9DE" w14:textId="53C050F9" w:rsidR="00BF511E" w:rsidRDefault="00F566C7" w:rsidP="00541DEC">
      <w:pPr>
        <w:rPr>
          <w:rFonts w:ascii="Arial" w:hAnsi="Arial" w:cs="Arial"/>
          <w:color w:val="363636"/>
          <w:shd w:val="clear" w:color="auto" w:fill="FFFFFF"/>
        </w:rPr>
      </w:pPr>
      <w:r w:rsidRPr="00FE0093">
        <w:rPr>
          <w:rFonts w:ascii="Arial" w:hAnsi="Arial" w:cs="Arial"/>
          <w:color w:val="363636"/>
          <w:shd w:val="clear" w:color="auto" w:fill="FFFFFF"/>
        </w:rPr>
        <w:t xml:space="preserve">Allerdings ist der Anteil der </w:t>
      </w:r>
      <w:r w:rsidR="00FE0093">
        <w:rPr>
          <w:rFonts w:ascii="Arial" w:hAnsi="Arial" w:cs="Arial"/>
          <w:color w:val="363636"/>
          <w:shd w:val="clear" w:color="auto" w:fill="FFFFFF"/>
        </w:rPr>
        <w:t xml:space="preserve">öffentlichen </w:t>
      </w:r>
      <w:r w:rsidRPr="00FE0093">
        <w:rPr>
          <w:rFonts w:ascii="Arial" w:hAnsi="Arial" w:cs="Arial"/>
          <w:color w:val="363636"/>
          <w:shd w:val="clear" w:color="auto" w:fill="FFFFFF"/>
        </w:rPr>
        <w:t>Bildungsausgaben am BIP nur einer von mehreren Indikatoren, die Auskunft über den Bildungsstand eines Landes geben. Abgesehen davon, dass dieser Wert die konkrete Verwendung der Mittel außer Acht lässt, kann der Bildungsstand auch dann hoch sein, wenn der Anteil der Bildungsausgaben am BIP relativ niedrig ist. Dies gilt vor allem dann, wenn das BIP pro Kopf vergleichsweise hoch ist</w:t>
      </w:r>
      <w:r w:rsidR="00FE0093">
        <w:rPr>
          <w:rFonts w:ascii="Arial" w:hAnsi="Arial" w:cs="Arial"/>
          <w:color w:val="363636"/>
          <w:shd w:val="clear" w:color="auto" w:fill="FFFFFF"/>
        </w:rPr>
        <w:t>.</w:t>
      </w:r>
      <w:r w:rsidR="002E2E30">
        <w:rPr>
          <w:rFonts w:ascii="Arial" w:hAnsi="Arial" w:cs="Arial"/>
          <w:color w:val="363636"/>
          <w:shd w:val="clear" w:color="auto" w:fill="FFFFFF"/>
        </w:rPr>
        <w:t xml:space="preserve"> </w:t>
      </w:r>
      <w:r w:rsidR="00FE0093" w:rsidRPr="00117B05">
        <w:rPr>
          <w:rFonts w:ascii="Arial" w:hAnsi="Arial" w:cs="Arial"/>
          <w:color w:val="363636"/>
          <w:shd w:val="clear" w:color="auto" w:fill="FFFFFF"/>
        </w:rPr>
        <w:t xml:space="preserve">Ein Beispiel: Wie oben beschrieben </w:t>
      </w:r>
      <w:r w:rsidR="00053F39">
        <w:rPr>
          <w:rFonts w:ascii="Arial" w:hAnsi="Arial" w:cs="Arial"/>
          <w:color w:val="363636"/>
          <w:shd w:val="clear" w:color="auto" w:fill="FFFFFF"/>
        </w:rPr>
        <w:t xml:space="preserve">entsprachen die </w:t>
      </w:r>
      <w:r w:rsidRPr="00117B05">
        <w:rPr>
          <w:rFonts w:ascii="Arial" w:hAnsi="Arial" w:cs="Arial"/>
          <w:color w:val="363636"/>
          <w:shd w:val="clear" w:color="auto" w:fill="FFFFFF"/>
        </w:rPr>
        <w:t xml:space="preserve">Bildungsausgaben </w:t>
      </w:r>
      <w:r w:rsidR="00053F39" w:rsidRPr="00117B05">
        <w:rPr>
          <w:rFonts w:ascii="Arial" w:hAnsi="Arial" w:cs="Arial"/>
          <w:color w:val="363636"/>
          <w:shd w:val="clear" w:color="auto" w:fill="FFFFFF"/>
        </w:rPr>
        <w:t xml:space="preserve">in Luxemburg im Jahr 2015 </w:t>
      </w:r>
      <w:r w:rsidRPr="00117B05">
        <w:rPr>
          <w:rFonts w:ascii="Arial" w:hAnsi="Arial" w:cs="Arial"/>
          <w:color w:val="363636"/>
          <w:shd w:val="clear" w:color="auto" w:fill="FFFFFF"/>
        </w:rPr>
        <w:t>lediglich 3,</w:t>
      </w:r>
      <w:r w:rsidR="00FE0093" w:rsidRPr="00117B05">
        <w:rPr>
          <w:rFonts w:ascii="Arial" w:hAnsi="Arial" w:cs="Arial"/>
          <w:color w:val="363636"/>
          <w:shd w:val="clear" w:color="auto" w:fill="FFFFFF"/>
        </w:rPr>
        <w:t>9</w:t>
      </w:r>
      <w:r w:rsidRPr="00117B05">
        <w:rPr>
          <w:rFonts w:ascii="Arial" w:hAnsi="Arial" w:cs="Arial"/>
          <w:color w:val="363636"/>
          <w:shd w:val="clear" w:color="auto" w:fill="FFFFFF"/>
        </w:rPr>
        <w:t xml:space="preserve"> Prozent</w:t>
      </w:r>
      <w:r w:rsidR="00053F39">
        <w:rPr>
          <w:rFonts w:ascii="Arial" w:hAnsi="Arial" w:cs="Arial"/>
          <w:color w:val="363636"/>
          <w:shd w:val="clear" w:color="auto" w:fill="FFFFFF"/>
        </w:rPr>
        <w:t xml:space="preserve"> des BIP</w:t>
      </w:r>
      <w:r w:rsidR="00FE0093" w:rsidRPr="00117B05">
        <w:rPr>
          <w:rFonts w:ascii="Arial" w:hAnsi="Arial" w:cs="Arial"/>
          <w:color w:val="363636"/>
          <w:shd w:val="clear" w:color="auto" w:fill="FFFFFF"/>
        </w:rPr>
        <w:t>. Luxemburg belegte damit Rang 25 von 30</w:t>
      </w:r>
      <w:r w:rsidRPr="00117B05">
        <w:rPr>
          <w:rFonts w:ascii="Arial" w:hAnsi="Arial" w:cs="Arial"/>
          <w:color w:val="363636"/>
          <w:shd w:val="clear" w:color="auto" w:fill="FFFFFF"/>
        </w:rPr>
        <w:t>. Gleichzeitig gehört Luxemburg zu den Staaten mit den höchsten öffentlichen Bildungsausgaben pro Kopf</w:t>
      </w:r>
      <w:r w:rsidR="00FE0093" w:rsidRPr="00117B05">
        <w:rPr>
          <w:rFonts w:ascii="Arial" w:hAnsi="Arial" w:cs="Arial"/>
          <w:color w:val="363636"/>
          <w:shd w:val="clear" w:color="auto" w:fill="FFFFFF"/>
        </w:rPr>
        <w:t>.</w:t>
      </w:r>
      <w:r w:rsidR="002E2E30">
        <w:rPr>
          <w:rFonts w:ascii="Arial" w:hAnsi="Arial" w:cs="Arial"/>
          <w:color w:val="363636"/>
          <w:shd w:val="clear" w:color="auto" w:fill="FFFFFF"/>
        </w:rPr>
        <w:t xml:space="preserve"> </w:t>
      </w:r>
      <w:r w:rsidR="00FE0093" w:rsidRPr="00117B05">
        <w:rPr>
          <w:rFonts w:ascii="Arial" w:hAnsi="Arial" w:cs="Arial"/>
          <w:color w:val="363636"/>
          <w:shd w:val="clear" w:color="auto" w:fill="FFFFFF"/>
        </w:rPr>
        <w:t xml:space="preserve">Wird Deutschland der Indexwert 100 zugeteilt, dann lagen </w:t>
      </w:r>
      <w:r w:rsidR="00AA7EDE">
        <w:rPr>
          <w:rFonts w:ascii="Arial" w:hAnsi="Arial" w:cs="Arial"/>
          <w:color w:val="363636"/>
          <w:shd w:val="clear" w:color="auto" w:fill="FFFFFF"/>
        </w:rPr>
        <w:t xml:space="preserve">im Jahr 2015 </w:t>
      </w:r>
      <w:r w:rsidR="00FE0093" w:rsidRPr="00117B05">
        <w:rPr>
          <w:rFonts w:ascii="Arial" w:hAnsi="Arial" w:cs="Arial"/>
          <w:color w:val="363636"/>
          <w:shd w:val="clear" w:color="auto" w:fill="FFFFFF"/>
        </w:rPr>
        <w:t>die Bildungsausgaben in Luxemburg u</w:t>
      </w:r>
      <w:r w:rsidRPr="00117B05">
        <w:rPr>
          <w:rFonts w:ascii="Arial" w:hAnsi="Arial" w:cs="Arial"/>
          <w:color w:val="363636"/>
          <w:shd w:val="clear" w:color="auto" w:fill="FFFFFF"/>
        </w:rPr>
        <w:t xml:space="preserve">nter Berücksichtigung der Kaufkraft </w:t>
      </w:r>
      <w:r w:rsidR="00FE0093" w:rsidRPr="00117B05">
        <w:rPr>
          <w:rFonts w:ascii="Arial" w:hAnsi="Arial" w:cs="Arial"/>
          <w:color w:val="363636"/>
          <w:shd w:val="clear" w:color="auto" w:fill="FFFFFF"/>
        </w:rPr>
        <w:t>bei 188 – also fast doppelt so hoch wie in Deutschland</w:t>
      </w:r>
      <w:r w:rsidR="00BF511E">
        <w:rPr>
          <w:rFonts w:ascii="Arial" w:hAnsi="Arial" w:cs="Arial"/>
          <w:color w:val="363636"/>
          <w:shd w:val="clear" w:color="auto" w:fill="FFFFFF"/>
        </w:rPr>
        <w:t>.</w:t>
      </w:r>
    </w:p>
    <w:p w14:paraId="3F9D2612" w14:textId="77777777" w:rsidR="002E2E30" w:rsidRDefault="002E2E30" w:rsidP="00541DEC">
      <w:pPr>
        <w:rPr>
          <w:rFonts w:ascii="Arial" w:hAnsi="Arial" w:cs="Arial"/>
          <w:color w:val="363636"/>
          <w:shd w:val="clear" w:color="auto" w:fill="FFFFFF"/>
        </w:rPr>
      </w:pPr>
    </w:p>
    <w:p w14:paraId="593CEDF6" w14:textId="77777777" w:rsidR="002E2E30" w:rsidRDefault="00F566C7" w:rsidP="00541DEC">
      <w:pPr>
        <w:rPr>
          <w:rFonts w:ascii="Arial" w:hAnsi="Arial" w:cs="Arial"/>
          <w:color w:val="363636"/>
          <w:shd w:val="clear" w:color="auto" w:fill="FFFFFF"/>
        </w:rPr>
      </w:pPr>
      <w:r w:rsidRPr="00BF511E">
        <w:rPr>
          <w:rFonts w:ascii="Arial" w:hAnsi="Arial" w:cs="Arial"/>
          <w:color w:val="363636"/>
          <w:shd w:val="clear" w:color="auto" w:fill="FFFFFF"/>
        </w:rPr>
        <w:t xml:space="preserve">Bezogen auf die </w:t>
      </w:r>
      <w:r w:rsidR="00BF511E" w:rsidRPr="00BF511E">
        <w:rPr>
          <w:rFonts w:ascii="Arial" w:hAnsi="Arial" w:cs="Arial"/>
          <w:color w:val="363636"/>
          <w:shd w:val="clear" w:color="auto" w:fill="FFFFFF"/>
        </w:rPr>
        <w:t>30</w:t>
      </w:r>
      <w:r w:rsidRPr="00BF511E">
        <w:rPr>
          <w:rFonts w:ascii="Arial" w:hAnsi="Arial" w:cs="Arial"/>
          <w:color w:val="363636"/>
          <w:shd w:val="clear" w:color="auto" w:fill="FFFFFF"/>
        </w:rPr>
        <w:t xml:space="preserve"> </w:t>
      </w:r>
      <w:r w:rsidR="00BF511E" w:rsidRPr="00BF511E">
        <w:rPr>
          <w:rFonts w:ascii="Arial" w:hAnsi="Arial" w:cs="Arial"/>
          <w:color w:val="363636"/>
          <w:shd w:val="clear" w:color="auto" w:fill="FFFFFF"/>
        </w:rPr>
        <w:t xml:space="preserve">hier betrachteten Staaten </w:t>
      </w:r>
      <w:r w:rsidRPr="00BF511E">
        <w:rPr>
          <w:rFonts w:ascii="Arial" w:hAnsi="Arial" w:cs="Arial"/>
          <w:color w:val="363636"/>
          <w:shd w:val="clear" w:color="auto" w:fill="FFFFFF"/>
        </w:rPr>
        <w:t xml:space="preserve">waren </w:t>
      </w:r>
      <w:r w:rsidR="00BF511E" w:rsidRPr="00BF511E">
        <w:rPr>
          <w:rFonts w:ascii="Arial" w:hAnsi="Arial" w:cs="Arial"/>
          <w:color w:val="363636"/>
          <w:shd w:val="clear" w:color="auto" w:fill="FFFFFF"/>
        </w:rPr>
        <w:t xml:space="preserve">im Jahr 2015 </w:t>
      </w:r>
      <w:r w:rsidRPr="00BF511E">
        <w:rPr>
          <w:rFonts w:ascii="Arial" w:hAnsi="Arial" w:cs="Arial"/>
          <w:color w:val="363636"/>
          <w:shd w:val="clear" w:color="auto" w:fill="FFFFFF"/>
        </w:rPr>
        <w:t xml:space="preserve">die </w:t>
      </w:r>
      <w:r w:rsidR="00BF511E" w:rsidRPr="00BF511E">
        <w:rPr>
          <w:rFonts w:ascii="Arial" w:hAnsi="Arial" w:cs="Arial"/>
          <w:color w:val="363636"/>
          <w:shd w:val="clear" w:color="auto" w:fill="FFFFFF"/>
        </w:rPr>
        <w:t xml:space="preserve">kaufkraftgewichteten </w:t>
      </w:r>
      <w:r w:rsidRPr="00BF511E">
        <w:rPr>
          <w:rFonts w:ascii="Arial" w:hAnsi="Arial" w:cs="Arial"/>
          <w:color w:val="363636"/>
          <w:shd w:val="clear" w:color="auto" w:fill="FFFFFF"/>
        </w:rPr>
        <w:t>Bildungsausgaben pro Kopf nur in Norwegen (</w:t>
      </w:r>
      <w:r w:rsidR="00BF511E" w:rsidRPr="00BF511E">
        <w:rPr>
          <w:rFonts w:ascii="Arial" w:hAnsi="Arial" w:cs="Arial"/>
          <w:color w:val="363636"/>
          <w:shd w:val="clear" w:color="auto" w:fill="FFFFFF"/>
        </w:rPr>
        <w:t>192</w:t>
      </w:r>
      <w:r w:rsidRPr="00BF511E">
        <w:rPr>
          <w:rFonts w:ascii="Arial" w:hAnsi="Arial" w:cs="Arial"/>
          <w:color w:val="363636"/>
          <w:shd w:val="clear" w:color="auto" w:fill="FFFFFF"/>
        </w:rPr>
        <w:t>) höher als in Luxemburg</w:t>
      </w:r>
      <w:r w:rsidR="00BF511E" w:rsidRPr="00BF511E">
        <w:rPr>
          <w:rFonts w:ascii="Arial" w:hAnsi="Arial" w:cs="Arial"/>
          <w:color w:val="363636"/>
          <w:shd w:val="clear" w:color="auto" w:fill="FFFFFF"/>
        </w:rPr>
        <w:t xml:space="preserve"> (188)</w:t>
      </w:r>
      <w:r w:rsidRPr="00BF511E">
        <w:rPr>
          <w:rFonts w:ascii="Arial" w:hAnsi="Arial" w:cs="Arial"/>
          <w:color w:val="363636"/>
          <w:shd w:val="clear" w:color="auto" w:fill="FFFFFF"/>
        </w:rPr>
        <w:t xml:space="preserve">. Darauf folgten </w:t>
      </w:r>
      <w:r w:rsidR="00BF511E" w:rsidRPr="00BF511E">
        <w:rPr>
          <w:rFonts w:ascii="Arial" w:hAnsi="Arial" w:cs="Arial"/>
          <w:color w:val="363636"/>
          <w:shd w:val="clear" w:color="auto" w:fill="FFFFFF"/>
        </w:rPr>
        <w:t xml:space="preserve">Schweden (155), Island (149), die Schweiz (148), Belgien (135), Finnland (131) sowie die Niederlande und Österreich (124). </w:t>
      </w:r>
      <w:r w:rsidR="00BF511E" w:rsidRPr="00BF511E">
        <w:rPr>
          <w:rFonts w:ascii="Arial" w:hAnsi="Arial" w:cs="Arial"/>
          <w:color w:val="363636"/>
          <w:shd w:val="clear" w:color="auto" w:fill="FFFFFF"/>
        </w:rPr>
        <w:lastRenderedPageBreak/>
        <w:t xml:space="preserve">Deutschland – mit dem Basiswert 100 – </w:t>
      </w:r>
      <w:r w:rsidRPr="00BF511E">
        <w:rPr>
          <w:rFonts w:ascii="Arial" w:hAnsi="Arial" w:cs="Arial"/>
          <w:color w:val="363636"/>
          <w:shd w:val="clear" w:color="auto" w:fill="FFFFFF"/>
        </w:rPr>
        <w:t>belegte den 1</w:t>
      </w:r>
      <w:r w:rsidR="00BF511E" w:rsidRPr="00BF511E">
        <w:rPr>
          <w:rFonts w:ascii="Arial" w:hAnsi="Arial" w:cs="Arial"/>
          <w:color w:val="363636"/>
          <w:shd w:val="clear" w:color="auto" w:fill="FFFFFF"/>
        </w:rPr>
        <w:t>3</w:t>
      </w:r>
      <w:r w:rsidRPr="00BF511E">
        <w:rPr>
          <w:rFonts w:ascii="Arial" w:hAnsi="Arial" w:cs="Arial"/>
          <w:color w:val="363636"/>
          <w:shd w:val="clear" w:color="auto" w:fill="FFFFFF"/>
        </w:rPr>
        <w:t xml:space="preserve">. Rang. Am Ende der Skala standen </w:t>
      </w:r>
      <w:r w:rsidR="00BF511E" w:rsidRPr="00BF511E">
        <w:rPr>
          <w:rFonts w:ascii="Arial" w:hAnsi="Arial" w:cs="Arial"/>
          <w:color w:val="363636"/>
          <w:shd w:val="clear" w:color="auto" w:fill="FFFFFF"/>
        </w:rPr>
        <w:t>Serbien (25), Rumänien (27), Bulgarien (33), Griechenland (45), Ungarn (51), Litauen (54) sowie Polen und Tschechien (59)</w:t>
      </w:r>
      <w:r w:rsidR="002E2E30">
        <w:rPr>
          <w:rFonts w:ascii="Arial" w:hAnsi="Arial" w:cs="Arial"/>
          <w:color w:val="363636"/>
          <w:shd w:val="clear" w:color="auto" w:fill="FFFFFF"/>
        </w:rPr>
        <w:t>.</w:t>
      </w:r>
    </w:p>
    <w:p w14:paraId="3CE0CA22" w14:textId="77777777" w:rsidR="002E2E30" w:rsidRDefault="002E2E30" w:rsidP="00541DEC">
      <w:pPr>
        <w:rPr>
          <w:rFonts w:ascii="Arial" w:hAnsi="Arial" w:cs="Arial"/>
          <w:color w:val="363636"/>
          <w:shd w:val="clear" w:color="auto" w:fill="FFFFFF"/>
        </w:rPr>
      </w:pPr>
    </w:p>
    <w:p w14:paraId="2291B5B8" w14:textId="0A6AF9FE" w:rsidR="00432C27" w:rsidRPr="00C7459D" w:rsidRDefault="00432C27" w:rsidP="00432C27">
      <w:pPr>
        <w:rPr>
          <w:rFonts w:ascii="Arial" w:hAnsi="Arial"/>
          <w:color w:val="FF0000"/>
        </w:rPr>
      </w:pPr>
      <w:r w:rsidRPr="00C7459D">
        <w:rPr>
          <w:rFonts w:ascii="Arial" w:hAnsi="Arial"/>
          <w:color w:val="FF0000"/>
        </w:rPr>
        <w:t>Datenquelle</w:t>
      </w:r>
    </w:p>
    <w:p w14:paraId="4AF528AA" w14:textId="77777777" w:rsidR="00432C27" w:rsidRPr="00C7459D" w:rsidRDefault="00432C27" w:rsidP="00432C27">
      <w:pPr>
        <w:rPr>
          <w:rFonts w:ascii="Arial" w:hAnsi="Arial" w:cs="Arial"/>
          <w:color w:val="363636"/>
          <w:shd w:val="clear" w:color="auto" w:fill="FFFFFF"/>
        </w:rPr>
      </w:pPr>
    </w:p>
    <w:p w14:paraId="745A2BAE" w14:textId="1AB2E543" w:rsidR="007C3470" w:rsidRPr="00C7459D" w:rsidRDefault="00E70B21" w:rsidP="00432C27">
      <w:pPr>
        <w:rPr>
          <w:rFonts w:ascii="Arial" w:hAnsi="Arial" w:cs="Arial"/>
          <w:color w:val="363636"/>
          <w:shd w:val="clear" w:color="auto" w:fill="FFFFFF"/>
        </w:rPr>
      </w:pPr>
      <w:r w:rsidRPr="00C7459D">
        <w:rPr>
          <w:rFonts w:ascii="Arial" w:hAnsi="Arial" w:cs="Arial"/>
          <w:color w:val="363636"/>
          <w:shd w:val="clear" w:color="auto" w:fill="FFFFFF"/>
        </w:rPr>
        <w:t xml:space="preserve">Eurostat: Online-Datenbank: </w:t>
      </w:r>
      <w:r w:rsidR="008D1407" w:rsidRPr="008D1407">
        <w:rPr>
          <w:rFonts w:ascii="Arial" w:hAnsi="Arial" w:cs="Arial"/>
          <w:color w:val="363636"/>
          <w:shd w:val="clear" w:color="auto" w:fill="FFFFFF"/>
        </w:rPr>
        <w:t>Öffentliche Ausgaben für Bildung in % des BIP</w:t>
      </w:r>
      <w:r w:rsidR="008D1407">
        <w:rPr>
          <w:rFonts w:ascii="Arial" w:hAnsi="Arial" w:cs="Arial"/>
          <w:color w:val="363636"/>
          <w:shd w:val="clear" w:color="auto" w:fill="FFFFFF"/>
        </w:rPr>
        <w:t xml:space="preserve"> (03/2019), </w:t>
      </w:r>
      <w:r w:rsidR="008D1407" w:rsidRPr="008D1407">
        <w:rPr>
          <w:rFonts w:ascii="Arial" w:hAnsi="Arial" w:cs="Arial"/>
          <w:color w:val="363636"/>
          <w:shd w:val="clear" w:color="auto" w:fill="FFFFFF"/>
        </w:rPr>
        <w:t>Öffentliche Ausgaben für Bildung in jeweiligen Preisen (09/2018)</w:t>
      </w:r>
    </w:p>
    <w:p w14:paraId="1215C180" w14:textId="77777777" w:rsidR="00E70B21" w:rsidRPr="00C7459D" w:rsidRDefault="00E70B21" w:rsidP="00432C27">
      <w:pPr>
        <w:rPr>
          <w:rFonts w:ascii="Arial" w:hAnsi="Arial" w:cs="Arial"/>
          <w:color w:val="363636"/>
          <w:shd w:val="clear" w:color="auto" w:fill="FFFFFF"/>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Default="00432C27" w:rsidP="000E6F26">
      <w:pPr>
        <w:rPr>
          <w:rFonts w:ascii="Arial" w:hAnsi="Arial" w:cs="Arial"/>
          <w:color w:val="363636"/>
          <w:shd w:val="clear" w:color="auto" w:fill="FFFFFF"/>
        </w:rPr>
      </w:pPr>
    </w:p>
    <w:p w14:paraId="456BC335" w14:textId="0E4B500D" w:rsidR="000E6F26" w:rsidRDefault="000E6F26" w:rsidP="000E6F26">
      <w:pPr>
        <w:rPr>
          <w:rFonts w:ascii="Arial" w:hAnsi="Arial" w:cs="Arial"/>
          <w:color w:val="363636"/>
          <w:shd w:val="clear" w:color="auto" w:fill="FFFFFF"/>
        </w:rPr>
      </w:pPr>
      <w:r>
        <w:rPr>
          <w:rFonts w:ascii="Arial" w:hAnsi="Arial" w:cs="Arial"/>
          <w:color w:val="363636"/>
          <w:shd w:val="clear" w:color="auto" w:fill="FFFFFF"/>
        </w:rPr>
        <w:t xml:space="preserve">Informationen zum Thema </w:t>
      </w:r>
      <w:r w:rsidRPr="000E6F26">
        <w:rPr>
          <w:rFonts w:ascii="Arial" w:hAnsi="Arial" w:cs="Arial"/>
          <w:b/>
          <w:color w:val="363636"/>
          <w:shd w:val="clear" w:color="auto" w:fill="FFFFFF"/>
        </w:rPr>
        <w:t>Erwerbstätigenquoten nach Bildungsstand</w:t>
      </w:r>
      <w:r>
        <w:rPr>
          <w:rFonts w:ascii="Arial" w:hAnsi="Arial" w:cs="Arial"/>
          <w:color w:val="363636"/>
          <w:shd w:val="clear" w:color="auto" w:fill="FFFFFF"/>
        </w:rPr>
        <w:t xml:space="preserve"> erhalten Sie hier: </w:t>
      </w:r>
      <w:hyperlink r:id="rId7" w:history="1">
        <w:r w:rsidRPr="00F91F9E">
          <w:rPr>
            <w:rStyle w:val="Hyperlink"/>
            <w:rFonts w:ascii="Arial" w:hAnsi="Arial" w:cs="Arial"/>
            <w:shd w:val="clear" w:color="auto" w:fill="FFFFFF"/>
          </w:rPr>
          <w:t>http://www.bpb.de/70590</w:t>
        </w:r>
      </w:hyperlink>
    </w:p>
    <w:p w14:paraId="522CA504" w14:textId="77777777" w:rsidR="000E6F26" w:rsidRPr="000E6F26" w:rsidRDefault="000E6F26" w:rsidP="000E6F26">
      <w:pPr>
        <w:rPr>
          <w:rFonts w:ascii="Arial" w:hAnsi="Arial" w:cs="Arial"/>
          <w:color w:val="363636"/>
          <w:shd w:val="clear" w:color="auto" w:fill="FFFFFF"/>
        </w:rPr>
      </w:pPr>
    </w:p>
    <w:p w14:paraId="0C542F7E" w14:textId="4F6AC4A4" w:rsidR="000E6F26" w:rsidRDefault="000E6F26" w:rsidP="000E6F26">
      <w:pPr>
        <w:rPr>
          <w:rFonts w:ascii="Arial" w:hAnsi="Arial" w:cs="Arial"/>
          <w:color w:val="363636"/>
          <w:shd w:val="clear" w:color="auto" w:fill="FFFFFF"/>
        </w:rPr>
      </w:pPr>
      <w:r>
        <w:rPr>
          <w:rFonts w:ascii="Arial" w:hAnsi="Arial" w:cs="Arial"/>
          <w:color w:val="363636"/>
          <w:shd w:val="clear" w:color="auto" w:fill="FFFFFF"/>
        </w:rPr>
        <w:t xml:space="preserve">Informationen zum Thema </w:t>
      </w:r>
      <w:r w:rsidRPr="000E6F26">
        <w:rPr>
          <w:rFonts w:ascii="Arial" w:hAnsi="Arial" w:cs="Arial"/>
          <w:b/>
          <w:color w:val="363636"/>
          <w:shd w:val="clear" w:color="auto" w:fill="FFFFFF"/>
        </w:rPr>
        <w:t>Arbeitslosenquoten nach Bildungsstand</w:t>
      </w:r>
      <w:r w:rsidRPr="000E6F26">
        <w:rPr>
          <w:rFonts w:ascii="Arial" w:hAnsi="Arial" w:cs="Arial"/>
          <w:color w:val="363636"/>
          <w:shd w:val="clear" w:color="auto" w:fill="FFFFFF"/>
        </w:rPr>
        <w:t xml:space="preserve"> </w:t>
      </w:r>
      <w:r>
        <w:rPr>
          <w:rFonts w:ascii="Arial" w:hAnsi="Arial" w:cs="Arial"/>
          <w:color w:val="363636"/>
          <w:shd w:val="clear" w:color="auto" w:fill="FFFFFF"/>
        </w:rPr>
        <w:t xml:space="preserve">erhalten Sie hier: </w:t>
      </w:r>
      <w:hyperlink r:id="rId8" w:history="1">
        <w:r w:rsidRPr="00F91F9E">
          <w:rPr>
            <w:rStyle w:val="Hyperlink"/>
            <w:rFonts w:ascii="Arial" w:hAnsi="Arial" w:cs="Arial"/>
            <w:shd w:val="clear" w:color="auto" w:fill="FFFFFF"/>
          </w:rPr>
          <w:t>http://www.bpb.de/70612</w:t>
        </w:r>
      </w:hyperlink>
    </w:p>
    <w:p w14:paraId="6EE5B281" w14:textId="77777777" w:rsidR="000E6F26" w:rsidRDefault="000E6F26" w:rsidP="000E6F26">
      <w:pPr>
        <w:rPr>
          <w:rFonts w:ascii="Arial" w:hAnsi="Arial" w:cs="Arial"/>
          <w:color w:val="363636"/>
          <w:shd w:val="clear" w:color="auto" w:fill="FFFFFF"/>
        </w:rPr>
      </w:pPr>
    </w:p>
    <w:p w14:paraId="26374A05" w14:textId="66BEE6BC" w:rsidR="00A443D3" w:rsidRDefault="00A443D3" w:rsidP="00A443D3">
      <w:pPr>
        <w:rPr>
          <w:rFonts w:ascii="Arial" w:hAnsi="Arial" w:cs="Arial"/>
          <w:color w:val="363636"/>
          <w:shd w:val="clear" w:color="auto" w:fill="FFFFFF"/>
        </w:rPr>
      </w:pPr>
      <w:r>
        <w:rPr>
          <w:rFonts w:ascii="Arial" w:hAnsi="Arial" w:cs="Arial"/>
          <w:color w:val="363636"/>
          <w:shd w:val="clear" w:color="auto" w:fill="FFFFFF"/>
        </w:rPr>
        <w:t xml:space="preserve">Bildungsstand nach der Klassifikation </w:t>
      </w:r>
      <w:r w:rsidRPr="00A443D3">
        <w:rPr>
          <w:rFonts w:ascii="Arial" w:hAnsi="Arial" w:cs="Arial"/>
          <w:b/>
          <w:color w:val="363636"/>
          <w:shd w:val="clear" w:color="auto" w:fill="FFFFFF"/>
        </w:rPr>
        <w:t>ISCED</w:t>
      </w:r>
      <w:r>
        <w:rPr>
          <w:rFonts w:ascii="Arial" w:hAnsi="Arial" w:cs="Arial"/>
          <w:color w:val="363636"/>
          <w:shd w:val="clear" w:color="auto" w:fill="FFFFFF"/>
        </w:rPr>
        <w:t xml:space="preserve"> – International Standard Classification of Education. Hier a</w:t>
      </w:r>
      <w:r w:rsidRPr="00FE7E36">
        <w:rPr>
          <w:rFonts w:ascii="Arial" w:hAnsi="Arial" w:cs="Arial"/>
          <w:color w:val="363636"/>
          <w:shd w:val="clear" w:color="auto" w:fill="FFFFFF"/>
        </w:rPr>
        <w:t>lle Stufen der ISCED 2011, ausgenommen Frühkindliche Bildung, Betreuung und Erziehung für Kinder unter drei Jahren</w:t>
      </w:r>
      <w:r>
        <w:rPr>
          <w:rFonts w:ascii="Arial" w:hAnsi="Arial" w:cs="Arial"/>
          <w:color w:val="363636"/>
          <w:shd w:val="clear" w:color="auto" w:fill="FFFFFF"/>
        </w:rPr>
        <w:t>.</w:t>
      </w:r>
      <w:r w:rsidR="00FA3FD5">
        <w:rPr>
          <w:rFonts w:ascii="Arial" w:hAnsi="Arial" w:cs="Arial"/>
          <w:color w:val="363636"/>
          <w:shd w:val="clear" w:color="auto" w:fill="FFFFFF"/>
        </w:rPr>
        <w:t xml:space="preserve"> </w:t>
      </w:r>
      <w:r>
        <w:rPr>
          <w:rFonts w:ascii="Arial" w:hAnsi="Arial" w:cs="Arial"/>
          <w:color w:val="363636"/>
          <w:shd w:val="clear" w:color="auto" w:fill="FFFFFF"/>
        </w:rPr>
        <w:t xml:space="preserve">Ausführliche Informationen </w:t>
      </w:r>
      <w:r w:rsidR="00FA3FD5">
        <w:rPr>
          <w:rFonts w:ascii="Arial" w:hAnsi="Arial" w:cs="Arial"/>
          <w:color w:val="363636"/>
          <w:shd w:val="clear" w:color="auto" w:fill="FFFFFF"/>
        </w:rPr>
        <w:t xml:space="preserve">zur ISCED </w:t>
      </w:r>
      <w:r>
        <w:rPr>
          <w:rFonts w:ascii="Arial" w:hAnsi="Arial" w:cs="Arial"/>
          <w:color w:val="363636"/>
          <w:shd w:val="clear" w:color="auto" w:fill="FFFFFF"/>
        </w:rPr>
        <w:t xml:space="preserve">finden Sie hier: </w:t>
      </w:r>
      <w:hyperlink r:id="rId9" w:history="1">
        <w:r w:rsidRPr="00A443D3">
          <w:rPr>
            <w:rStyle w:val="Hyperlink"/>
            <w:rFonts w:ascii="Arial" w:hAnsi="Arial" w:cs="Arial"/>
            <w:shd w:val="clear" w:color="auto" w:fill="FFFFFF"/>
          </w:rPr>
          <w:t>https://ec.europa.eu/eurostat/statistics-explained/index.php?title=Glossary:International_standard_classification_of_education_(ISCED)/de</w:t>
        </w:r>
      </w:hyperlink>
    </w:p>
    <w:p w14:paraId="15CBA43B" w14:textId="77777777" w:rsidR="00A443D3" w:rsidRDefault="00A443D3" w:rsidP="00A443D3">
      <w:pPr>
        <w:rPr>
          <w:rFonts w:ascii="Arial" w:hAnsi="Arial" w:cs="Arial"/>
          <w:color w:val="363636"/>
          <w:shd w:val="clear" w:color="auto" w:fill="FFFFFF"/>
        </w:rPr>
      </w:pPr>
    </w:p>
    <w:p w14:paraId="725CBC55" w14:textId="79FDA32F" w:rsidR="00085CE2" w:rsidRDefault="001A7512" w:rsidP="000E6F26">
      <w:pPr>
        <w:rPr>
          <w:rFonts w:ascii="Arial" w:hAnsi="Arial"/>
          <w:color w:val="000000"/>
        </w:rPr>
      </w:pPr>
      <w:r w:rsidRPr="00ED2BD8">
        <w:rPr>
          <w:rFonts w:ascii="Arial" w:hAnsi="Arial" w:cs="Arial"/>
          <w:color w:val="363636"/>
          <w:shd w:val="clear" w:color="auto" w:fill="FFFFFF"/>
        </w:rPr>
        <w:t>Die </w:t>
      </w:r>
      <w:r>
        <w:rPr>
          <w:rStyle w:val="Fett"/>
          <w:rFonts w:ascii="Arial" w:hAnsi="Arial" w:cs="Arial"/>
          <w:color w:val="363636"/>
          <w:shd w:val="clear" w:color="auto" w:fill="FFFFFF"/>
        </w:rPr>
        <w:t>Bildungs</w:t>
      </w:r>
      <w:r w:rsidRPr="00ED2BD8">
        <w:rPr>
          <w:rStyle w:val="Fett"/>
          <w:rFonts w:ascii="Arial" w:hAnsi="Arial" w:cs="Arial"/>
          <w:color w:val="363636"/>
          <w:shd w:val="clear" w:color="auto" w:fill="FFFFFF"/>
        </w:rPr>
        <w:t xml:space="preserve">ausgaben </w:t>
      </w:r>
      <w:r w:rsidRPr="00ED2BD8">
        <w:rPr>
          <w:rFonts w:ascii="Arial" w:hAnsi="Arial" w:cs="Arial"/>
          <w:b/>
          <w:color w:val="363636"/>
          <w:shd w:val="clear" w:color="auto" w:fill="FFFFFF"/>
        </w:rPr>
        <w:t>pro Kopf</w:t>
      </w:r>
      <w:r w:rsidRPr="00ED2BD8">
        <w:rPr>
          <w:rFonts w:ascii="Arial" w:hAnsi="Arial" w:cs="Arial"/>
          <w:color w:val="363636"/>
          <w:shd w:val="clear" w:color="auto" w:fill="FFFFFF"/>
        </w:rPr>
        <w:t xml:space="preserve"> werden relativ zu</w:t>
      </w:r>
      <w:r w:rsidR="00085CE2">
        <w:rPr>
          <w:rFonts w:ascii="Arial" w:hAnsi="Arial" w:cs="Arial"/>
          <w:color w:val="363636"/>
          <w:shd w:val="clear" w:color="auto" w:fill="FFFFFF"/>
        </w:rPr>
        <w:t xml:space="preserve"> den Ausgaben in Deutschland (D</w:t>
      </w:r>
      <w:r w:rsidRPr="00ED2BD8">
        <w:rPr>
          <w:rFonts w:ascii="Arial" w:hAnsi="Arial" w:cs="Arial"/>
          <w:color w:val="363636"/>
          <w:shd w:val="clear" w:color="auto" w:fill="FFFFFF"/>
        </w:rPr>
        <w:t>EU</w:t>
      </w:r>
      <w:r w:rsidR="00085CE2">
        <w:rPr>
          <w:rFonts w:ascii="Arial" w:hAnsi="Arial" w:cs="Arial"/>
          <w:color w:val="363636"/>
          <w:shd w:val="clear" w:color="auto" w:fill="FFFFFF"/>
        </w:rPr>
        <w:t xml:space="preserve"> </w:t>
      </w:r>
      <w:r w:rsidRPr="00ED2BD8">
        <w:rPr>
          <w:rFonts w:ascii="Arial" w:hAnsi="Arial" w:cs="Arial"/>
          <w:color w:val="363636"/>
          <w:shd w:val="clear" w:color="auto" w:fill="FFFFFF"/>
        </w:rPr>
        <w:t xml:space="preserve">= 100) ausgedrückt. Ist der Indexwert eines Landes größer als 100, so liegen die </w:t>
      </w:r>
      <w:r w:rsidR="00085CE2">
        <w:rPr>
          <w:rFonts w:ascii="Arial" w:hAnsi="Arial" w:cs="Arial"/>
          <w:color w:val="363636"/>
          <w:shd w:val="clear" w:color="auto" w:fill="FFFFFF"/>
        </w:rPr>
        <w:t>Bildungsa</w:t>
      </w:r>
      <w:r w:rsidRPr="00ED2BD8">
        <w:rPr>
          <w:rFonts w:ascii="Arial" w:hAnsi="Arial" w:cs="Arial"/>
          <w:color w:val="363636"/>
          <w:shd w:val="clear" w:color="auto" w:fill="FFFFFF"/>
        </w:rPr>
        <w:t>usgaben dieses Landes über de</w:t>
      </w:r>
      <w:r w:rsidR="00085CE2">
        <w:rPr>
          <w:rFonts w:ascii="Arial" w:hAnsi="Arial" w:cs="Arial"/>
          <w:color w:val="363636"/>
          <w:shd w:val="clear" w:color="auto" w:fill="FFFFFF"/>
        </w:rPr>
        <w:t xml:space="preserve">n pro-Kopf-Ausgaben in Deutschland </w:t>
      </w:r>
      <w:r w:rsidRPr="00ED2BD8">
        <w:rPr>
          <w:rFonts w:ascii="Arial" w:hAnsi="Arial" w:cs="Arial"/>
          <w:color w:val="363636"/>
          <w:shd w:val="clear" w:color="auto" w:fill="FFFFFF"/>
        </w:rPr>
        <w:t>(und umgekehrt).</w:t>
      </w:r>
      <w:r>
        <w:rPr>
          <w:rFonts w:ascii="Arial" w:hAnsi="Arial" w:cs="Arial"/>
          <w:color w:val="363636"/>
          <w:shd w:val="clear" w:color="auto" w:fill="FFFFFF"/>
        </w:rPr>
        <w:t xml:space="preserve"> Die zugrunde liegenden Zahlen sind in </w:t>
      </w:r>
      <w:r w:rsidRPr="00ED2BD8">
        <w:rPr>
          <w:rStyle w:val="Fett"/>
          <w:rFonts w:ascii="Arial" w:hAnsi="Arial" w:cs="Arial"/>
          <w:color w:val="363636"/>
          <w:shd w:val="clear" w:color="auto" w:fill="FFFFFF"/>
        </w:rPr>
        <w:t>Kaufkraftstandards</w:t>
      </w:r>
      <w:r w:rsidRPr="00ED2BD8">
        <w:rPr>
          <w:rFonts w:ascii="Arial" w:hAnsi="Arial" w:cs="Arial"/>
          <w:b/>
          <w:color w:val="363636"/>
          <w:shd w:val="clear" w:color="auto" w:fill="FFFFFF"/>
        </w:rPr>
        <w:t> (KKS)</w:t>
      </w:r>
      <w:r>
        <w:rPr>
          <w:rFonts w:ascii="Arial" w:hAnsi="Arial" w:cs="Arial"/>
          <w:color w:val="363636"/>
          <w:shd w:val="clear" w:color="auto" w:fill="FFFFFF"/>
        </w:rPr>
        <w:t xml:space="preserve"> ausgedrückt, einer </w:t>
      </w:r>
      <w:r w:rsidR="00853873" w:rsidRPr="00FB4A77">
        <w:rPr>
          <w:rFonts w:ascii="Arial" w:hAnsi="Arial"/>
          <w:color w:val="000000"/>
        </w:rPr>
        <w:t>künstliche</w:t>
      </w:r>
      <w:r w:rsidR="00853873">
        <w:rPr>
          <w:rFonts w:ascii="Arial" w:hAnsi="Arial"/>
          <w:color w:val="000000"/>
        </w:rPr>
        <w:t>n</w:t>
      </w:r>
      <w:r>
        <w:rPr>
          <w:rFonts w:ascii="Arial" w:hAnsi="Arial" w:cs="Arial"/>
          <w:color w:val="363636"/>
          <w:shd w:val="clear" w:color="auto" w:fill="FFFFFF"/>
        </w:rPr>
        <w:t xml:space="preserve"> Währung, die Preisniveauunterschiede zwischen Ländern ausgleicht und damit aussagekräftige Ländervergleiche ermöglicht.</w:t>
      </w:r>
      <w:r w:rsidR="00B6607F">
        <w:rPr>
          <w:rFonts w:ascii="Arial" w:hAnsi="Arial" w:cs="Arial"/>
          <w:color w:val="363636"/>
          <w:shd w:val="clear" w:color="auto" w:fill="FFFFFF"/>
        </w:rPr>
        <w:t xml:space="preserve"> </w:t>
      </w:r>
      <w:r w:rsidR="00853873" w:rsidRPr="00FB4A77">
        <w:rPr>
          <w:rFonts w:ascii="Arial" w:hAnsi="Arial"/>
          <w:color w:val="000000"/>
        </w:rPr>
        <w:t xml:space="preserve">Theoretisch kann also mit </w:t>
      </w:r>
      <w:r w:rsidR="00853873">
        <w:rPr>
          <w:rFonts w:ascii="Arial" w:hAnsi="Arial"/>
          <w:color w:val="000000"/>
        </w:rPr>
        <w:t>einem</w:t>
      </w:r>
      <w:r w:rsidR="00853873" w:rsidRPr="00FB4A77">
        <w:rPr>
          <w:rFonts w:ascii="Arial" w:hAnsi="Arial"/>
          <w:color w:val="000000"/>
        </w:rPr>
        <w:t xml:space="preserve"> KKS in allen Staaten dieselbe Menge an Waren und Dienstleistungen erworben werden.</w:t>
      </w:r>
    </w:p>
    <w:p w14:paraId="126A3C23" w14:textId="77777777" w:rsidR="00B6607F" w:rsidRDefault="00B6607F" w:rsidP="000E6F26">
      <w:pPr>
        <w:rPr>
          <w:rFonts w:ascii="Arial" w:hAnsi="Arial"/>
          <w:color w:val="000000"/>
        </w:rPr>
      </w:pPr>
    </w:p>
    <w:p w14:paraId="2EC3951F" w14:textId="2926F006" w:rsidR="000E6F26" w:rsidRDefault="000E6F26" w:rsidP="000E6F26">
      <w:pPr>
        <w:rPr>
          <w:rFonts w:ascii="Arial" w:hAnsi="Arial" w:cs="Arial"/>
          <w:color w:val="363636"/>
          <w:shd w:val="clear" w:color="auto" w:fill="FFFFFF"/>
        </w:rPr>
      </w:pPr>
      <w:r w:rsidRPr="000E6F26">
        <w:rPr>
          <w:rFonts w:ascii="Arial" w:hAnsi="Arial" w:cs="Arial"/>
          <w:color w:val="363636"/>
          <w:shd w:val="clear" w:color="auto" w:fill="FFFFFF"/>
        </w:rPr>
        <w:t>Das </w:t>
      </w:r>
      <w:r w:rsidRPr="000E6F26">
        <w:rPr>
          <w:rStyle w:val="Fett"/>
          <w:rFonts w:ascii="Arial" w:hAnsi="Arial" w:cs="Arial"/>
          <w:color w:val="363636"/>
          <w:shd w:val="clear" w:color="auto" w:fill="FFFFFF"/>
        </w:rPr>
        <w:t>Bruttoinlandsprodukt (BIP)</w:t>
      </w:r>
      <w:r w:rsidRPr="000E6F26">
        <w:rPr>
          <w:rFonts w:ascii="Arial" w:hAnsi="Arial" w:cs="Arial"/>
          <w:color w:val="363636"/>
          <w:shd w:val="clear" w:color="auto" w:fill="FFFFFF"/>
        </w:rPr>
        <w:t> misst den Wert der im Inland hergestellten Waren und Dienstleistungen (Wertschöpfung</w:t>
      </w:r>
      <w:r>
        <w:rPr>
          <w:rFonts w:ascii="Arial" w:hAnsi="Arial" w:cs="Arial"/>
          <w:color w:val="363636"/>
          <w:shd w:val="clear" w:color="auto" w:fill="FFFFFF"/>
        </w:rPr>
        <w:t>), soweit diese nicht als Vorleistungen für die Produktion anderer Waren und Dienstleistungen verwendet werden. Das BIP ist gegenwärtig das wichtigste gesamtwirtschaftliche Produktionsmaß.</w:t>
      </w:r>
    </w:p>
    <w:p w14:paraId="419EF675" w14:textId="77777777" w:rsidR="00B6607F" w:rsidRDefault="00B6607F" w:rsidP="000E6F26">
      <w:pPr>
        <w:rPr>
          <w:rFonts w:ascii="Arial" w:hAnsi="Arial" w:cs="Arial"/>
          <w:color w:val="363636"/>
          <w:shd w:val="clear" w:color="auto" w:fill="FFFFFF"/>
        </w:rPr>
      </w:pPr>
    </w:p>
    <w:p w14:paraId="65451947" w14:textId="4AB162D4" w:rsidR="00432C27" w:rsidRDefault="00432C27" w:rsidP="00432C27">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10"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26E7A66A" w14:textId="392F55AF" w:rsidR="008A6ED5"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11" w:history="1">
        <w:r w:rsidRPr="00DB72F5">
          <w:rPr>
            <w:rFonts w:ascii="Arial" w:hAnsi="Arial"/>
            <w:sz w:val="20"/>
            <w:szCs w:val="20"/>
          </w:rPr>
          <w:t>www.bpb.de</w:t>
        </w:r>
      </w:hyperlink>
    </w:p>
    <w:sectPr w:rsidR="008A6ED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3B79"/>
    <w:rsid w:val="000160B6"/>
    <w:rsid w:val="00017EDD"/>
    <w:rsid w:val="000207CE"/>
    <w:rsid w:val="000312F5"/>
    <w:rsid w:val="000379C3"/>
    <w:rsid w:val="00046888"/>
    <w:rsid w:val="00053F39"/>
    <w:rsid w:val="00055292"/>
    <w:rsid w:val="000610E5"/>
    <w:rsid w:val="000712EC"/>
    <w:rsid w:val="00083215"/>
    <w:rsid w:val="00085CE2"/>
    <w:rsid w:val="000955DC"/>
    <w:rsid w:val="000A63EC"/>
    <w:rsid w:val="000B34E4"/>
    <w:rsid w:val="000C5340"/>
    <w:rsid w:val="000D43BB"/>
    <w:rsid w:val="000E6F26"/>
    <w:rsid w:val="000F4E4A"/>
    <w:rsid w:val="00117B05"/>
    <w:rsid w:val="00151DEA"/>
    <w:rsid w:val="0015694A"/>
    <w:rsid w:val="00165D07"/>
    <w:rsid w:val="00166DAF"/>
    <w:rsid w:val="00180384"/>
    <w:rsid w:val="001858A1"/>
    <w:rsid w:val="001A547B"/>
    <w:rsid w:val="001A7512"/>
    <w:rsid w:val="001A7AE7"/>
    <w:rsid w:val="001B3731"/>
    <w:rsid w:val="001C129B"/>
    <w:rsid w:val="001C3BB5"/>
    <w:rsid w:val="001E18C7"/>
    <w:rsid w:val="001E631E"/>
    <w:rsid w:val="0020476E"/>
    <w:rsid w:val="0022479A"/>
    <w:rsid w:val="0023615A"/>
    <w:rsid w:val="00236174"/>
    <w:rsid w:val="00247D5E"/>
    <w:rsid w:val="0025561B"/>
    <w:rsid w:val="0026714C"/>
    <w:rsid w:val="002B003D"/>
    <w:rsid w:val="002B4650"/>
    <w:rsid w:val="002E0BBB"/>
    <w:rsid w:val="002E2E30"/>
    <w:rsid w:val="002E3C72"/>
    <w:rsid w:val="002F2FAC"/>
    <w:rsid w:val="002F687F"/>
    <w:rsid w:val="00310984"/>
    <w:rsid w:val="003178C9"/>
    <w:rsid w:val="0033222E"/>
    <w:rsid w:val="00341826"/>
    <w:rsid w:val="00346CEA"/>
    <w:rsid w:val="003512FE"/>
    <w:rsid w:val="003816A6"/>
    <w:rsid w:val="00386448"/>
    <w:rsid w:val="00386DF3"/>
    <w:rsid w:val="003940C9"/>
    <w:rsid w:val="003A2A0E"/>
    <w:rsid w:val="003C00C1"/>
    <w:rsid w:val="003C66D1"/>
    <w:rsid w:val="003E6910"/>
    <w:rsid w:val="0040723C"/>
    <w:rsid w:val="00424CD7"/>
    <w:rsid w:val="00432C27"/>
    <w:rsid w:val="0044554A"/>
    <w:rsid w:val="00452FF0"/>
    <w:rsid w:val="00472618"/>
    <w:rsid w:val="00474D21"/>
    <w:rsid w:val="0048424C"/>
    <w:rsid w:val="004A284A"/>
    <w:rsid w:val="004A2C5E"/>
    <w:rsid w:val="004B19C9"/>
    <w:rsid w:val="004C19D4"/>
    <w:rsid w:val="004C7F08"/>
    <w:rsid w:val="004D2244"/>
    <w:rsid w:val="004F2419"/>
    <w:rsid w:val="00501534"/>
    <w:rsid w:val="00511243"/>
    <w:rsid w:val="005236EF"/>
    <w:rsid w:val="005313FB"/>
    <w:rsid w:val="005350FD"/>
    <w:rsid w:val="00541D65"/>
    <w:rsid w:val="00541DEC"/>
    <w:rsid w:val="00547F17"/>
    <w:rsid w:val="00553821"/>
    <w:rsid w:val="005619CA"/>
    <w:rsid w:val="00565707"/>
    <w:rsid w:val="00571341"/>
    <w:rsid w:val="005A113B"/>
    <w:rsid w:val="005B455D"/>
    <w:rsid w:val="005D55CD"/>
    <w:rsid w:val="005D6393"/>
    <w:rsid w:val="005E44F9"/>
    <w:rsid w:val="005E5BAC"/>
    <w:rsid w:val="00621501"/>
    <w:rsid w:val="00622E79"/>
    <w:rsid w:val="00625163"/>
    <w:rsid w:val="0063196C"/>
    <w:rsid w:val="00647C58"/>
    <w:rsid w:val="006519F2"/>
    <w:rsid w:val="00666C07"/>
    <w:rsid w:val="00675219"/>
    <w:rsid w:val="006B0358"/>
    <w:rsid w:val="006C69CC"/>
    <w:rsid w:val="006D0B21"/>
    <w:rsid w:val="006D1F79"/>
    <w:rsid w:val="006D6417"/>
    <w:rsid w:val="006E5C4F"/>
    <w:rsid w:val="00702D6B"/>
    <w:rsid w:val="00707639"/>
    <w:rsid w:val="00735130"/>
    <w:rsid w:val="0073515C"/>
    <w:rsid w:val="00747C63"/>
    <w:rsid w:val="007635A6"/>
    <w:rsid w:val="00774FAF"/>
    <w:rsid w:val="0078549F"/>
    <w:rsid w:val="00786820"/>
    <w:rsid w:val="007A5326"/>
    <w:rsid w:val="007B3597"/>
    <w:rsid w:val="007B3708"/>
    <w:rsid w:val="007C1E77"/>
    <w:rsid w:val="007C3470"/>
    <w:rsid w:val="007D203E"/>
    <w:rsid w:val="007F0D5B"/>
    <w:rsid w:val="007F52C2"/>
    <w:rsid w:val="00852EB7"/>
    <w:rsid w:val="00853873"/>
    <w:rsid w:val="00881EDC"/>
    <w:rsid w:val="00886D0D"/>
    <w:rsid w:val="00897569"/>
    <w:rsid w:val="008A1C5E"/>
    <w:rsid w:val="008A6ED5"/>
    <w:rsid w:val="008B7BF5"/>
    <w:rsid w:val="008D1407"/>
    <w:rsid w:val="008F7A4B"/>
    <w:rsid w:val="0091554B"/>
    <w:rsid w:val="00941923"/>
    <w:rsid w:val="00955BC0"/>
    <w:rsid w:val="00964135"/>
    <w:rsid w:val="00965C41"/>
    <w:rsid w:val="00971761"/>
    <w:rsid w:val="00980015"/>
    <w:rsid w:val="00985E66"/>
    <w:rsid w:val="00994AC8"/>
    <w:rsid w:val="009B0B30"/>
    <w:rsid w:val="009B121E"/>
    <w:rsid w:val="009B3F0E"/>
    <w:rsid w:val="009C397B"/>
    <w:rsid w:val="009D2BC5"/>
    <w:rsid w:val="009E2B61"/>
    <w:rsid w:val="009E52DC"/>
    <w:rsid w:val="00A13DE8"/>
    <w:rsid w:val="00A270C7"/>
    <w:rsid w:val="00A35D57"/>
    <w:rsid w:val="00A41EEC"/>
    <w:rsid w:val="00A439F7"/>
    <w:rsid w:val="00A443D3"/>
    <w:rsid w:val="00A55969"/>
    <w:rsid w:val="00A673FA"/>
    <w:rsid w:val="00A821BE"/>
    <w:rsid w:val="00A83A6F"/>
    <w:rsid w:val="00AA1C77"/>
    <w:rsid w:val="00AA7EDE"/>
    <w:rsid w:val="00AD262D"/>
    <w:rsid w:val="00AF13C7"/>
    <w:rsid w:val="00AF7591"/>
    <w:rsid w:val="00B03AC3"/>
    <w:rsid w:val="00B04086"/>
    <w:rsid w:val="00B066CD"/>
    <w:rsid w:val="00B15DF1"/>
    <w:rsid w:val="00B26258"/>
    <w:rsid w:val="00B333E9"/>
    <w:rsid w:val="00B3702A"/>
    <w:rsid w:val="00B47C80"/>
    <w:rsid w:val="00B64607"/>
    <w:rsid w:val="00B6607F"/>
    <w:rsid w:val="00B763A7"/>
    <w:rsid w:val="00B80B8D"/>
    <w:rsid w:val="00B81229"/>
    <w:rsid w:val="00B86E0B"/>
    <w:rsid w:val="00B94092"/>
    <w:rsid w:val="00B95B70"/>
    <w:rsid w:val="00B97BEA"/>
    <w:rsid w:val="00BB3DD2"/>
    <w:rsid w:val="00BB7260"/>
    <w:rsid w:val="00BC2A61"/>
    <w:rsid w:val="00BC2E96"/>
    <w:rsid w:val="00BC36C6"/>
    <w:rsid w:val="00BD3D00"/>
    <w:rsid w:val="00BE0E11"/>
    <w:rsid w:val="00BE34E4"/>
    <w:rsid w:val="00BE689D"/>
    <w:rsid w:val="00BF511E"/>
    <w:rsid w:val="00C2200F"/>
    <w:rsid w:val="00C22DCD"/>
    <w:rsid w:val="00C25CB1"/>
    <w:rsid w:val="00C35872"/>
    <w:rsid w:val="00C37BF4"/>
    <w:rsid w:val="00C4040B"/>
    <w:rsid w:val="00C46EAF"/>
    <w:rsid w:val="00C63C9C"/>
    <w:rsid w:val="00C70FA5"/>
    <w:rsid w:val="00C7459D"/>
    <w:rsid w:val="00CD69B3"/>
    <w:rsid w:val="00CD771B"/>
    <w:rsid w:val="00CE40A4"/>
    <w:rsid w:val="00CE6575"/>
    <w:rsid w:val="00CE69BF"/>
    <w:rsid w:val="00CF0E44"/>
    <w:rsid w:val="00CF31EC"/>
    <w:rsid w:val="00D01CB0"/>
    <w:rsid w:val="00D031DF"/>
    <w:rsid w:val="00D220C5"/>
    <w:rsid w:val="00D60B5D"/>
    <w:rsid w:val="00D62C0C"/>
    <w:rsid w:val="00D65032"/>
    <w:rsid w:val="00D659CA"/>
    <w:rsid w:val="00D70C66"/>
    <w:rsid w:val="00D8187C"/>
    <w:rsid w:val="00D92BA6"/>
    <w:rsid w:val="00D9482D"/>
    <w:rsid w:val="00DB06EF"/>
    <w:rsid w:val="00DB16D5"/>
    <w:rsid w:val="00DB5685"/>
    <w:rsid w:val="00DD4922"/>
    <w:rsid w:val="00DF5902"/>
    <w:rsid w:val="00DF6CE4"/>
    <w:rsid w:val="00E10664"/>
    <w:rsid w:val="00E10BC1"/>
    <w:rsid w:val="00E16064"/>
    <w:rsid w:val="00E34E14"/>
    <w:rsid w:val="00E46365"/>
    <w:rsid w:val="00E70B21"/>
    <w:rsid w:val="00E76B6D"/>
    <w:rsid w:val="00E773A3"/>
    <w:rsid w:val="00E849AD"/>
    <w:rsid w:val="00E93BA4"/>
    <w:rsid w:val="00EA1A28"/>
    <w:rsid w:val="00EA6215"/>
    <w:rsid w:val="00EB6A3C"/>
    <w:rsid w:val="00EE2710"/>
    <w:rsid w:val="00EF090C"/>
    <w:rsid w:val="00EF465E"/>
    <w:rsid w:val="00F03816"/>
    <w:rsid w:val="00F138A0"/>
    <w:rsid w:val="00F214C9"/>
    <w:rsid w:val="00F3701B"/>
    <w:rsid w:val="00F40AD1"/>
    <w:rsid w:val="00F45483"/>
    <w:rsid w:val="00F4724A"/>
    <w:rsid w:val="00F566C7"/>
    <w:rsid w:val="00F74F6A"/>
    <w:rsid w:val="00F80474"/>
    <w:rsid w:val="00F80E98"/>
    <w:rsid w:val="00F861FD"/>
    <w:rsid w:val="00F868F8"/>
    <w:rsid w:val="00F90A3F"/>
    <w:rsid w:val="00F9357E"/>
    <w:rsid w:val="00FA3FD5"/>
    <w:rsid w:val="00FA63D0"/>
    <w:rsid w:val="00FB162F"/>
    <w:rsid w:val="00FB66D9"/>
    <w:rsid w:val="00FC5967"/>
    <w:rsid w:val="00FD5623"/>
    <w:rsid w:val="00FE0093"/>
    <w:rsid w:val="00FE046D"/>
    <w:rsid w:val="00FE54DB"/>
    <w:rsid w:val="00FE7E36"/>
    <w:rsid w:val="00FF2F3E"/>
    <w:rsid w:val="00FF3E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735548417">
      <w:bodyDiv w:val="1"/>
      <w:marLeft w:val="0"/>
      <w:marRight w:val="0"/>
      <w:marTop w:val="0"/>
      <w:marBottom w:val="0"/>
      <w:divBdr>
        <w:top w:val="none" w:sz="0" w:space="0" w:color="auto"/>
        <w:left w:val="none" w:sz="0" w:space="0" w:color="auto"/>
        <w:bottom w:val="none" w:sz="0" w:space="0" w:color="auto"/>
        <w:right w:val="none" w:sz="0" w:space="0" w:color="auto"/>
      </w:divBdr>
    </w:div>
    <w:div w:id="17826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6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pb.de/7059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 TargetMode="External"/><Relationship Id="rId5" Type="http://schemas.openxmlformats.org/officeDocument/2006/relationships/settings" Target="settings.xml"/><Relationship Id="rId10" Type="http://schemas.openxmlformats.org/officeDocument/2006/relationships/hyperlink" Target="http://creativecommons.org/licenses/by-nc-nd/3.0/de/" TargetMode="External"/><Relationship Id="rId4" Type="http://schemas.microsoft.com/office/2007/relationships/stylesWithEffects" Target="stylesWithEffects.xml"/><Relationship Id="rId9" Type="http://schemas.openxmlformats.org/officeDocument/2006/relationships/hyperlink" Target="https://ec.europa.eu/eurostat/statistics-explained/index.php?title=Glossary:International_standard_classification_of_education_(ISCE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708-82F8-46C9-B6FC-AE0E0C0C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cp:lastPrinted>1900-12-31T23:00:00Z</cp:lastPrinted>
  <dcterms:created xsi:type="dcterms:W3CDTF">2019-09-10T08:18:00Z</dcterms:created>
  <dcterms:modified xsi:type="dcterms:W3CDTF">2019-09-20T10:16:00Z</dcterms:modified>
</cp:coreProperties>
</file>