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DF6ECD" w14:textId="67D5BD4E" w:rsidR="006A337A" w:rsidRPr="006A337A" w:rsidRDefault="00532A16" w:rsidP="006A337A">
      <w:pPr>
        <w:rPr>
          <w:rFonts w:ascii="Arial" w:hAnsi="Arial"/>
          <w:b/>
        </w:rPr>
      </w:pPr>
      <w:bookmarkStart w:id="0" w:name="_GoBack"/>
      <w:bookmarkEnd w:id="0"/>
      <w:r>
        <w:rPr>
          <w:rFonts w:ascii="Arial" w:hAnsi="Arial"/>
          <w:b/>
        </w:rPr>
        <w:t xml:space="preserve">Werden bei der </w:t>
      </w:r>
      <w:r w:rsidR="006A337A" w:rsidRPr="006A337A">
        <w:rPr>
          <w:rFonts w:ascii="Arial" w:hAnsi="Arial"/>
          <w:b/>
        </w:rPr>
        <w:t xml:space="preserve">Versorgung mit Primärenergie </w:t>
      </w:r>
      <w:r>
        <w:rPr>
          <w:rFonts w:ascii="Arial" w:hAnsi="Arial"/>
          <w:b/>
        </w:rPr>
        <w:t xml:space="preserve">die </w:t>
      </w:r>
      <w:r w:rsidR="006A337A" w:rsidRPr="006A337A">
        <w:rPr>
          <w:rFonts w:ascii="Arial" w:hAnsi="Arial"/>
          <w:b/>
        </w:rPr>
        <w:t xml:space="preserve">absoluten Werte </w:t>
      </w:r>
      <w:r>
        <w:rPr>
          <w:rFonts w:ascii="Arial" w:hAnsi="Arial"/>
          <w:b/>
        </w:rPr>
        <w:t>betrachtet</w:t>
      </w:r>
      <w:r w:rsidR="009753E8">
        <w:rPr>
          <w:rFonts w:ascii="Arial" w:hAnsi="Arial"/>
          <w:b/>
        </w:rPr>
        <w:t>, w</w:t>
      </w:r>
      <w:r w:rsidR="006A337A" w:rsidRPr="006A337A">
        <w:rPr>
          <w:rFonts w:ascii="Arial" w:hAnsi="Arial"/>
          <w:b/>
        </w:rPr>
        <w:t>aren im Jahr 2016</w:t>
      </w:r>
      <w:r w:rsidR="009753E8">
        <w:rPr>
          <w:rFonts w:ascii="Arial" w:hAnsi="Arial"/>
          <w:b/>
        </w:rPr>
        <w:t xml:space="preserve"> </w:t>
      </w:r>
      <w:r w:rsidR="006A337A" w:rsidRPr="006A337A">
        <w:rPr>
          <w:rFonts w:ascii="Arial" w:hAnsi="Arial"/>
          <w:b/>
        </w:rPr>
        <w:t xml:space="preserve">Russland, Deutschland, Frankreich, </w:t>
      </w:r>
      <w:r>
        <w:rPr>
          <w:rFonts w:ascii="Arial" w:hAnsi="Arial"/>
          <w:b/>
        </w:rPr>
        <w:t>das V</w:t>
      </w:r>
      <w:r w:rsidR="006A337A" w:rsidRPr="006A337A">
        <w:rPr>
          <w:rFonts w:ascii="Arial" w:hAnsi="Arial"/>
          <w:b/>
        </w:rPr>
        <w:t>ereinigte</w:t>
      </w:r>
      <w:r>
        <w:rPr>
          <w:rFonts w:ascii="Arial" w:hAnsi="Arial"/>
          <w:b/>
        </w:rPr>
        <w:t xml:space="preserve"> K</w:t>
      </w:r>
      <w:r w:rsidR="006A337A" w:rsidRPr="006A337A">
        <w:rPr>
          <w:rFonts w:ascii="Arial" w:hAnsi="Arial"/>
          <w:b/>
        </w:rPr>
        <w:t xml:space="preserve">önigreich und Italien </w:t>
      </w:r>
      <w:r>
        <w:rPr>
          <w:rFonts w:ascii="Arial" w:hAnsi="Arial"/>
          <w:b/>
        </w:rPr>
        <w:t xml:space="preserve">die größten Verbraucher in Europa. </w:t>
      </w:r>
      <w:r w:rsidR="009753E8">
        <w:rPr>
          <w:rFonts w:ascii="Arial" w:hAnsi="Arial"/>
          <w:b/>
        </w:rPr>
        <w:t>Bei de</w:t>
      </w:r>
      <w:r w:rsidR="00555152">
        <w:rPr>
          <w:rFonts w:ascii="Arial" w:hAnsi="Arial"/>
          <w:b/>
        </w:rPr>
        <w:t xml:space="preserve">n </w:t>
      </w:r>
      <w:r w:rsidR="006A337A" w:rsidRPr="006A337A">
        <w:rPr>
          <w:rFonts w:ascii="Arial" w:hAnsi="Arial"/>
          <w:b/>
        </w:rPr>
        <w:t>pro</w:t>
      </w:r>
      <w:r w:rsidR="00555152">
        <w:rPr>
          <w:rFonts w:ascii="Arial" w:hAnsi="Arial"/>
          <w:b/>
        </w:rPr>
        <w:t>-</w:t>
      </w:r>
      <w:r w:rsidR="006A337A" w:rsidRPr="006A337A">
        <w:rPr>
          <w:rFonts w:ascii="Arial" w:hAnsi="Arial"/>
          <w:b/>
        </w:rPr>
        <w:t>Kopf</w:t>
      </w:r>
      <w:r w:rsidR="00555152">
        <w:rPr>
          <w:rFonts w:ascii="Arial" w:hAnsi="Arial"/>
          <w:b/>
        </w:rPr>
        <w:t xml:space="preserve">-Werten ergibt sich jedoch eine ganz andere </w:t>
      </w:r>
      <w:r w:rsidR="006A337A" w:rsidRPr="006A337A">
        <w:rPr>
          <w:rFonts w:ascii="Arial" w:hAnsi="Arial"/>
          <w:b/>
        </w:rPr>
        <w:t>Reihenfolge: In Island erreichte die Primärenergie-Versorgung im Jahr 2016 mit 15,6 Tonnen Öläquivalent pro Kopf den mit Abstand höchsten Wert. Darauf folgten Luxemburg und Finnland (6,2 t pro Kopf)</w:t>
      </w:r>
      <w:r>
        <w:rPr>
          <w:rFonts w:ascii="Arial" w:hAnsi="Arial"/>
          <w:b/>
        </w:rPr>
        <w:t xml:space="preserve"> sowie </w:t>
      </w:r>
      <w:r w:rsidR="006A337A" w:rsidRPr="006A337A">
        <w:rPr>
          <w:rFonts w:ascii="Arial" w:hAnsi="Arial"/>
          <w:b/>
        </w:rPr>
        <w:t>Norwegen (5,2 t)</w:t>
      </w:r>
      <w:r>
        <w:rPr>
          <w:rFonts w:ascii="Arial" w:hAnsi="Arial"/>
          <w:b/>
        </w:rPr>
        <w:t xml:space="preserve">. </w:t>
      </w:r>
      <w:r w:rsidR="006A337A" w:rsidRPr="006A337A">
        <w:rPr>
          <w:rFonts w:ascii="Arial" w:hAnsi="Arial"/>
          <w:b/>
        </w:rPr>
        <w:t>Auf der anderen Seite der Skala standen Albanien (0,8 t pro Kopf), Armenien (1</w:t>
      </w:r>
      <w:r w:rsidR="007F54A0">
        <w:rPr>
          <w:rFonts w:ascii="Arial" w:hAnsi="Arial"/>
          <w:b/>
        </w:rPr>
        <w:t>,0</w:t>
      </w:r>
      <w:r w:rsidR="006A337A" w:rsidRPr="006A337A">
        <w:rPr>
          <w:rFonts w:ascii="Arial" w:hAnsi="Arial"/>
          <w:b/>
        </w:rPr>
        <w:t xml:space="preserve"> t), d</w:t>
      </w:r>
      <w:r w:rsidR="00D53551">
        <w:rPr>
          <w:rFonts w:ascii="Arial" w:hAnsi="Arial"/>
          <w:b/>
        </w:rPr>
        <w:t xml:space="preserve">ie </w:t>
      </w:r>
      <w:r w:rsidR="006A337A" w:rsidRPr="006A337A">
        <w:rPr>
          <w:rFonts w:ascii="Arial" w:hAnsi="Arial"/>
          <w:b/>
        </w:rPr>
        <w:t>Republik Moldau (1,1 t) sowie</w:t>
      </w:r>
      <w:r w:rsidR="00D53551">
        <w:rPr>
          <w:rFonts w:ascii="Arial" w:hAnsi="Arial"/>
          <w:b/>
        </w:rPr>
        <w:t xml:space="preserve"> Nordm</w:t>
      </w:r>
      <w:r w:rsidR="006A337A" w:rsidRPr="006A337A">
        <w:rPr>
          <w:rFonts w:ascii="Arial" w:hAnsi="Arial"/>
          <w:b/>
        </w:rPr>
        <w:t>azedonien und Georgien (1,3 t).</w:t>
      </w:r>
      <w:r>
        <w:rPr>
          <w:rFonts w:ascii="Arial" w:hAnsi="Arial"/>
          <w:b/>
        </w:rPr>
        <w:t xml:space="preserve"> </w:t>
      </w:r>
      <w:r w:rsidR="006A337A" w:rsidRPr="006A337A">
        <w:rPr>
          <w:rFonts w:ascii="Arial" w:hAnsi="Arial"/>
          <w:b/>
        </w:rPr>
        <w:t>EU-weit lag die Primärenergie-Versorgung pro Kopf im Jahr 2016 bei 3,2 Tonnen Öläquivalent. Sie lag damit rund 75 Prozent über dem weltweiten Durchschnitt (1,8 t pro Kopf).</w:t>
      </w:r>
    </w:p>
    <w:p w14:paraId="61AA8922" w14:textId="77777777" w:rsidR="006A337A" w:rsidRDefault="006A337A">
      <w:pPr>
        <w:rPr>
          <w:rFonts w:ascii="Arial" w:hAnsi="Arial"/>
          <w:color w:val="FF0000"/>
        </w:rPr>
      </w:pPr>
    </w:p>
    <w:p w14:paraId="665BD54F" w14:textId="77777777" w:rsidR="00136EB4" w:rsidRPr="00456837" w:rsidRDefault="00136EB4">
      <w:pPr>
        <w:rPr>
          <w:rFonts w:ascii="Arial" w:hAnsi="Arial"/>
          <w:color w:val="FF0000"/>
        </w:rPr>
      </w:pPr>
      <w:r w:rsidRPr="00456837">
        <w:rPr>
          <w:rFonts w:ascii="Arial" w:hAnsi="Arial"/>
          <w:color w:val="FF0000"/>
        </w:rPr>
        <w:t>Fakten</w:t>
      </w:r>
    </w:p>
    <w:p w14:paraId="6C13307B" w14:textId="77777777" w:rsidR="00136EB4" w:rsidRPr="00456837" w:rsidRDefault="00136EB4">
      <w:pPr>
        <w:rPr>
          <w:rFonts w:ascii="Arial" w:hAnsi="Arial"/>
        </w:rPr>
      </w:pPr>
    </w:p>
    <w:p w14:paraId="3737D765" w14:textId="227EB76B" w:rsidR="008677A1" w:rsidRPr="00FB5733" w:rsidRDefault="005B7BE9" w:rsidP="008677A1">
      <w:pPr>
        <w:rPr>
          <w:rFonts w:ascii="Arial" w:hAnsi="Arial"/>
        </w:rPr>
      </w:pPr>
      <w:r w:rsidRPr="00FB5733">
        <w:rPr>
          <w:rFonts w:ascii="Arial" w:hAnsi="Arial"/>
        </w:rPr>
        <w:t>Nach Angaben der International Energy Agency (IEA) lag die weltweite Versorgung mit Primärenergie im Jahr 20</w:t>
      </w:r>
      <w:r w:rsidR="00456837" w:rsidRPr="00FB5733">
        <w:rPr>
          <w:rFonts w:ascii="Arial" w:hAnsi="Arial"/>
        </w:rPr>
        <w:t>16</w:t>
      </w:r>
      <w:r w:rsidRPr="00FB5733">
        <w:rPr>
          <w:rFonts w:ascii="Arial" w:hAnsi="Arial"/>
        </w:rPr>
        <w:t xml:space="preserve"> bei 1</w:t>
      </w:r>
      <w:r w:rsidR="00456837" w:rsidRPr="00FB5733">
        <w:rPr>
          <w:rFonts w:ascii="Arial" w:hAnsi="Arial"/>
        </w:rPr>
        <w:t>3</w:t>
      </w:r>
      <w:r w:rsidRPr="00FB5733">
        <w:rPr>
          <w:rFonts w:ascii="Arial" w:hAnsi="Arial"/>
        </w:rPr>
        <w:t>.</w:t>
      </w:r>
      <w:r w:rsidR="00456837" w:rsidRPr="00FB5733">
        <w:rPr>
          <w:rFonts w:ascii="Arial" w:hAnsi="Arial"/>
        </w:rPr>
        <w:t>761</w:t>
      </w:r>
      <w:r w:rsidRPr="00FB5733">
        <w:rPr>
          <w:rFonts w:ascii="Arial" w:hAnsi="Arial"/>
        </w:rPr>
        <w:t xml:space="preserve"> Millionen Tonnen Öläquivalent. Davon entfielen </w:t>
      </w:r>
      <w:r w:rsidR="00456837" w:rsidRPr="00FB5733">
        <w:rPr>
          <w:rFonts w:ascii="Arial" w:hAnsi="Arial"/>
        </w:rPr>
        <w:t>11</w:t>
      </w:r>
      <w:r w:rsidRPr="00FB5733">
        <w:rPr>
          <w:rFonts w:ascii="Arial" w:hAnsi="Arial"/>
        </w:rPr>
        <w:t>,6 Prozent auf die 2</w:t>
      </w:r>
      <w:r w:rsidR="00456837" w:rsidRPr="00FB5733">
        <w:rPr>
          <w:rFonts w:ascii="Arial" w:hAnsi="Arial"/>
        </w:rPr>
        <w:t>8</w:t>
      </w:r>
      <w:r w:rsidRPr="00FB5733">
        <w:rPr>
          <w:rFonts w:ascii="Arial" w:hAnsi="Arial"/>
        </w:rPr>
        <w:t xml:space="preserve"> Mitgliedstaaten der Europäischen Union (EU). Werden zu den 2</w:t>
      </w:r>
      <w:r w:rsidR="00456837" w:rsidRPr="00FB5733">
        <w:rPr>
          <w:rFonts w:ascii="Arial" w:hAnsi="Arial"/>
        </w:rPr>
        <w:t>8</w:t>
      </w:r>
      <w:r w:rsidRPr="00FB5733">
        <w:rPr>
          <w:rFonts w:ascii="Arial" w:hAnsi="Arial"/>
        </w:rPr>
        <w:t xml:space="preserve"> EU-Staaten noch 1</w:t>
      </w:r>
      <w:r w:rsidR="00456837" w:rsidRPr="00FB5733">
        <w:rPr>
          <w:rFonts w:ascii="Arial" w:hAnsi="Arial"/>
        </w:rPr>
        <w:t>7</w:t>
      </w:r>
      <w:r w:rsidRPr="00FB5733">
        <w:rPr>
          <w:rFonts w:ascii="Arial" w:hAnsi="Arial"/>
        </w:rPr>
        <w:t xml:space="preserve"> weitere europäische Staaten hinzugezählt (siehe Tabelle unten), steigt der Anteil an der weltweiten Primärenergie-Versorgung</w:t>
      </w:r>
      <w:r w:rsidR="00456837" w:rsidRPr="00FB5733">
        <w:rPr>
          <w:rFonts w:ascii="Arial" w:hAnsi="Arial"/>
        </w:rPr>
        <w:t xml:space="preserve"> auf 19,6 Prozent – also um </w:t>
      </w:r>
      <w:r w:rsidRPr="00FB5733">
        <w:rPr>
          <w:rFonts w:ascii="Arial" w:hAnsi="Arial"/>
        </w:rPr>
        <w:t>8</w:t>
      </w:r>
      <w:r w:rsidR="007F54A0">
        <w:rPr>
          <w:rFonts w:ascii="Arial" w:hAnsi="Arial"/>
        </w:rPr>
        <w:t>,0</w:t>
      </w:r>
      <w:r w:rsidRPr="00FB5733">
        <w:rPr>
          <w:rFonts w:ascii="Arial" w:hAnsi="Arial"/>
        </w:rPr>
        <w:t xml:space="preserve"> Prozentpunkte. Dabei ist allerdings zu beachten, dass allein </w:t>
      </w:r>
      <w:r w:rsidR="00532A16">
        <w:rPr>
          <w:rFonts w:ascii="Arial" w:hAnsi="Arial"/>
        </w:rPr>
        <w:t xml:space="preserve">durch </w:t>
      </w:r>
      <w:r w:rsidRPr="00FB5733">
        <w:rPr>
          <w:rFonts w:ascii="Arial" w:hAnsi="Arial"/>
        </w:rPr>
        <w:t>Russland de</w:t>
      </w:r>
      <w:r w:rsidR="00532A16">
        <w:rPr>
          <w:rFonts w:ascii="Arial" w:hAnsi="Arial"/>
        </w:rPr>
        <w:t>r</w:t>
      </w:r>
      <w:r w:rsidRPr="00FB5733">
        <w:rPr>
          <w:rFonts w:ascii="Arial" w:hAnsi="Arial"/>
        </w:rPr>
        <w:t xml:space="preserve"> Anteil um 5,3 Prozentpunkte</w:t>
      </w:r>
      <w:r w:rsidR="00A711B6">
        <w:rPr>
          <w:rFonts w:ascii="Arial" w:hAnsi="Arial"/>
        </w:rPr>
        <w:t xml:space="preserve"> zunimmt.</w:t>
      </w:r>
      <w:r w:rsidRPr="00FB5733">
        <w:rPr>
          <w:rFonts w:ascii="Arial" w:hAnsi="Arial"/>
        </w:rPr>
        <w:br/>
      </w:r>
      <w:r w:rsidRPr="00FB5733">
        <w:rPr>
          <w:rFonts w:ascii="Arial" w:hAnsi="Arial"/>
        </w:rPr>
        <w:br/>
      </w:r>
      <w:r w:rsidR="00B12B37" w:rsidRPr="00FB5733">
        <w:rPr>
          <w:rFonts w:ascii="Arial" w:hAnsi="Arial"/>
        </w:rPr>
        <w:t>D</w:t>
      </w:r>
      <w:r w:rsidR="005E7825" w:rsidRPr="00FB5733">
        <w:rPr>
          <w:rFonts w:ascii="Arial" w:hAnsi="Arial"/>
        </w:rPr>
        <w:t xml:space="preserve">ie absoluten Werte bei der </w:t>
      </w:r>
      <w:r w:rsidRPr="00FB5733">
        <w:rPr>
          <w:rFonts w:ascii="Arial" w:hAnsi="Arial"/>
        </w:rPr>
        <w:t>Primärenergie-Versorgung waren im Jahr 20</w:t>
      </w:r>
      <w:r w:rsidR="005E7825" w:rsidRPr="00FB5733">
        <w:rPr>
          <w:rFonts w:ascii="Arial" w:hAnsi="Arial"/>
        </w:rPr>
        <w:t>16</w:t>
      </w:r>
      <w:r w:rsidRPr="00FB5733">
        <w:rPr>
          <w:rFonts w:ascii="Arial" w:hAnsi="Arial"/>
        </w:rPr>
        <w:t xml:space="preserve"> in Russland (</w:t>
      </w:r>
      <w:r w:rsidR="005E7825" w:rsidRPr="00FB5733">
        <w:rPr>
          <w:rFonts w:ascii="Arial" w:hAnsi="Arial"/>
        </w:rPr>
        <w:t>732</w:t>
      </w:r>
      <w:r w:rsidRPr="00FB5733">
        <w:rPr>
          <w:rFonts w:ascii="Arial" w:hAnsi="Arial"/>
        </w:rPr>
        <w:t xml:space="preserve"> Millionen Tonnen Öläquivalent), Deutschland (31</w:t>
      </w:r>
      <w:r w:rsidR="005E7825" w:rsidRPr="00FB5733">
        <w:rPr>
          <w:rFonts w:ascii="Arial" w:hAnsi="Arial"/>
        </w:rPr>
        <w:t>0</w:t>
      </w:r>
      <w:r w:rsidRPr="00FB5733">
        <w:rPr>
          <w:rFonts w:ascii="Arial" w:hAnsi="Arial"/>
        </w:rPr>
        <w:t xml:space="preserve"> Mio. t), Frankreich (2</w:t>
      </w:r>
      <w:r w:rsidR="005E7825" w:rsidRPr="00FB5733">
        <w:rPr>
          <w:rFonts w:ascii="Arial" w:hAnsi="Arial"/>
        </w:rPr>
        <w:t>44</w:t>
      </w:r>
      <w:r w:rsidRPr="00FB5733">
        <w:rPr>
          <w:rFonts w:ascii="Arial" w:hAnsi="Arial"/>
        </w:rPr>
        <w:t xml:space="preserve"> Mio. t), </w:t>
      </w:r>
      <w:r w:rsidR="005E7825" w:rsidRPr="00FB5733">
        <w:rPr>
          <w:rFonts w:ascii="Arial" w:hAnsi="Arial"/>
        </w:rPr>
        <w:t xml:space="preserve">dem Vereinigten Königreich </w:t>
      </w:r>
      <w:r w:rsidRPr="00FB5733">
        <w:rPr>
          <w:rFonts w:ascii="Arial" w:hAnsi="Arial"/>
        </w:rPr>
        <w:t>(1</w:t>
      </w:r>
      <w:r w:rsidR="005E7825" w:rsidRPr="00FB5733">
        <w:rPr>
          <w:rFonts w:ascii="Arial" w:hAnsi="Arial"/>
        </w:rPr>
        <w:t>79</w:t>
      </w:r>
      <w:r w:rsidRPr="00FB5733">
        <w:rPr>
          <w:rFonts w:ascii="Arial" w:hAnsi="Arial"/>
        </w:rPr>
        <w:t xml:space="preserve"> Mio. t) und Italien (1</w:t>
      </w:r>
      <w:r w:rsidR="005E7825" w:rsidRPr="00FB5733">
        <w:rPr>
          <w:rFonts w:ascii="Arial" w:hAnsi="Arial"/>
        </w:rPr>
        <w:t>51</w:t>
      </w:r>
      <w:r w:rsidRPr="00FB5733">
        <w:rPr>
          <w:rFonts w:ascii="Arial" w:hAnsi="Arial"/>
        </w:rPr>
        <w:t xml:space="preserve"> Mio. t) am höchsten. Wird jedoch die Primärenergie-Versorgung pro Kopf betrachtet, ändert sich die Reihenfolge deutlich: In Island erreichte die Primärenergie-Versorgung</w:t>
      </w:r>
      <w:r w:rsidR="00147A62" w:rsidRPr="00FB5733">
        <w:rPr>
          <w:rFonts w:ascii="Arial" w:hAnsi="Arial"/>
        </w:rPr>
        <w:t xml:space="preserve"> im Jahr 2016</w:t>
      </w:r>
      <w:r w:rsidRPr="00FB5733">
        <w:rPr>
          <w:rFonts w:ascii="Arial" w:hAnsi="Arial"/>
        </w:rPr>
        <w:t xml:space="preserve"> mit 1</w:t>
      </w:r>
      <w:r w:rsidR="00B12B37" w:rsidRPr="00FB5733">
        <w:rPr>
          <w:rFonts w:ascii="Arial" w:hAnsi="Arial"/>
        </w:rPr>
        <w:t>5</w:t>
      </w:r>
      <w:r w:rsidRPr="00FB5733">
        <w:rPr>
          <w:rFonts w:ascii="Arial" w:hAnsi="Arial"/>
        </w:rPr>
        <w:t>,</w:t>
      </w:r>
      <w:r w:rsidR="00B12B37" w:rsidRPr="00FB5733">
        <w:rPr>
          <w:rFonts w:ascii="Arial" w:hAnsi="Arial"/>
        </w:rPr>
        <w:t>6</w:t>
      </w:r>
      <w:r w:rsidRPr="00FB5733">
        <w:rPr>
          <w:rFonts w:ascii="Arial" w:hAnsi="Arial"/>
        </w:rPr>
        <w:t xml:space="preserve"> Tonnen Öläquivalent pro Kopf den mit Abstand höchsten Wert. Darauf folgten Luxemburg </w:t>
      </w:r>
      <w:r w:rsidR="00B12B37" w:rsidRPr="00FB5733">
        <w:rPr>
          <w:rFonts w:ascii="Arial" w:hAnsi="Arial"/>
        </w:rPr>
        <w:t xml:space="preserve">und </w:t>
      </w:r>
      <w:r w:rsidRPr="00FB5733">
        <w:rPr>
          <w:rFonts w:ascii="Arial" w:hAnsi="Arial"/>
        </w:rPr>
        <w:t>Finnland (6,2 t pro Kopf), Norwegen (5,</w:t>
      </w:r>
      <w:r w:rsidR="00B12B37" w:rsidRPr="00FB5733">
        <w:rPr>
          <w:rFonts w:ascii="Arial" w:hAnsi="Arial"/>
        </w:rPr>
        <w:t>2</w:t>
      </w:r>
      <w:r w:rsidRPr="00FB5733">
        <w:rPr>
          <w:rFonts w:ascii="Arial" w:hAnsi="Arial"/>
        </w:rPr>
        <w:t xml:space="preserve"> t)</w:t>
      </w:r>
      <w:r w:rsidR="00B12B37" w:rsidRPr="00FB5733">
        <w:rPr>
          <w:rFonts w:ascii="Arial" w:hAnsi="Arial"/>
        </w:rPr>
        <w:t xml:space="preserve">, Russland (5,1 t) </w:t>
      </w:r>
      <w:r w:rsidRPr="00FB5733">
        <w:rPr>
          <w:rFonts w:ascii="Arial" w:hAnsi="Arial"/>
        </w:rPr>
        <w:t>sowie Belgien (5,</w:t>
      </w:r>
      <w:r w:rsidR="00B12B37" w:rsidRPr="00FB5733">
        <w:rPr>
          <w:rFonts w:ascii="Arial" w:hAnsi="Arial"/>
        </w:rPr>
        <w:t>0</w:t>
      </w:r>
      <w:r w:rsidRPr="00FB5733">
        <w:rPr>
          <w:rFonts w:ascii="Arial" w:hAnsi="Arial"/>
        </w:rPr>
        <w:t xml:space="preserve"> t)</w:t>
      </w:r>
      <w:r w:rsidR="00B12B37" w:rsidRPr="00FB5733">
        <w:rPr>
          <w:rFonts w:ascii="Arial" w:hAnsi="Arial"/>
        </w:rPr>
        <w:t xml:space="preserve">, </w:t>
      </w:r>
      <w:r w:rsidRPr="00FB5733">
        <w:rPr>
          <w:rFonts w:ascii="Arial" w:hAnsi="Arial"/>
        </w:rPr>
        <w:t>Schweden (4,9</w:t>
      </w:r>
      <w:r w:rsidR="00B12B37" w:rsidRPr="00FB5733">
        <w:rPr>
          <w:rFonts w:ascii="Arial" w:hAnsi="Arial"/>
        </w:rPr>
        <w:t xml:space="preserve"> </w:t>
      </w:r>
      <w:r w:rsidRPr="00FB5733">
        <w:rPr>
          <w:rFonts w:ascii="Arial" w:hAnsi="Arial"/>
        </w:rPr>
        <w:t>t) und die Niederlande (4,4 t). </w:t>
      </w:r>
      <w:r w:rsidR="00E61CE3" w:rsidRPr="00FB5733">
        <w:rPr>
          <w:rFonts w:ascii="Arial" w:hAnsi="Arial"/>
        </w:rPr>
        <w:t xml:space="preserve">Deutschland (3,8 t) stand </w:t>
      </w:r>
      <w:r w:rsidR="008677A1" w:rsidRPr="00FB5733">
        <w:rPr>
          <w:rFonts w:ascii="Arial" w:hAnsi="Arial"/>
        </w:rPr>
        <w:t>bei den 45 hier betrachteten Staaten auf Rang 12</w:t>
      </w:r>
      <w:r w:rsidR="00E61CE3" w:rsidRPr="00FB5733">
        <w:rPr>
          <w:rFonts w:ascii="Arial" w:hAnsi="Arial"/>
        </w:rPr>
        <w:t>.</w:t>
      </w:r>
      <w:r w:rsidR="008677A1" w:rsidRPr="00FB5733">
        <w:rPr>
          <w:rFonts w:ascii="Arial" w:hAnsi="Arial"/>
        </w:rPr>
        <w:t xml:space="preserve"> Die auf Russland und Deutschland folgenden Top-Verbraucher Frankreich (3,6 t pro Kopf), das Vereinigte Königreich (2,7 t) und Italien (2,5 t) belegten</w:t>
      </w:r>
      <w:r w:rsidR="00531138" w:rsidRPr="00FB5733">
        <w:rPr>
          <w:rFonts w:ascii="Arial" w:hAnsi="Arial"/>
        </w:rPr>
        <w:t xml:space="preserve"> bezogen auf die pro-Kopf-Werte</w:t>
      </w:r>
      <w:r w:rsidR="008677A1" w:rsidRPr="00FB5733">
        <w:rPr>
          <w:rFonts w:ascii="Arial" w:hAnsi="Arial"/>
        </w:rPr>
        <w:t xml:space="preserve"> die Ränge 13, 19 und 27.</w:t>
      </w:r>
    </w:p>
    <w:p w14:paraId="744F0924" w14:textId="77777777" w:rsidR="008677A1" w:rsidRPr="00FB5733" w:rsidRDefault="008677A1">
      <w:pPr>
        <w:rPr>
          <w:rFonts w:ascii="Arial" w:hAnsi="Arial"/>
        </w:rPr>
      </w:pPr>
    </w:p>
    <w:p w14:paraId="171EA6E9" w14:textId="5EA1E452" w:rsidR="00B3590B" w:rsidRPr="00FB5733" w:rsidRDefault="005B7BE9">
      <w:pPr>
        <w:rPr>
          <w:rFonts w:ascii="Arial" w:hAnsi="Arial"/>
        </w:rPr>
      </w:pPr>
      <w:r w:rsidRPr="00FB5733">
        <w:rPr>
          <w:rFonts w:ascii="Arial" w:hAnsi="Arial"/>
        </w:rPr>
        <w:t xml:space="preserve">Auf der anderen Seite der Skala </w:t>
      </w:r>
      <w:r w:rsidR="00E61CE3" w:rsidRPr="00FB5733">
        <w:rPr>
          <w:rFonts w:ascii="Arial" w:hAnsi="Arial"/>
        </w:rPr>
        <w:t xml:space="preserve">der Primärenergie-Versorgung pro Kopf </w:t>
      </w:r>
      <w:r w:rsidRPr="00FB5733">
        <w:rPr>
          <w:rFonts w:ascii="Arial" w:hAnsi="Arial"/>
        </w:rPr>
        <w:t>standen mit Albanien (0,</w:t>
      </w:r>
      <w:r w:rsidR="00E61CE3" w:rsidRPr="00FB5733">
        <w:rPr>
          <w:rFonts w:ascii="Arial" w:hAnsi="Arial"/>
        </w:rPr>
        <w:t>8</w:t>
      </w:r>
      <w:r w:rsidRPr="00FB5733">
        <w:rPr>
          <w:rFonts w:ascii="Arial" w:hAnsi="Arial"/>
        </w:rPr>
        <w:t xml:space="preserve"> t pro Kopf)</w:t>
      </w:r>
      <w:r w:rsidR="00E61CE3" w:rsidRPr="00FB5733">
        <w:rPr>
          <w:rFonts w:ascii="Arial" w:hAnsi="Arial"/>
        </w:rPr>
        <w:t>, Armenien (1</w:t>
      </w:r>
      <w:r w:rsidR="007F54A0">
        <w:rPr>
          <w:rFonts w:ascii="Arial" w:hAnsi="Arial"/>
        </w:rPr>
        <w:t>,0</w:t>
      </w:r>
      <w:r w:rsidR="00E61CE3" w:rsidRPr="00FB5733">
        <w:rPr>
          <w:rFonts w:ascii="Arial" w:hAnsi="Arial"/>
        </w:rPr>
        <w:t xml:space="preserve"> t)</w:t>
      </w:r>
      <w:r w:rsidRPr="00FB5733">
        <w:rPr>
          <w:rFonts w:ascii="Arial" w:hAnsi="Arial"/>
        </w:rPr>
        <w:t>, der Republik Moldau (</w:t>
      </w:r>
      <w:r w:rsidR="00E61CE3" w:rsidRPr="00FB5733">
        <w:rPr>
          <w:rFonts w:ascii="Arial" w:hAnsi="Arial"/>
        </w:rPr>
        <w:t>1,1</w:t>
      </w:r>
      <w:r w:rsidRPr="00FB5733">
        <w:rPr>
          <w:rFonts w:ascii="Arial" w:hAnsi="Arial"/>
        </w:rPr>
        <w:t xml:space="preserve"> t)</w:t>
      </w:r>
      <w:r w:rsidR="00E61CE3" w:rsidRPr="00FB5733">
        <w:rPr>
          <w:rFonts w:ascii="Arial" w:hAnsi="Arial"/>
        </w:rPr>
        <w:t xml:space="preserve"> sowie </w:t>
      </w:r>
      <w:r w:rsidR="00D53551">
        <w:rPr>
          <w:rFonts w:ascii="Arial" w:hAnsi="Arial"/>
        </w:rPr>
        <w:t>Nordm</w:t>
      </w:r>
      <w:r w:rsidR="00E61CE3" w:rsidRPr="00FB5733">
        <w:rPr>
          <w:rFonts w:ascii="Arial" w:hAnsi="Arial"/>
        </w:rPr>
        <w:t xml:space="preserve">azedonien und </w:t>
      </w:r>
      <w:r w:rsidRPr="00FB5733">
        <w:rPr>
          <w:rFonts w:ascii="Arial" w:hAnsi="Arial"/>
        </w:rPr>
        <w:t>Georgien (</w:t>
      </w:r>
      <w:r w:rsidR="00E61CE3" w:rsidRPr="00FB5733">
        <w:rPr>
          <w:rFonts w:ascii="Arial" w:hAnsi="Arial"/>
        </w:rPr>
        <w:t>1</w:t>
      </w:r>
      <w:r w:rsidRPr="00FB5733">
        <w:rPr>
          <w:rFonts w:ascii="Arial" w:hAnsi="Arial"/>
        </w:rPr>
        <w:t>,3 t) fünf Nicht-EU-Mitglieder. Bezogen auf die EU-2</w:t>
      </w:r>
      <w:r w:rsidR="001026CE" w:rsidRPr="00FB5733">
        <w:rPr>
          <w:rFonts w:ascii="Arial" w:hAnsi="Arial"/>
        </w:rPr>
        <w:t xml:space="preserve">8-Staaten </w:t>
      </w:r>
      <w:r w:rsidRPr="00FB5733">
        <w:rPr>
          <w:rFonts w:ascii="Arial" w:hAnsi="Arial"/>
        </w:rPr>
        <w:t xml:space="preserve">war die Primärenergie-Versorgung pro Kopf in </w:t>
      </w:r>
      <w:r w:rsidR="00E61CE3" w:rsidRPr="00FB5733">
        <w:rPr>
          <w:rFonts w:ascii="Arial" w:hAnsi="Arial"/>
        </w:rPr>
        <w:t xml:space="preserve">Malta (1,3 t), </w:t>
      </w:r>
      <w:r w:rsidRPr="00FB5733">
        <w:rPr>
          <w:rFonts w:ascii="Arial" w:hAnsi="Arial"/>
        </w:rPr>
        <w:t xml:space="preserve">Rumänien (1,6 t), </w:t>
      </w:r>
      <w:r w:rsidR="00E61CE3" w:rsidRPr="00FB5733">
        <w:rPr>
          <w:rFonts w:ascii="Arial" w:hAnsi="Arial"/>
        </w:rPr>
        <w:t>Kroatien</w:t>
      </w:r>
      <w:r w:rsidRPr="00FB5733">
        <w:rPr>
          <w:rFonts w:ascii="Arial" w:hAnsi="Arial"/>
        </w:rPr>
        <w:t xml:space="preserve"> (</w:t>
      </w:r>
      <w:r w:rsidR="00E61CE3" w:rsidRPr="00FB5733">
        <w:rPr>
          <w:rFonts w:ascii="Arial" w:hAnsi="Arial"/>
        </w:rPr>
        <w:t>2</w:t>
      </w:r>
      <w:r w:rsidR="007F54A0">
        <w:rPr>
          <w:rFonts w:ascii="Arial" w:hAnsi="Arial"/>
        </w:rPr>
        <w:t>,0</w:t>
      </w:r>
      <w:r w:rsidRPr="00FB5733">
        <w:rPr>
          <w:rFonts w:ascii="Arial" w:hAnsi="Arial"/>
        </w:rPr>
        <w:t xml:space="preserve"> t), </w:t>
      </w:r>
      <w:r w:rsidR="00E61CE3" w:rsidRPr="00FB5733">
        <w:rPr>
          <w:rFonts w:ascii="Arial" w:hAnsi="Arial"/>
        </w:rPr>
        <w:t xml:space="preserve">Griechenland und Portugal </w:t>
      </w:r>
      <w:r w:rsidRPr="00FB5733">
        <w:rPr>
          <w:rFonts w:ascii="Arial" w:hAnsi="Arial"/>
        </w:rPr>
        <w:t>(2,</w:t>
      </w:r>
      <w:r w:rsidR="00E61CE3" w:rsidRPr="00FB5733">
        <w:rPr>
          <w:rFonts w:ascii="Arial" w:hAnsi="Arial"/>
        </w:rPr>
        <w:t>1</w:t>
      </w:r>
      <w:r w:rsidRPr="00FB5733">
        <w:rPr>
          <w:rFonts w:ascii="Arial" w:hAnsi="Arial"/>
        </w:rPr>
        <w:t xml:space="preserve"> t) am niedrigsten.</w:t>
      </w:r>
      <w:r w:rsidRPr="00FB5733">
        <w:rPr>
          <w:rFonts w:ascii="Arial" w:hAnsi="Arial"/>
        </w:rPr>
        <w:br/>
      </w:r>
      <w:r w:rsidRPr="00FB5733">
        <w:rPr>
          <w:rFonts w:ascii="Arial" w:hAnsi="Arial"/>
        </w:rPr>
        <w:br/>
        <w:t>EU-weit lag die Primärenergie-Versorgung pro Kopf im Jahr 20</w:t>
      </w:r>
      <w:r w:rsidR="00B3590B" w:rsidRPr="00FB5733">
        <w:rPr>
          <w:rFonts w:ascii="Arial" w:hAnsi="Arial"/>
        </w:rPr>
        <w:t>16</w:t>
      </w:r>
      <w:r w:rsidRPr="00FB5733">
        <w:rPr>
          <w:rFonts w:ascii="Arial" w:hAnsi="Arial"/>
        </w:rPr>
        <w:t xml:space="preserve"> bei 3,</w:t>
      </w:r>
      <w:r w:rsidR="00B3590B" w:rsidRPr="00FB5733">
        <w:rPr>
          <w:rFonts w:ascii="Arial" w:hAnsi="Arial"/>
        </w:rPr>
        <w:t>2</w:t>
      </w:r>
      <w:r w:rsidRPr="00FB5733">
        <w:rPr>
          <w:rFonts w:ascii="Arial" w:hAnsi="Arial"/>
        </w:rPr>
        <w:t xml:space="preserve"> Tonnen Öläquivalent. Sie lag damit </w:t>
      </w:r>
      <w:r w:rsidR="00B3590B" w:rsidRPr="00FB5733">
        <w:rPr>
          <w:rFonts w:ascii="Arial" w:hAnsi="Arial"/>
        </w:rPr>
        <w:t>rund 75</w:t>
      </w:r>
      <w:r w:rsidRPr="00FB5733">
        <w:rPr>
          <w:rFonts w:ascii="Arial" w:hAnsi="Arial"/>
        </w:rPr>
        <w:t xml:space="preserve"> Prozent über dem weltweiten Durchschnitt (1,</w:t>
      </w:r>
      <w:r w:rsidR="00B3590B" w:rsidRPr="00FB5733">
        <w:rPr>
          <w:rFonts w:ascii="Arial" w:hAnsi="Arial"/>
        </w:rPr>
        <w:t>8</w:t>
      </w:r>
      <w:r w:rsidRPr="00FB5733">
        <w:rPr>
          <w:rFonts w:ascii="Arial" w:hAnsi="Arial"/>
        </w:rPr>
        <w:t xml:space="preserve"> t pro Kopf). Die pro Kopf Primärenergie-Versorgung der 4</w:t>
      </w:r>
      <w:r w:rsidR="00B3590B" w:rsidRPr="00FB5733">
        <w:rPr>
          <w:rFonts w:ascii="Arial" w:hAnsi="Arial"/>
        </w:rPr>
        <w:t>5</w:t>
      </w:r>
      <w:r w:rsidRPr="00FB5733">
        <w:rPr>
          <w:rFonts w:ascii="Arial" w:hAnsi="Arial"/>
        </w:rPr>
        <w:t xml:space="preserve"> hier betrachteten Staaten </w:t>
      </w:r>
      <w:r w:rsidR="00B3590B" w:rsidRPr="00FB5733">
        <w:rPr>
          <w:rFonts w:ascii="Arial" w:hAnsi="Arial"/>
        </w:rPr>
        <w:t xml:space="preserve">entsprach </w:t>
      </w:r>
      <w:r w:rsidRPr="00FB5733">
        <w:rPr>
          <w:rFonts w:ascii="Arial" w:hAnsi="Arial"/>
        </w:rPr>
        <w:t>mit 3,</w:t>
      </w:r>
      <w:r w:rsidR="00B3590B" w:rsidRPr="00FB5733">
        <w:rPr>
          <w:rFonts w:ascii="Arial" w:hAnsi="Arial"/>
        </w:rPr>
        <w:t>1</w:t>
      </w:r>
      <w:r w:rsidRPr="00FB5733">
        <w:rPr>
          <w:rFonts w:ascii="Arial" w:hAnsi="Arial"/>
        </w:rPr>
        <w:t xml:space="preserve"> Tonnen Öläquivalent </w:t>
      </w:r>
      <w:r w:rsidR="00B3590B" w:rsidRPr="00FB5733">
        <w:rPr>
          <w:rFonts w:ascii="Arial" w:hAnsi="Arial"/>
        </w:rPr>
        <w:t xml:space="preserve">in etwa dem </w:t>
      </w:r>
      <w:r w:rsidRPr="00FB5733">
        <w:rPr>
          <w:rFonts w:ascii="Arial" w:hAnsi="Arial"/>
        </w:rPr>
        <w:t xml:space="preserve">EU-Durchschnitt. </w:t>
      </w:r>
      <w:r w:rsidR="00DD0E65" w:rsidRPr="00FB5733">
        <w:rPr>
          <w:rFonts w:ascii="Arial" w:hAnsi="Arial"/>
        </w:rPr>
        <w:t>Zum Vergleich lag die Primärenergie-Versorgung pro Kopf im Jahr 2016 in China bzw. in den USA bei 2,1 bzw. 6,6 Tonnen Öläquivalent.</w:t>
      </w:r>
    </w:p>
    <w:p w14:paraId="0DF603CD" w14:textId="77777777" w:rsidR="00FB5733" w:rsidRPr="00FB5733" w:rsidRDefault="00FB5733">
      <w:pPr>
        <w:rPr>
          <w:rFonts w:ascii="Arial" w:hAnsi="Arial"/>
        </w:rPr>
      </w:pPr>
    </w:p>
    <w:p w14:paraId="31FC8A11" w14:textId="77777777" w:rsidR="00136EB4" w:rsidRPr="007F54A0" w:rsidRDefault="00136EB4">
      <w:pPr>
        <w:rPr>
          <w:rFonts w:ascii="Arial" w:hAnsi="Arial"/>
          <w:color w:val="FF0000"/>
          <w:lang w:val="en-US"/>
        </w:rPr>
      </w:pPr>
      <w:proofErr w:type="spellStart"/>
      <w:r w:rsidRPr="007F54A0">
        <w:rPr>
          <w:rFonts w:ascii="Arial" w:hAnsi="Arial"/>
          <w:color w:val="FF0000"/>
          <w:lang w:val="en-US"/>
        </w:rPr>
        <w:t>Datenquelle</w:t>
      </w:r>
      <w:proofErr w:type="spellEnd"/>
    </w:p>
    <w:p w14:paraId="404989AA" w14:textId="77777777" w:rsidR="00136EB4" w:rsidRPr="007F54A0" w:rsidRDefault="00136EB4">
      <w:pPr>
        <w:rPr>
          <w:rFonts w:ascii="Arial" w:hAnsi="Arial"/>
          <w:lang w:val="en-US"/>
        </w:rPr>
      </w:pPr>
    </w:p>
    <w:p w14:paraId="60331047" w14:textId="667280A6" w:rsidR="00AD136C" w:rsidRPr="007F54A0" w:rsidRDefault="00557151">
      <w:pPr>
        <w:rPr>
          <w:rFonts w:ascii="Arial" w:hAnsi="Arial"/>
          <w:lang w:val="en-US"/>
        </w:rPr>
      </w:pPr>
      <w:proofErr w:type="spellStart"/>
      <w:r w:rsidRPr="007F54A0">
        <w:rPr>
          <w:rFonts w:ascii="Arial" w:hAnsi="Arial"/>
          <w:lang w:val="en-US"/>
        </w:rPr>
        <w:lastRenderedPageBreak/>
        <w:t>Quelle</w:t>
      </w:r>
      <w:proofErr w:type="spellEnd"/>
      <w:r w:rsidRPr="007F54A0">
        <w:rPr>
          <w:rFonts w:ascii="Arial" w:hAnsi="Arial"/>
          <w:lang w:val="en-US"/>
        </w:rPr>
        <w:t>: IEA World Energy Balances database © OECD/IEA 2018, www.iea.org/statistics; Eurostat: Online-</w:t>
      </w:r>
      <w:proofErr w:type="spellStart"/>
      <w:r w:rsidRPr="007F54A0">
        <w:rPr>
          <w:rFonts w:ascii="Arial" w:hAnsi="Arial"/>
          <w:lang w:val="en-US"/>
        </w:rPr>
        <w:t>Datenbank</w:t>
      </w:r>
      <w:proofErr w:type="spellEnd"/>
      <w:r w:rsidRPr="007F54A0">
        <w:rPr>
          <w:rFonts w:ascii="Arial" w:hAnsi="Arial"/>
          <w:lang w:val="en-US"/>
        </w:rPr>
        <w:t>: Population change (Stand: 05/2018); United Nations Conference on Trade and Development (UNCTAD): Online-</w:t>
      </w:r>
      <w:proofErr w:type="spellStart"/>
      <w:r w:rsidRPr="007F54A0">
        <w:rPr>
          <w:rFonts w:ascii="Arial" w:hAnsi="Arial"/>
          <w:lang w:val="en-US"/>
        </w:rPr>
        <w:t>Datenbank</w:t>
      </w:r>
      <w:proofErr w:type="spellEnd"/>
      <w:r w:rsidRPr="007F54A0">
        <w:rPr>
          <w:rFonts w:ascii="Arial" w:hAnsi="Arial"/>
          <w:lang w:val="en-US"/>
        </w:rPr>
        <w:t xml:space="preserve">: </w:t>
      </w:r>
      <w:proofErr w:type="spellStart"/>
      <w:r w:rsidRPr="007F54A0">
        <w:rPr>
          <w:rFonts w:ascii="Arial" w:hAnsi="Arial"/>
          <w:lang w:val="en-US"/>
        </w:rPr>
        <w:t>UNCTADstat</w:t>
      </w:r>
      <w:proofErr w:type="spellEnd"/>
      <w:r w:rsidRPr="007F54A0">
        <w:rPr>
          <w:rFonts w:ascii="Arial" w:hAnsi="Arial"/>
          <w:lang w:val="en-US"/>
        </w:rPr>
        <w:t>: Population (Stand: 12/2018)</w:t>
      </w:r>
    </w:p>
    <w:p w14:paraId="2204659C" w14:textId="77777777" w:rsidR="00557151" w:rsidRPr="007F54A0" w:rsidRDefault="00557151">
      <w:pPr>
        <w:rPr>
          <w:rFonts w:ascii="Arial" w:hAnsi="Arial"/>
          <w:lang w:val="en-US"/>
        </w:rPr>
      </w:pPr>
    </w:p>
    <w:p w14:paraId="1DBAE824" w14:textId="77777777" w:rsidR="00136EB4" w:rsidRPr="005B7BE9" w:rsidRDefault="00136EB4">
      <w:pPr>
        <w:tabs>
          <w:tab w:val="left" w:pos="3060"/>
        </w:tabs>
        <w:rPr>
          <w:rFonts w:ascii="Arial" w:hAnsi="Arial"/>
          <w:color w:val="FF0000"/>
        </w:rPr>
      </w:pPr>
      <w:r w:rsidRPr="005B7BE9">
        <w:rPr>
          <w:rFonts w:ascii="Arial" w:hAnsi="Arial"/>
          <w:color w:val="FF0000"/>
        </w:rPr>
        <w:t>Begriffe, methodische Anmerkungen oder Lesehilfen</w:t>
      </w:r>
    </w:p>
    <w:p w14:paraId="26687815" w14:textId="77777777" w:rsidR="00136EB4" w:rsidRPr="00FB5733" w:rsidRDefault="00136EB4" w:rsidP="00FB5733">
      <w:pPr>
        <w:rPr>
          <w:rFonts w:ascii="Arial" w:hAnsi="Arial"/>
        </w:rPr>
      </w:pPr>
    </w:p>
    <w:p w14:paraId="10D390A7" w14:textId="77777777" w:rsidR="0090645E" w:rsidRPr="00557151" w:rsidRDefault="0090645E" w:rsidP="0090645E">
      <w:pPr>
        <w:rPr>
          <w:rFonts w:ascii="Arial" w:hAnsi="Arial"/>
        </w:rPr>
      </w:pPr>
      <w:r w:rsidRPr="00557151">
        <w:rPr>
          <w:rFonts w:ascii="Arial" w:hAnsi="Arial"/>
        </w:rPr>
        <w:t xml:space="preserve">Informationen zum </w:t>
      </w:r>
      <w:r w:rsidRPr="00557151">
        <w:rPr>
          <w:rFonts w:ascii="Arial" w:hAnsi="Arial"/>
          <w:b/>
        </w:rPr>
        <w:t>Energiemix</w:t>
      </w:r>
      <w:r w:rsidR="00FB5733">
        <w:rPr>
          <w:rFonts w:ascii="Arial" w:hAnsi="Arial"/>
          <w:b/>
        </w:rPr>
        <w:t xml:space="preserve"> in Europa</w:t>
      </w:r>
      <w:r w:rsidR="007B7560" w:rsidRPr="00557151">
        <w:rPr>
          <w:rFonts w:ascii="Arial" w:hAnsi="Arial"/>
          <w:b/>
        </w:rPr>
        <w:t xml:space="preserve"> </w:t>
      </w:r>
      <w:r w:rsidRPr="00557151">
        <w:rPr>
          <w:rFonts w:ascii="Arial" w:hAnsi="Arial"/>
        </w:rPr>
        <w:t>erhalten Sie</w:t>
      </w:r>
      <w:r w:rsidR="00557151" w:rsidRPr="00557151">
        <w:rPr>
          <w:rFonts w:ascii="Arial" w:hAnsi="Arial"/>
        </w:rPr>
        <w:t xml:space="preserve"> hier: </w:t>
      </w:r>
      <w:hyperlink r:id="rId5" w:history="1">
        <w:r w:rsidR="00557151" w:rsidRPr="00557151">
          <w:rPr>
            <w:rStyle w:val="Hyperlink"/>
            <w:rFonts w:ascii="Arial" w:hAnsi="Arial"/>
          </w:rPr>
          <w:t>http://www.bpb.de/75138</w:t>
        </w:r>
      </w:hyperlink>
    </w:p>
    <w:p w14:paraId="1F611409" w14:textId="77777777" w:rsidR="00557151" w:rsidRDefault="00557151" w:rsidP="0090645E">
      <w:pPr>
        <w:rPr>
          <w:rFonts w:ascii="Arial" w:hAnsi="Arial"/>
        </w:rPr>
      </w:pPr>
    </w:p>
    <w:p w14:paraId="6A4A6E0A" w14:textId="77777777" w:rsidR="00D31AA0" w:rsidRPr="00FB5733" w:rsidRDefault="00D31AA0" w:rsidP="00D31AA0">
      <w:pPr>
        <w:rPr>
          <w:rFonts w:ascii="Arial" w:hAnsi="Arial"/>
        </w:rPr>
      </w:pPr>
      <w:r w:rsidRPr="008F183B">
        <w:rPr>
          <w:rFonts w:ascii="Arial" w:hAnsi="Arial"/>
          <w:b/>
          <w:color w:val="000000"/>
        </w:rPr>
        <w:t xml:space="preserve">Primärenergie </w:t>
      </w:r>
      <w:r w:rsidRPr="008F183B">
        <w:rPr>
          <w:rFonts w:ascii="Arial" w:hAnsi="Arial"/>
          <w:color w:val="000000"/>
        </w:rPr>
        <w:t xml:space="preserve">ist die von noch nicht weiterbearbeiteten Energieträgern stammende Energie. Primärenergieträger sind zum Beispiel Steinkohle, Braunkohle, Erdöl, Erdgas, Wasser, Wind, Kernbrennstoffe, Solarstrahlung und so weiter. Aus der Primärenergie wird durch Aufbereitung zum Beispiel in Kraftwerken oder Raffinerien die </w:t>
      </w:r>
      <w:r w:rsidRPr="008F183B">
        <w:rPr>
          <w:rFonts w:ascii="Arial" w:hAnsi="Arial"/>
          <w:b/>
          <w:color w:val="000000"/>
        </w:rPr>
        <w:t>Endenergie</w:t>
      </w:r>
      <w:r w:rsidRPr="008F183B">
        <w:rPr>
          <w:rFonts w:ascii="Arial" w:hAnsi="Arial"/>
          <w:color w:val="000000"/>
        </w:rPr>
        <w:t xml:space="preserve"> (Sekundärenergie). Die Form der Energie, in der sie tatsächlich vom Anwender verwendet wird, wird </w:t>
      </w:r>
      <w:r w:rsidRPr="008F183B">
        <w:rPr>
          <w:rFonts w:ascii="Arial" w:hAnsi="Arial"/>
          <w:b/>
          <w:color w:val="000000"/>
        </w:rPr>
        <w:t>Nutzenergie</w:t>
      </w:r>
      <w:r w:rsidRPr="008F183B">
        <w:rPr>
          <w:rFonts w:ascii="Arial" w:hAnsi="Arial"/>
          <w:color w:val="000000"/>
        </w:rPr>
        <w:t xml:space="preserve"> genannt. Ein Beispiel: Rohöl (</w:t>
      </w:r>
      <w:r w:rsidRPr="008F183B">
        <w:rPr>
          <w:rFonts w:ascii="Arial" w:hAnsi="Arial"/>
        </w:rPr>
        <w:t>Primärenergie) wird zu Heizöl (Endenergie/Sekundärenergie) wird zu Wärme (Nutzenergie).</w:t>
      </w:r>
    </w:p>
    <w:p w14:paraId="446C6E7E" w14:textId="77777777" w:rsidR="00D31AA0" w:rsidRPr="00DB2E08" w:rsidRDefault="00D31AA0" w:rsidP="00D31AA0">
      <w:pPr>
        <w:rPr>
          <w:rFonts w:ascii="Arial" w:hAnsi="Arial"/>
        </w:rPr>
      </w:pPr>
    </w:p>
    <w:p w14:paraId="0ED7B117" w14:textId="77777777" w:rsidR="00D31AA0" w:rsidRPr="00DB2E08" w:rsidRDefault="00D31AA0" w:rsidP="00D31AA0">
      <w:pPr>
        <w:rPr>
          <w:rFonts w:ascii="Arial" w:hAnsi="Arial"/>
        </w:rPr>
      </w:pPr>
      <w:r w:rsidRPr="008F183B">
        <w:rPr>
          <w:rFonts w:ascii="Arial" w:hAnsi="Arial"/>
        </w:rPr>
        <w:t xml:space="preserve">Nach der IEA entspricht die </w:t>
      </w:r>
      <w:r w:rsidRPr="008F183B">
        <w:rPr>
          <w:rFonts w:ascii="Arial" w:hAnsi="Arial"/>
          <w:b/>
        </w:rPr>
        <w:t>Primärenergie-Versorgung</w:t>
      </w:r>
      <w:r w:rsidRPr="008F183B">
        <w:rPr>
          <w:rFonts w:ascii="Arial" w:hAnsi="Arial"/>
        </w:rPr>
        <w:t xml:space="preserve"> der Primärenergie-Produktion zuzüglich der Importe und abzüglich der Exporte; zudem wird die Veränderung der Lagerbestände – bei Produzenten, Importeuren, großen Konsumenten etc. – eingerechnet.</w:t>
      </w:r>
    </w:p>
    <w:p w14:paraId="03B1869E" w14:textId="77777777" w:rsidR="00D31AA0" w:rsidRPr="00DB2E08" w:rsidRDefault="00D31AA0" w:rsidP="00D31AA0">
      <w:pPr>
        <w:rPr>
          <w:rFonts w:ascii="Arial" w:hAnsi="Arial"/>
        </w:rPr>
      </w:pPr>
    </w:p>
    <w:p w14:paraId="4C8604E9" w14:textId="77777777" w:rsidR="00D31AA0" w:rsidRPr="00C202B1" w:rsidRDefault="00D31AA0" w:rsidP="00D31AA0">
      <w:pPr>
        <w:rPr>
          <w:rFonts w:ascii="Arial" w:hAnsi="Arial"/>
        </w:rPr>
      </w:pPr>
      <w:r w:rsidRPr="008F183B">
        <w:rPr>
          <w:rFonts w:ascii="Arial" w:hAnsi="Arial"/>
        </w:rPr>
        <w:t>Um die Energieträger vergleichbar zu machen, werden sie mithilfe einzelner Umrechnungsfaktoren auf das Öl bezogen (</w:t>
      </w:r>
      <w:r w:rsidRPr="00C202B1">
        <w:rPr>
          <w:rFonts w:ascii="Arial" w:hAnsi="Arial"/>
        </w:rPr>
        <w:t>Öläquivalent</w:t>
      </w:r>
      <w:r w:rsidRPr="008F183B">
        <w:rPr>
          <w:rFonts w:ascii="Arial" w:hAnsi="Arial"/>
        </w:rPr>
        <w:t xml:space="preserve">). </w:t>
      </w:r>
      <w:r w:rsidRPr="00C202B1">
        <w:rPr>
          <w:rFonts w:ascii="Arial" w:hAnsi="Arial"/>
        </w:rPr>
        <w:t>Nach Angaben des Energiekonzerns British Petroleum (BP) entspricht eine Tonne Öläquivalent beispielsweise in etwa 1,5 Tonnen Steinkohle, 1.1</w:t>
      </w:r>
      <w:r>
        <w:rPr>
          <w:rFonts w:ascii="Arial" w:hAnsi="Arial"/>
        </w:rPr>
        <w:t>63</w:t>
      </w:r>
      <w:r w:rsidRPr="00C202B1">
        <w:rPr>
          <w:rFonts w:ascii="Arial" w:hAnsi="Arial"/>
        </w:rPr>
        <w:t xml:space="preserve"> Kubikmeter Erdgas oder auch 12 Megawattstunden (Primärenergie).</w:t>
      </w:r>
    </w:p>
    <w:p w14:paraId="4C772A3F" w14:textId="77777777" w:rsidR="00D31AA0" w:rsidRPr="00DB2E08" w:rsidRDefault="00D31AA0" w:rsidP="00D31AA0">
      <w:pPr>
        <w:rPr>
          <w:rFonts w:ascii="Arial" w:hAnsi="Arial"/>
        </w:rPr>
      </w:pPr>
    </w:p>
    <w:p w14:paraId="129C974B" w14:textId="77777777" w:rsidR="00D31AA0" w:rsidRPr="00DB2E08" w:rsidRDefault="00D31AA0" w:rsidP="00D31AA0">
      <w:pPr>
        <w:rPr>
          <w:rFonts w:ascii="Arial" w:hAnsi="Arial"/>
        </w:rPr>
      </w:pPr>
      <w:r w:rsidRPr="008F183B">
        <w:rPr>
          <w:rFonts w:ascii="Arial" w:hAnsi="Arial"/>
        </w:rPr>
        <w:t>Die international angewandte Methode zur Bestimmung des Primärenergieäquivalents</w:t>
      </w:r>
      <w:r w:rsidRPr="008F183B">
        <w:rPr>
          <w:rFonts w:ascii="Arial" w:hAnsi="Arial"/>
          <w:color w:val="000000"/>
        </w:rPr>
        <w:t xml:space="preserve"> von Strom ist die </w:t>
      </w:r>
      <w:r w:rsidRPr="008F183B">
        <w:rPr>
          <w:rFonts w:ascii="Arial" w:hAnsi="Arial"/>
          <w:b/>
          <w:color w:val="000000"/>
        </w:rPr>
        <w:t>Wirkungsgradmethode</w:t>
      </w:r>
      <w:r w:rsidRPr="008F183B">
        <w:rPr>
          <w:rFonts w:ascii="Arial" w:hAnsi="Arial"/>
          <w:color w:val="000000"/>
        </w:rPr>
        <w:t xml:space="preserve">. Bei Strom aus zum Beispiel Wasserkraft, Windenergie und Photovoltaik wird von der Endenergie mit Hilfe eines Wirkungsgrades von 100 Prozent auf die Primärenergie geschlossen. </w:t>
      </w:r>
      <w:r w:rsidRPr="00FB5733">
        <w:rPr>
          <w:rFonts w:ascii="Arial" w:hAnsi="Arial"/>
        </w:rPr>
        <w:t xml:space="preserve">Somit entspricht zum Beispiel 1 kWh Strom aus Wasserkraft einem Primärenergieäquivalent von 1 kWh. Bei Kernenergie wird für die Festlegung des </w:t>
      </w:r>
      <w:r w:rsidRPr="00DB2E08">
        <w:rPr>
          <w:rFonts w:ascii="Arial" w:hAnsi="Arial"/>
        </w:rPr>
        <w:t>Primärenergieäquivalents hingegen ein Wirkungsgrad von 33 Prozent angenommen – 1 kWh Strom aus Kernkraft entspricht demnach einem Primärenergieäquivalent von 3,0303 kWh.</w:t>
      </w:r>
    </w:p>
    <w:p w14:paraId="1C64DB02" w14:textId="77777777" w:rsidR="00D31AA0" w:rsidRPr="00DB2E08" w:rsidRDefault="00D31AA0" w:rsidP="00D31AA0">
      <w:pPr>
        <w:rPr>
          <w:rFonts w:ascii="Arial" w:hAnsi="Arial"/>
        </w:rPr>
      </w:pPr>
    </w:p>
    <w:p w14:paraId="6432AF7F" w14:textId="77777777" w:rsidR="00D31AA0" w:rsidRPr="00DB2E08" w:rsidRDefault="00D31AA0" w:rsidP="00D31AA0">
      <w:pPr>
        <w:rPr>
          <w:rFonts w:ascii="Arial" w:hAnsi="Arial"/>
        </w:rPr>
      </w:pPr>
      <w:r w:rsidRPr="008F183B">
        <w:rPr>
          <w:rFonts w:ascii="Arial" w:hAnsi="Arial"/>
          <w:color w:val="000000"/>
        </w:rPr>
        <w:t xml:space="preserve">Bei der </w:t>
      </w:r>
      <w:r w:rsidRPr="008F183B">
        <w:rPr>
          <w:rFonts w:ascii="Arial" w:hAnsi="Arial"/>
          <w:b/>
          <w:color w:val="000000"/>
        </w:rPr>
        <w:t>Substitutionsmethode</w:t>
      </w:r>
      <w:r w:rsidRPr="008F183B">
        <w:rPr>
          <w:rFonts w:ascii="Arial" w:hAnsi="Arial"/>
          <w:color w:val="000000"/>
        </w:rPr>
        <w:t xml:space="preserve"> wird berechnet, welche Menge an fossilem Brennstoff durch die Nutzung von erneuerbaren Energien und Kernenergie </w:t>
      </w:r>
      <w:r w:rsidRPr="00FB5733">
        <w:rPr>
          <w:rFonts w:ascii="Arial" w:hAnsi="Arial"/>
        </w:rPr>
        <w:t xml:space="preserve">eingespart wurde. Bei diesem Verfahren wird also davon ausgegangen, dass elektrische Energie aus nicht-fossilen Quellen eine entsprechende Erzeugung auf fossiler Basis in konventionellen Kraftwerken ersetzt. Dabei wird für die Umwandlung von fossilen Brennstoffen in Strom eine Umwandlungseffizienz von 38 Prozent angenommen (nach </w:t>
      </w:r>
      <w:r w:rsidRPr="00DB2E08">
        <w:rPr>
          <w:rFonts w:ascii="Arial" w:hAnsi="Arial"/>
        </w:rPr>
        <w:t>Angaben von BP entspricht dies dem Durchschnitt bei der Energieerzeugung aus Wärmekraft in den OECD-Ländern). Bei der Substitutionsmethode entspricht somit 1 kWh Strom einem Primärenergieäquivalent von 2,6316 kWh – unabhängig davon, ob der Strom beispielsweise in einem Wasser- oder Atomkraftwerk produziert wurde.</w:t>
      </w:r>
    </w:p>
    <w:p w14:paraId="078377D4" w14:textId="77777777" w:rsidR="00D31AA0" w:rsidRPr="00DB2E08" w:rsidRDefault="00D31AA0" w:rsidP="00D31AA0">
      <w:pPr>
        <w:rPr>
          <w:rFonts w:ascii="Arial" w:hAnsi="Arial"/>
        </w:rPr>
      </w:pPr>
    </w:p>
    <w:p w14:paraId="5998A794" w14:textId="77777777" w:rsidR="00D31AA0" w:rsidRDefault="00D31AA0" w:rsidP="00D31AA0">
      <w:pPr>
        <w:rPr>
          <w:rFonts w:ascii="Arial" w:hAnsi="Arial"/>
        </w:rPr>
      </w:pPr>
      <w:r w:rsidRPr="00EA60EB">
        <w:rPr>
          <w:rFonts w:ascii="Arial" w:hAnsi="Arial"/>
          <w:b/>
        </w:rPr>
        <w:t>Lesebeispiel</w:t>
      </w:r>
      <w:r w:rsidRPr="00EA60EB">
        <w:rPr>
          <w:rFonts w:ascii="Arial" w:hAnsi="Arial"/>
        </w:rPr>
        <w:t xml:space="preserve">: Nach Angaben des Energiekonzerns British Petroleum (BP) – der die </w:t>
      </w:r>
      <w:r w:rsidRPr="00EA60EB">
        <w:rPr>
          <w:rFonts w:ascii="Arial" w:hAnsi="Arial"/>
          <w:b/>
        </w:rPr>
        <w:t>Substitutionsmethode</w:t>
      </w:r>
      <w:r w:rsidRPr="00EA60EB">
        <w:rPr>
          <w:rFonts w:ascii="Arial" w:hAnsi="Arial"/>
        </w:rPr>
        <w:t xml:space="preserve"> anwendet – lag im Jahr 2016 der Anteil der Energie aus Wasserkraft am Primärenergie-Verbrauch </w:t>
      </w:r>
      <w:r w:rsidR="00340605">
        <w:rPr>
          <w:rFonts w:ascii="Arial" w:hAnsi="Arial"/>
        </w:rPr>
        <w:t xml:space="preserve">EU-weit bei 4,8 Prozent und der </w:t>
      </w:r>
      <w:r w:rsidR="00A46F6B">
        <w:rPr>
          <w:rFonts w:ascii="Arial" w:hAnsi="Arial"/>
        </w:rPr>
        <w:t xml:space="preserve">Anteil </w:t>
      </w:r>
      <w:r w:rsidR="00340605">
        <w:rPr>
          <w:rFonts w:ascii="Arial" w:hAnsi="Arial"/>
        </w:rPr>
        <w:t>der Kernenergie bei 11,4 Prozent</w:t>
      </w:r>
      <w:r w:rsidRPr="00EA60EB">
        <w:rPr>
          <w:rFonts w:ascii="Arial" w:hAnsi="Arial"/>
        </w:rPr>
        <w:t xml:space="preserve">. Bei der IEA, die die </w:t>
      </w:r>
      <w:r w:rsidRPr="00EA60EB">
        <w:rPr>
          <w:rFonts w:ascii="Arial" w:hAnsi="Arial"/>
          <w:b/>
        </w:rPr>
        <w:t>Wirkungsgradmethode</w:t>
      </w:r>
      <w:r w:rsidRPr="00EA60EB">
        <w:rPr>
          <w:rFonts w:ascii="Arial" w:hAnsi="Arial"/>
        </w:rPr>
        <w:t xml:space="preserve"> verwendet, </w:t>
      </w:r>
      <w:proofErr w:type="gramStart"/>
      <w:r w:rsidRPr="00EA60EB">
        <w:rPr>
          <w:rFonts w:ascii="Arial" w:hAnsi="Arial"/>
        </w:rPr>
        <w:t>lag</w:t>
      </w:r>
      <w:proofErr w:type="gramEnd"/>
      <w:r w:rsidRPr="00EA60EB">
        <w:rPr>
          <w:rFonts w:ascii="Arial" w:hAnsi="Arial"/>
        </w:rPr>
        <w:t xml:space="preserve"> der Anteil der Wasserkraft an der Primärenergie-Versorgung </w:t>
      </w:r>
      <w:r w:rsidR="004D370B">
        <w:rPr>
          <w:rFonts w:ascii="Arial" w:hAnsi="Arial"/>
        </w:rPr>
        <w:t xml:space="preserve">EU-weit </w:t>
      </w:r>
      <w:r w:rsidR="00340605">
        <w:rPr>
          <w:rFonts w:ascii="Arial" w:hAnsi="Arial"/>
        </w:rPr>
        <w:t xml:space="preserve">bei lediglich 1,9 Prozent und der </w:t>
      </w:r>
      <w:r w:rsidRPr="00EA60EB">
        <w:rPr>
          <w:rFonts w:ascii="Arial" w:hAnsi="Arial"/>
        </w:rPr>
        <w:t xml:space="preserve">Anteil der Kernenergie </w:t>
      </w:r>
      <w:r w:rsidR="00340605">
        <w:rPr>
          <w:rFonts w:ascii="Arial" w:hAnsi="Arial"/>
        </w:rPr>
        <w:t xml:space="preserve">bei 13,7 </w:t>
      </w:r>
      <w:r w:rsidRPr="00EA60EB">
        <w:rPr>
          <w:rFonts w:ascii="Arial" w:hAnsi="Arial"/>
        </w:rPr>
        <w:t>Prozent.</w:t>
      </w:r>
    </w:p>
    <w:p w14:paraId="5061AF02" w14:textId="77777777" w:rsidR="00D31AA0" w:rsidRPr="00FB5733" w:rsidRDefault="00D31AA0">
      <w:pPr>
        <w:rPr>
          <w:rFonts w:ascii="Arial" w:hAnsi="Arial"/>
        </w:rPr>
      </w:pPr>
    </w:p>
    <w:p w14:paraId="4E83BC30" w14:textId="77777777" w:rsidR="00D31AA0" w:rsidRPr="009D38AC" w:rsidRDefault="00D31AA0" w:rsidP="00D31AA0">
      <w:pPr>
        <w:rPr>
          <w:rFonts w:asciiTheme="minorHAnsi" w:hAnsiTheme="minorHAnsi"/>
          <w:lang w:val="en-US"/>
        </w:rPr>
      </w:pPr>
      <w:r w:rsidRPr="009D38AC">
        <w:rPr>
          <w:rFonts w:ascii="Arial" w:hAnsi="Arial"/>
          <w:sz w:val="20"/>
          <w:szCs w:val="20"/>
          <w:lang w:val="en-US"/>
        </w:rPr>
        <w:t>IEA World Energy Balances database © OECD/IEA 2018, www.iea.org/statistics</w:t>
      </w:r>
      <w:r w:rsidRPr="009D38AC">
        <w:rPr>
          <w:rFonts w:asciiTheme="minorHAnsi" w:hAnsiTheme="minorHAnsi"/>
          <w:lang w:val="en-US"/>
        </w:rPr>
        <w:t xml:space="preserve"> </w:t>
      </w:r>
    </w:p>
    <w:p w14:paraId="2ED75CD3" w14:textId="77777777" w:rsidR="00D31AA0" w:rsidRPr="0020359C" w:rsidRDefault="00D31AA0" w:rsidP="00D31AA0">
      <w:pPr>
        <w:rPr>
          <w:rFonts w:ascii="Arial" w:hAnsi="Arial"/>
          <w:sz w:val="20"/>
          <w:szCs w:val="20"/>
        </w:rPr>
      </w:pPr>
      <w:r w:rsidRPr="0020359C">
        <w:rPr>
          <w:rFonts w:ascii="Arial" w:hAnsi="Arial"/>
          <w:sz w:val="20"/>
          <w:szCs w:val="20"/>
        </w:rPr>
        <w:t>Bundeszentrale für politische Bildung 201</w:t>
      </w:r>
      <w:r>
        <w:rPr>
          <w:rFonts w:ascii="Arial" w:hAnsi="Arial"/>
          <w:sz w:val="20"/>
          <w:szCs w:val="20"/>
        </w:rPr>
        <w:t>9</w:t>
      </w:r>
      <w:r w:rsidRPr="0020359C">
        <w:rPr>
          <w:rFonts w:ascii="Arial" w:hAnsi="Arial"/>
          <w:sz w:val="20"/>
          <w:szCs w:val="20"/>
        </w:rPr>
        <w:t xml:space="preserve"> | </w:t>
      </w:r>
      <w:hyperlink r:id="rId6" w:history="1">
        <w:r w:rsidRPr="0020359C">
          <w:rPr>
            <w:rFonts w:ascii="Arial" w:hAnsi="Arial"/>
            <w:sz w:val="20"/>
            <w:szCs w:val="20"/>
          </w:rPr>
          <w:t>www.bpb.de</w:t>
        </w:r>
      </w:hyperlink>
    </w:p>
    <w:sectPr w:rsidR="00D31AA0" w:rsidRPr="0020359C">
      <w:pgSz w:w="11906" w:h="16838"/>
      <w:pgMar w:top="1417" w:right="1417" w:bottom="1134"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9AB1A87"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PNDJK O+ Demos EF">
    <w:altName w:val="Demos EF"/>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ung, Matthias">
    <w15:presenceInfo w15:providerId="None" w15:userId="Jung, Matthia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419"/>
    <w:rsid w:val="000547AA"/>
    <w:rsid w:val="00083A29"/>
    <w:rsid w:val="000A59FF"/>
    <w:rsid w:val="001026CE"/>
    <w:rsid w:val="00136EB4"/>
    <w:rsid w:val="00147A62"/>
    <w:rsid w:val="00174F7C"/>
    <w:rsid w:val="0019552E"/>
    <w:rsid w:val="001A5398"/>
    <w:rsid w:val="001A73BD"/>
    <w:rsid w:val="001B7EB7"/>
    <w:rsid w:val="002204A1"/>
    <w:rsid w:val="00223138"/>
    <w:rsid w:val="00273DEC"/>
    <w:rsid w:val="0027412A"/>
    <w:rsid w:val="0028766F"/>
    <w:rsid w:val="002E372F"/>
    <w:rsid w:val="002E5176"/>
    <w:rsid w:val="002F37B2"/>
    <w:rsid w:val="00340605"/>
    <w:rsid w:val="003A0FF1"/>
    <w:rsid w:val="00427D60"/>
    <w:rsid w:val="00456837"/>
    <w:rsid w:val="00475661"/>
    <w:rsid w:val="00480170"/>
    <w:rsid w:val="004931FD"/>
    <w:rsid w:val="004B10A0"/>
    <w:rsid w:val="004D370B"/>
    <w:rsid w:val="0050176B"/>
    <w:rsid w:val="0052486B"/>
    <w:rsid w:val="00531138"/>
    <w:rsid w:val="00532A16"/>
    <w:rsid w:val="00555152"/>
    <w:rsid w:val="00557151"/>
    <w:rsid w:val="005B7BE9"/>
    <w:rsid w:val="005E09F7"/>
    <w:rsid w:val="005E7825"/>
    <w:rsid w:val="006200C6"/>
    <w:rsid w:val="00620722"/>
    <w:rsid w:val="006224F8"/>
    <w:rsid w:val="00632147"/>
    <w:rsid w:val="006445D9"/>
    <w:rsid w:val="006A337A"/>
    <w:rsid w:val="00787CC3"/>
    <w:rsid w:val="007B7560"/>
    <w:rsid w:val="007E3C85"/>
    <w:rsid w:val="007E69AE"/>
    <w:rsid w:val="007F4B3B"/>
    <w:rsid w:val="007F54A0"/>
    <w:rsid w:val="00803DCC"/>
    <w:rsid w:val="0081450E"/>
    <w:rsid w:val="008677A1"/>
    <w:rsid w:val="008A359D"/>
    <w:rsid w:val="008B034B"/>
    <w:rsid w:val="008D013E"/>
    <w:rsid w:val="008F4AD3"/>
    <w:rsid w:val="0090645E"/>
    <w:rsid w:val="009100CF"/>
    <w:rsid w:val="009753E8"/>
    <w:rsid w:val="009D061D"/>
    <w:rsid w:val="009D6CD4"/>
    <w:rsid w:val="00A46F6B"/>
    <w:rsid w:val="00A5543D"/>
    <w:rsid w:val="00A61419"/>
    <w:rsid w:val="00A711B6"/>
    <w:rsid w:val="00A72D4A"/>
    <w:rsid w:val="00AD136C"/>
    <w:rsid w:val="00AF3EFD"/>
    <w:rsid w:val="00B12B37"/>
    <w:rsid w:val="00B133DD"/>
    <w:rsid w:val="00B314A2"/>
    <w:rsid w:val="00B3590B"/>
    <w:rsid w:val="00B6060C"/>
    <w:rsid w:val="00B9273B"/>
    <w:rsid w:val="00B92906"/>
    <w:rsid w:val="00C04BE0"/>
    <w:rsid w:val="00C13DF1"/>
    <w:rsid w:val="00C25905"/>
    <w:rsid w:val="00C5673F"/>
    <w:rsid w:val="00CA01CE"/>
    <w:rsid w:val="00CC5197"/>
    <w:rsid w:val="00CD749B"/>
    <w:rsid w:val="00CE2DD3"/>
    <w:rsid w:val="00D02C8A"/>
    <w:rsid w:val="00D049BB"/>
    <w:rsid w:val="00D105D1"/>
    <w:rsid w:val="00D31AA0"/>
    <w:rsid w:val="00D53551"/>
    <w:rsid w:val="00D97BB4"/>
    <w:rsid w:val="00DB5FD7"/>
    <w:rsid w:val="00DD0E65"/>
    <w:rsid w:val="00E23B9A"/>
    <w:rsid w:val="00E61CE3"/>
    <w:rsid w:val="00E62810"/>
    <w:rsid w:val="00E75BB8"/>
    <w:rsid w:val="00ED1B6B"/>
    <w:rsid w:val="00F046C9"/>
    <w:rsid w:val="00F11AF7"/>
    <w:rsid w:val="00F73229"/>
    <w:rsid w:val="00FB5733"/>
    <w:rsid w:val="00FC33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A6F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547AA"/>
    <w:rPr>
      <w:sz w:val="24"/>
      <w:szCs w:val="24"/>
    </w:rPr>
  </w:style>
  <w:style w:type="paragraph" w:styleId="berschrift1">
    <w:name w:val="heading 1"/>
    <w:basedOn w:val="Standard"/>
    <w:qFormat/>
    <w:pPr>
      <w:spacing w:before="100" w:beforeAutospacing="1" w:after="100" w:afterAutospacing="1"/>
      <w:outlineLvl w:val="0"/>
    </w:pPr>
    <w:rPr>
      <w:b/>
      <w:bCs/>
      <w:kern w:val="36"/>
      <w:sz w:val="48"/>
      <w:szCs w:val="48"/>
    </w:rPr>
  </w:style>
  <w:style w:type="paragraph" w:styleId="berschrift2">
    <w:name w:val="heading 2"/>
    <w:basedOn w:val="Standard"/>
    <w:qFormat/>
    <w:pPr>
      <w:spacing w:before="100" w:beforeAutospacing="1" w:after="100" w:afterAutospacing="1"/>
      <w:outlineLvl w:val="1"/>
    </w:pPr>
    <w:rPr>
      <w:b/>
      <w:bCs/>
      <w:sz w:val="36"/>
      <w:szCs w:val="36"/>
    </w:rPr>
  </w:style>
  <w:style w:type="paragraph" w:styleId="berschrift4">
    <w:name w:val="heading 4"/>
    <w:basedOn w:val="Standard"/>
    <w:qFormat/>
    <w:pPr>
      <w:spacing w:before="100" w:beforeAutospacing="1" w:after="100" w:afterAutospacing="1"/>
      <w:outlineLvl w:val="3"/>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pPr>
      <w:spacing w:before="100" w:beforeAutospacing="1" w:after="100" w:afterAutospacing="1"/>
    </w:pPr>
  </w:style>
  <w:style w:type="character" w:styleId="Hyperlink">
    <w:name w:val="Hyperlink"/>
    <w:basedOn w:val="Absatz-Standardschriftart"/>
    <w:rPr>
      <w:color w:val="0000FF"/>
      <w:u w:val="single"/>
    </w:rPr>
  </w:style>
  <w:style w:type="character" w:styleId="HTMLAkronym">
    <w:name w:val="HTML Acronym"/>
    <w:basedOn w:val="Absatz-Standardschriftart"/>
  </w:style>
  <w:style w:type="character" w:styleId="Kommentarzeichen">
    <w:name w:val="annotation reference"/>
    <w:basedOn w:val="Absatz-Standardschriftart"/>
    <w:semiHidden/>
    <w:rPr>
      <w:sz w:val="16"/>
    </w:rPr>
  </w:style>
  <w:style w:type="paragraph" w:styleId="Kommentartext">
    <w:name w:val="annotation text"/>
    <w:basedOn w:val="Standard"/>
    <w:link w:val="KommentartextZchn"/>
    <w:semiHidden/>
    <w:rPr>
      <w:sz w:val="20"/>
    </w:rPr>
  </w:style>
  <w:style w:type="paragraph" w:customStyle="1" w:styleId="Default">
    <w:name w:val="Default"/>
    <w:pPr>
      <w:autoSpaceDE w:val="0"/>
      <w:autoSpaceDN w:val="0"/>
      <w:adjustRightInd w:val="0"/>
    </w:pPr>
    <w:rPr>
      <w:rFonts w:ascii="PNDJK O+ Demos EF" w:hAnsi="PNDJK O+ Demos EF" w:cs="PNDJK O+ Demos EF"/>
      <w:color w:val="000000"/>
      <w:sz w:val="24"/>
      <w:szCs w:val="24"/>
    </w:rPr>
  </w:style>
  <w:style w:type="paragraph" w:styleId="Sprechblasentext">
    <w:name w:val="Balloon Text"/>
    <w:basedOn w:val="Standard"/>
    <w:semiHidden/>
    <w:rPr>
      <w:rFonts w:ascii="Tahoma" w:hAnsi="Tahoma" w:cs="Tahoma"/>
      <w:sz w:val="16"/>
      <w:szCs w:val="16"/>
    </w:rPr>
  </w:style>
  <w:style w:type="paragraph" w:styleId="Kommentarthema">
    <w:name w:val="annotation subject"/>
    <w:basedOn w:val="Kommentartext"/>
    <w:next w:val="Kommentartext"/>
    <w:link w:val="KommentarthemaZchn"/>
    <w:uiPriority w:val="99"/>
    <w:semiHidden/>
    <w:unhideWhenUsed/>
    <w:rsid w:val="000A59FF"/>
    <w:rPr>
      <w:b/>
      <w:bCs/>
      <w:szCs w:val="20"/>
    </w:rPr>
  </w:style>
  <w:style w:type="character" w:customStyle="1" w:styleId="KommentartextZchn">
    <w:name w:val="Kommentartext Zchn"/>
    <w:basedOn w:val="Absatz-Standardschriftart"/>
    <w:link w:val="Kommentartext"/>
    <w:semiHidden/>
    <w:rsid w:val="000A59FF"/>
    <w:rPr>
      <w:szCs w:val="24"/>
    </w:rPr>
  </w:style>
  <w:style w:type="character" w:customStyle="1" w:styleId="KommentarthemaZchn">
    <w:name w:val="Kommentarthema Zchn"/>
    <w:basedOn w:val="KommentartextZchn"/>
    <w:link w:val="Kommentarthema"/>
    <w:uiPriority w:val="99"/>
    <w:semiHidden/>
    <w:rsid w:val="000A59FF"/>
    <w:rPr>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547AA"/>
    <w:rPr>
      <w:sz w:val="24"/>
      <w:szCs w:val="24"/>
    </w:rPr>
  </w:style>
  <w:style w:type="paragraph" w:styleId="berschrift1">
    <w:name w:val="heading 1"/>
    <w:basedOn w:val="Standard"/>
    <w:qFormat/>
    <w:pPr>
      <w:spacing w:before="100" w:beforeAutospacing="1" w:after="100" w:afterAutospacing="1"/>
      <w:outlineLvl w:val="0"/>
    </w:pPr>
    <w:rPr>
      <w:b/>
      <w:bCs/>
      <w:kern w:val="36"/>
      <w:sz w:val="48"/>
      <w:szCs w:val="48"/>
    </w:rPr>
  </w:style>
  <w:style w:type="paragraph" w:styleId="berschrift2">
    <w:name w:val="heading 2"/>
    <w:basedOn w:val="Standard"/>
    <w:qFormat/>
    <w:pPr>
      <w:spacing w:before="100" w:beforeAutospacing="1" w:after="100" w:afterAutospacing="1"/>
      <w:outlineLvl w:val="1"/>
    </w:pPr>
    <w:rPr>
      <w:b/>
      <w:bCs/>
      <w:sz w:val="36"/>
      <w:szCs w:val="36"/>
    </w:rPr>
  </w:style>
  <w:style w:type="paragraph" w:styleId="berschrift4">
    <w:name w:val="heading 4"/>
    <w:basedOn w:val="Standard"/>
    <w:qFormat/>
    <w:pPr>
      <w:spacing w:before="100" w:beforeAutospacing="1" w:after="100" w:afterAutospacing="1"/>
      <w:outlineLvl w:val="3"/>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pPr>
      <w:spacing w:before="100" w:beforeAutospacing="1" w:after="100" w:afterAutospacing="1"/>
    </w:pPr>
  </w:style>
  <w:style w:type="character" w:styleId="Hyperlink">
    <w:name w:val="Hyperlink"/>
    <w:basedOn w:val="Absatz-Standardschriftart"/>
    <w:rPr>
      <w:color w:val="0000FF"/>
      <w:u w:val="single"/>
    </w:rPr>
  </w:style>
  <w:style w:type="character" w:styleId="HTMLAkronym">
    <w:name w:val="HTML Acronym"/>
    <w:basedOn w:val="Absatz-Standardschriftart"/>
  </w:style>
  <w:style w:type="character" w:styleId="Kommentarzeichen">
    <w:name w:val="annotation reference"/>
    <w:basedOn w:val="Absatz-Standardschriftart"/>
    <w:semiHidden/>
    <w:rPr>
      <w:sz w:val="16"/>
    </w:rPr>
  </w:style>
  <w:style w:type="paragraph" w:styleId="Kommentartext">
    <w:name w:val="annotation text"/>
    <w:basedOn w:val="Standard"/>
    <w:link w:val="KommentartextZchn"/>
    <w:semiHidden/>
    <w:rPr>
      <w:sz w:val="20"/>
    </w:rPr>
  </w:style>
  <w:style w:type="paragraph" w:customStyle="1" w:styleId="Default">
    <w:name w:val="Default"/>
    <w:pPr>
      <w:autoSpaceDE w:val="0"/>
      <w:autoSpaceDN w:val="0"/>
      <w:adjustRightInd w:val="0"/>
    </w:pPr>
    <w:rPr>
      <w:rFonts w:ascii="PNDJK O+ Demos EF" w:hAnsi="PNDJK O+ Demos EF" w:cs="PNDJK O+ Demos EF"/>
      <w:color w:val="000000"/>
      <w:sz w:val="24"/>
      <w:szCs w:val="24"/>
    </w:rPr>
  </w:style>
  <w:style w:type="paragraph" w:styleId="Sprechblasentext">
    <w:name w:val="Balloon Text"/>
    <w:basedOn w:val="Standard"/>
    <w:semiHidden/>
    <w:rPr>
      <w:rFonts w:ascii="Tahoma" w:hAnsi="Tahoma" w:cs="Tahoma"/>
      <w:sz w:val="16"/>
      <w:szCs w:val="16"/>
    </w:rPr>
  </w:style>
  <w:style w:type="paragraph" w:styleId="Kommentarthema">
    <w:name w:val="annotation subject"/>
    <w:basedOn w:val="Kommentartext"/>
    <w:next w:val="Kommentartext"/>
    <w:link w:val="KommentarthemaZchn"/>
    <w:uiPriority w:val="99"/>
    <w:semiHidden/>
    <w:unhideWhenUsed/>
    <w:rsid w:val="000A59FF"/>
    <w:rPr>
      <w:b/>
      <w:bCs/>
      <w:szCs w:val="20"/>
    </w:rPr>
  </w:style>
  <w:style w:type="character" w:customStyle="1" w:styleId="KommentartextZchn">
    <w:name w:val="Kommentartext Zchn"/>
    <w:basedOn w:val="Absatz-Standardschriftart"/>
    <w:link w:val="Kommentartext"/>
    <w:semiHidden/>
    <w:rsid w:val="000A59FF"/>
    <w:rPr>
      <w:szCs w:val="24"/>
    </w:rPr>
  </w:style>
  <w:style w:type="character" w:customStyle="1" w:styleId="KommentarthemaZchn">
    <w:name w:val="Kommentarthema Zchn"/>
    <w:basedOn w:val="KommentartextZchn"/>
    <w:link w:val="Kommentarthema"/>
    <w:uiPriority w:val="99"/>
    <w:semiHidden/>
    <w:rsid w:val="000A59FF"/>
    <w:rPr>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49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bpb.de" TargetMode="External"/><Relationship Id="rId5" Type="http://schemas.openxmlformats.org/officeDocument/2006/relationships/hyperlink" Target="http://www.bpb.de/75138" TargetMode="External"/><Relationship Id="rId10" Type="http://schemas.microsoft.com/office/2011/relationships/people" Target="people.xm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928</Words>
  <Characters>5848</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Zur Bevölkerung Deutschlands zählen alle Einwohner, die mit ihrer Hauptwohnung in der Bundesrepublik Deutschland gemeldet sind</vt:lpstr>
    </vt:vector>
  </TitlesOfParts>
  <Company/>
  <LinksUpToDate>false</LinksUpToDate>
  <CharactersWithSpaces>6763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Zur Bevölkerung Deutschlands zählen alle Einwohner, die mit ihrer Hauptwohnung in der Bundesrepublik Deutschland gemeldet sind</dc:title>
  <dc:creator>Fossi</dc:creator>
  <cp:lastModifiedBy>Christian Hartmann</cp:lastModifiedBy>
  <cp:revision>9</cp:revision>
  <dcterms:created xsi:type="dcterms:W3CDTF">2019-03-14T09:18:00Z</dcterms:created>
  <dcterms:modified xsi:type="dcterms:W3CDTF">2019-03-15T08:54:00Z</dcterms:modified>
</cp:coreProperties>
</file>