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0589C" w14:textId="1F7CD564" w:rsidR="004C22A7" w:rsidRDefault="00B35563" w:rsidP="004C22A7">
      <w:pPr>
        <w:rPr>
          <w:rFonts w:ascii="Arial" w:hAnsi="Arial" w:cs="Arial"/>
          <w:b/>
          <w:color w:val="363636"/>
          <w:shd w:val="clear" w:color="auto" w:fill="FFFFFF"/>
        </w:rPr>
      </w:pPr>
      <w:bookmarkStart w:id="0" w:name="_GoBack"/>
      <w:bookmarkEnd w:id="0"/>
      <w:r w:rsidRPr="00CD71C7">
        <w:rPr>
          <w:rFonts w:ascii="Arial" w:hAnsi="Arial" w:cs="Arial"/>
          <w:b/>
          <w:color w:val="363636"/>
          <w:shd w:val="clear" w:color="auto" w:fill="FFFFFF"/>
        </w:rPr>
        <w:t>Der Anteil der erneuerbaren Energien an der gesamten Primärenergie-Versorgung unterscheide</w:t>
      </w:r>
      <w:r w:rsidR="006C2C3F">
        <w:rPr>
          <w:rFonts w:ascii="Arial" w:hAnsi="Arial" w:cs="Arial"/>
          <w:b/>
          <w:color w:val="363636"/>
          <w:shd w:val="clear" w:color="auto" w:fill="FFFFFF"/>
        </w:rPr>
        <w:t>t</w:t>
      </w:r>
      <w:r w:rsidRPr="00CD71C7">
        <w:rPr>
          <w:rFonts w:ascii="Arial" w:hAnsi="Arial" w:cs="Arial"/>
          <w:b/>
          <w:color w:val="363636"/>
          <w:shd w:val="clear" w:color="auto" w:fill="FFFFFF"/>
        </w:rPr>
        <w:t xml:space="preserve"> sich stark zwischen den einzelnen europäischen Staaten. </w:t>
      </w:r>
      <w:r>
        <w:rPr>
          <w:rFonts w:ascii="Arial" w:hAnsi="Arial" w:cs="Arial"/>
          <w:b/>
          <w:color w:val="363636"/>
          <w:shd w:val="clear" w:color="auto" w:fill="FFFFFF"/>
        </w:rPr>
        <w:t xml:space="preserve">Besonders hoch war er im Jahr </w:t>
      </w:r>
      <w:r w:rsidR="009674FE">
        <w:rPr>
          <w:rFonts w:ascii="Arial" w:hAnsi="Arial" w:cs="Arial"/>
          <w:b/>
          <w:color w:val="363636"/>
          <w:shd w:val="clear" w:color="auto" w:fill="FFFFFF"/>
        </w:rPr>
        <w:t xml:space="preserve">2016 </w:t>
      </w:r>
      <w:r w:rsidRPr="00CD71C7">
        <w:rPr>
          <w:rFonts w:ascii="Arial" w:hAnsi="Arial" w:cs="Arial"/>
          <w:b/>
          <w:color w:val="363636"/>
          <w:shd w:val="clear" w:color="auto" w:fill="FFFFFF"/>
        </w:rPr>
        <w:t>in Island</w:t>
      </w:r>
      <w:r>
        <w:rPr>
          <w:rFonts w:ascii="Arial" w:hAnsi="Arial" w:cs="Arial"/>
          <w:b/>
          <w:color w:val="363636"/>
          <w:shd w:val="clear" w:color="auto" w:fill="FFFFFF"/>
        </w:rPr>
        <w:t xml:space="preserve"> (</w:t>
      </w:r>
      <w:r w:rsidRPr="00CD71C7">
        <w:rPr>
          <w:rFonts w:ascii="Arial" w:hAnsi="Arial" w:cs="Arial"/>
          <w:b/>
          <w:color w:val="363636"/>
          <w:shd w:val="clear" w:color="auto" w:fill="FFFFFF"/>
        </w:rPr>
        <w:t>87,2 Prozent</w:t>
      </w:r>
      <w:r>
        <w:rPr>
          <w:rFonts w:ascii="Arial" w:hAnsi="Arial" w:cs="Arial"/>
          <w:b/>
          <w:color w:val="363636"/>
          <w:shd w:val="clear" w:color="auto" w:fill="FFFFFF"/>
        </w:rPr>
        <w:t>)</w:t>
      </w:r>
      <w:r w:rsidRPr="00CD71C7">
        <w:rPr>
          <w:rFonts w:ascii="Arial" w:hAnsi="Arial" w:cs="Arial"/>
          <w:b/>
          <w:color w:val="363636"/>
          <w:shd w:val="clear" w:color="auto" w:fill="FFFFFF"/>
        </w:rPr>
        <w:t>. Mit großem Abstand folgten Norwegen (51,2 Prozent), Albanien (42,2 Prozent)</w:t>
      </w:r>
      <w:r>
        <w:rPr>
          <w:rFonts w:ascii="Arial" w:hAnsi="Arial" w:cs="Arial"/>
          <w:b/>
          <w:color w:val="363636"/>
          <w:shd w:val="clear" w:color="auto" w:fill="FFFFFF"/>
        </w:rPr>
        <w:t xml:space="preserve"> und </w:t>
      </w:r>
      <w:r w:rsidRPr="00CD71C7">
        <w:rPr>
          <w:rFonts w:ascii="Arial" w:hAnsi="Arial" w:cs="Arial"/>
          <w:b/>
          <w:color w:val="363636"/>
          <w:shd w:val="clear" w:color="auto" w:fill="FFFFFF"/>
        </w:rPr>
        <w:t>Lettland (38,2 Prozent)</w:t>
      </w:r>
      <w:r>
        <w:rPr>
          <w:rFonts w:ascii="Arial" w:hAnsi="Arial" w:cs="Arial"/>
          <w:b/>
          <w:color w:val="363636"/>
          <w:shd w:val="clear" w:color="auto" w:fill="FFFFFF"/>
        </w:rPr>
        <w:t xml:space="preserve">. </w:t>
      </w:r>
      <w:r w:rsidRPr="00CD71C7">
        <w:rPr>
          <w:rFonts w:ascii="Arial" w:hAnsi="Arial" w:cs="Arial"/>
          <w:b/>
          <w:color w:val="363636"/>
          <w:shd w:val="clear" w:color="auto" w:fill="FFFFFF"/>
        </w:rPr>
        <w:t xml:space="preserve">Auf der anderen Seite lag der Anteil der erneuerbaren Energien an der gesamten Primärenergie-Versorgung </w:t>
      </w:r>
      <w:r>
        <w:rPr>
          <w:rFonts w:ascii="Arial" w:hAnsi="Arial" w:cs="Arial"/>
          <w:b/>
          <w:color w:val="363636"/>
          <w:shd w:val="clear" w:color="auto" w:fill="FFFFFF"/>
        </w:rPr>
        <w:t xml:space="preserve">in zehn </w:t>
      </w:r>
      <w:r w:rsidRPr="00CD71C7">
        <w:rPr>
          <w:rFonts w:ascii="Arial" w:hAnsi="Arial" w:cs="Arial"/>
          <w:b/>
          <w:color w:val="363636"/>
          <w:shd w:val="clear" w:color="auto" w:fill="FFFFFF"/>
        </w:rPr>
        <w:t xml:space="preserve">Staaten </w:t>
      </w:r>
      <w:r>
        <w:rPr>
          <w:rFonts w:ascii="Arial" w:hAnsi="Arial" w:cs="Arial"/>
          <w:b/>
          <w:color w:val="363636"/>
          <w:shd w:val="clear" w:color="auto" w:fill="FFFFFF"/>
        </w:rPr>
        <w:t xml:space="preserve">bei </w:t>
      </w:r>
      <w:r w:rsidRPr="00CD71C7">
        <w:rPr>
          <w:rFonts w:ascii="Arial" w:hAnsi="Arial" w:cs="Arial"/>
          <w:b/>
          <w:color w:val="363636"/>
          <w:shd w:val="clear" w:color="auto" w:fill="FFFFFF"/>
        </w:rPr>
        <w:t>weniger als 7,5 Prozent.</w:t>
      </w:r>
      <w:r w:rsidR="00930628">
        <w:rPr>
          <w:rFonts w:ascii="Arial" w:hAnsi="Arial" w:cs="Arial"/>
          <w:b/>
          <w:color w:val="363636"/>
          <w:shd w:val="clear" w:color="auto" w:fill="FFFFFF"/>
        </w:rPr>
        <w:t xml:space="preserve"> </w:t>
      </w:r>
      <w:r w:rsidR="00900568">
        <w:rPr>
          <w:rFonts w:ascii="Arial" w:hAnsi="Arial" w:cs="Arial"/>
          <w:b/>
          <w:color w:val="363636"/>
          <w:shd w:val="clear" w:color="auto" w:fill="FFFFFF"/>
        </w:rPr>
        <w:t>B</w:t>
      </w:r>
      <w:r w:rsidR="00930628">
        <w:rPr>
          <w:rFonts w:ascii="Arial" w:hAnsi="Arial" w:cs="Arial"/>
          <w:b/>
          <w:color w:val="363636"/>
          <w:shd w:val="clear" w:color="auto" w:fill="FFFFFF"/>
        </w:rPr>
        <w:t xml:space="preserve">ei den </w:t>
      </w:r>
      <w:r w:rsidR="00CD71C7" w:rsidRPr="00CD71C7">
        <w:rPr>
          <w:rFonts w:ascii="Arial" w:hAnsi="Arial" w:cs="Arial"/>
          <w:b/>
          <w:color w:val="363636"/>
          <w:shd w:val="clear" w:color="auto" w:fill="FFFFFF"/>
        </w:rPr>
        <w:t xml:space="preserve">46 </w:t>
      </w:r>
      <w:r w:rsidR="00900568">
        <w:rPr>
          <w:rFonts w:ascii="Arial" w:hAnsi="Arial" w:cs="Arial"/>
          <w:b/>
          <w:color w:val="363636"/>
          <w:shd w:val="clear" w:color="auto" w:fill="FFFFFF"/>
        </w:rPr>
        <w:t xml:space="preserve">hier betrachteten </w:t>
      </w:r>
      <w:r w:rsidR="00CD71C7" w:rsidRPr="00CD71C7">
        <w:rPr>
          <w:rFonts w:ascii="Arial" w:hAnsi="Arial" w:cs="Arial"/>
          <w:b/>
          <w:color w:val="363636"/>
          <w:shd w:val="clear" w:color="auto" w:fill="FFFFFF"/>
        </w:rPr>
        <w:t>Staaten</w:t>
      </w:r>
      <w:r w:rsidR="00900568">
        <w:rPr>
          <w:rFonts w:ascii="Arial" w:hAnsi="Arial" w:cs="Arial"/>
          <w:b/>
          <w:color w:val="363636"/>
          <w:shd w:val="clear" w:color="auto" w:fill="FFFFFF"/>
        </w:rPr>
        <w:t xml:space="preserve"> entfielen beim Energiemix der </w:t>
      </w:r>
      <w:r w:rsidR="00900568" w:rsidRPr="00CD71C7">
        <w:rPr>
          <w:rFonts w:ascii="Arial" w:hAnsi="Arial" w:cs="Arial"/>
          <w:b/>
          <w:color w:val="363636"/>
          <w:shd w:val="clear" w:color="auto" w:fill="FFFFFF"/>
        </w:rPr>
        <w:t xml:space="preserve">erneuerbaren Energien </w:t>
      </w:r>
      <w:r w:rsidR="00CD71C7" w:rsidRPr="00CD71C7">
        <w:rPr>
          <w:rFonts w:ascii="Arial" w:hAnsi="Arial" w:cs="Arial"/>
          <w:b/>
          <w:color w:val="363636"/>
          <w:shd w:val="clear" w:color="auto" w:fill="FFFFFF"/>
        </w:rPr>
        <w:t>54,4 Prozent auf Biomasse, Biogas und biologisch abbaubare Abfälle, 25,1 Prozent auf Wasserkraft und 20,5 Prozent auf neue erneuerbare Energien (Geothermie, Solar-, Wind- und Meeresenergie).</w:t>
      </w:r>
      <w:r w:rsidR="009674FE">
        <w:rPr>
          <w:rFonts w:ascii="Arial" w:hAnsi="Arial" w:cs="Arial"/>
          <w:b/>
          <w:color w:val="363636"/>
          <w:shd w:val="clear" w:color="auto" w:fill="FFFFFF"/>
        </w:rPr>
        <w:t xml:space="preserve"> Auch hier sind die Unterschiede zwischen den Staaten riesig. Beispielsweise hatte in </w:t>
      </w:r>
      <w:r w:rsidR="009674FE" w:rsidRPr="00880599">
        <w:rPr>
          <w:rFonts w:ascii="Arial" w:hAnsi="Arial" w:cs="Arial"/>
          <w:b/>
          <w:color w:val="363636"/>
          <w:shd w:val="clear" w:color="auto" w:fill="FFFFFF"/>
        </w:rPr>
        <w:t xml:space="preserve">Norwegen </w:t>
      </w:r>
      <w:r w:rsidR="009674FE">
        <w:rPr>
          <w:rFonts w:ascii="Arial" w:hAnsi="Arial" w:cs="Arial"/>
          <w:b/>
          <w:color w:val="363636"/>
          <w:shd w:val="clear" w:color="auto" w:fill="FFFFFF"/>
        </w:rPr>
        <w:t xml:space="preserve">die </w:t>
      </w:r>
      <w:r w:rsidR="009674FE" w:rsidRPr="00880599">
        <w:rPr>
          <w:rFonts w:ascii="Arial" w:hAnsi="Arial" w:cs="Arial"/>
          <w:b/>
          <w:color w:val="363636"/>
          <w:shd w:val="clear" w:color="auto" w:fill="FFFFFF"/>
        </w:rPr>
        <w:t>Wasserkraft</w:t>
      </w:r>
      <w:r w:rsidR="009674FE">
        <w:rPr>
          <w:rFonts w:ascii="Arial" w:hAnsi="Arial" w:cs="Arial"/>
          <w:b/>
          <w:color w:val="363636"/>
          <w:shd w:val="clear" w:color="auto" w:fill="FFFFFF"/>
        </w:rPr>
        <w:t xml:space="preserve"> einen Anteil von 88,2 Prozent an den </w:t>
      </w:r>
      <w:r w:rsidR="009674FE" w:rsidRPr="00CD71C7">
        <w:rPr>
          <w:rFonts w:ascii="Arial" w:hAnsi="Arial" w:cs="Arial"/>
          <w:b/>
          <w:color w:val="363636"/>
          <w:shd w:val="clear" w:color="auto" w:fill="FFFFFF"/>
        </w:rPr>
        <w:t>erneuerbaren Energien</w:t>
      </w:r>
      <w:r w:rsidR="009674FE">
        <w:rPr>
          <w:rFonts w:ascii="Arial" w:hAnsi="Arial" w:cs="Arial"/>
          <w:b/>
          <w:color w:val="363636"/>
          <w:shd w:val="clear" w:color="auto" w:fill="FFFFFF"/>
        </w:rPr>
        <w:t xml:space="preserve">. In Island beruhten 74,5 Prozent der </w:t>
      </w:r>
      <w:r w:rsidR="009674FE" w:rsidRPr="00CD71C7">
        <w:rPr>
          <w:rFonts w:ascii="Arial" w:hAnsi="Arial" w:cs="Arial"/>
          <w:b/>
          <w:color w:val="363636"/>
          <w:shd w:val="clear" w:color="auto" w:fill="FFFFFF"/>
        </w:rPr>
        <w:t>erneuerbaren Energien</w:t>
      </w:r>
      <w:r w:rsidR="009674FE">
        <w:rPr>
          <w:rFonts w:ascii="Arial" w:hAnsi="Arial" w:cs="Arial"/>
          <w:b/>
          <w:color w:val="363636"/>
          <w:shd w:val="clear" w:color="auto" w:fill="FFFFFF"/>
        </w:rPr>
        <w:t xml:space="preserve"> auf </w:t>
      </w:r>
      <w:r w:rsidR="004C22A7" w:rsidRPr="00880599">
        <w:rPr>
          <w:rFonts w:ascii="Arial" w:hAnsi="Arial" w:cs="Arial"/>
          <w:b/>
          <w:color w:val="363636"/>
          <w:shd w:val="clear" w:color="auto" w:fill="FFFFFF"/>
        </w:rPr>
        <w:t>neuen erneuerbaren Energien</w:t>
      </w:r>
      <w:r w:rsidR="009674FE">
        <w:rPr>
          <w:rFonts w:ascii="Arial" w:hAnsi="Arial" w:cs="Arial"/>
          <w:b/>
          <w:color w:val="363636"/>
          <w:shd w:val="clear" w:color="auto" w:fill="FFFFFF"/>
        </w:rPr>
        <w:t xml:space="preserve"> (insbesondere </w:t>
      </w:r>
      <w:r w:rsidR="009674FE" w:rsidRPr="009674FE">
        <w:rPr>
          <w:rFonts w:ascii="Arial" w:hAnsi="Arial" w:cs="Arial"/>
          <w:b/>
          <w:color w:val="363636"/>
          <w:shd w:val="clear" w:color="auto" w:fill="FFFFFF"/>
        </w:rPr>
        <w:t>geothermische Energie</w:t>
      </w:r>
      <w:r w:rsidR="009674FE">
        <w:rPr>
          <w:rFonts w:ascii="Arial" w:hAnsi="Arial" w:cs="Arial"/>
          <w:b/>
          <w:color w:val="363636"/>
          <w:shd w:val="clear" w:color="auto" w:fill="FFFFFF"/>
        </w:rPr>
        <w:t>)</w:t>
      </w:r>
      <w:r w:rsidR="004C22A7">
        <w:rPr>
          <w:rFonts w:ascii="Arial" w:hAnsi="Arial" w:cs="Arial"/>
          <w:b/>
          <w:color w:val="363636"/>
          <w:shd w:val="clear" w:color="auto" w:fill="FFFFFF"/>
        </w:rPr>
        <w:t>.</w:t>
      </w:r>
    </w:p>
    <w:p w14:paraId="1921FD8C" w14:textId="77777777" w:rsidR="006A19AF" w:rsidRPr="009674FE" w:rsidRDefault="006A19AF" w:rsidP="006A337A">
      <w:pPr>
        <w:rPr>
          <w:rFonts w:ascii="Arial" w:hAnsi="Arial" w:cs="Arial"/>
          <w:color w:val="363636"/>
          <w:shd w:val="clear" w:color="auto" w:fill="FFFFFF"/>
        </w:rPr>
      </w:pPr>
    </w:p>
    <w:p w14:paraId="665BD54F" w14:textId="77777777" w:rsidR="00136EB4" w:rsidRPr="00456837" w:rsidRDefault="00136EB4">
      <w:pPr>
        <w:rPr>
          <w:rFonts w:ascii="Arial" w:hAnsi="Arial"/>
          <w:color w:val="FF0000"/>
        </w:rPr>
      </w:pPr>
      <w:r w:rsidRPr="00456837">
        <w:rPr>
          <w:rFonts w:ascii="Arial" w:hAnsi="Arial"/>
          <w:color w:val="FF0000"/>
        </w:rPr>
        <w:t>Fakten</w:t>
      </w:r>
    </w:p>
    <w:p w14:paraId="6C13307B" w14:textId="77777777" w:rsidR="00136EB4" w:rsidRPr="001172B2" w:rsidRDefault="00136EB4">
      <w:pPr>
        <w:rPr>
          <w:rFonts w:ascii="Arial" w:hAnsi="Arial" w:cs="Arial"/>
          <w:color w:val="363636"/>
          <w:shd w:val="clear" w:color="auto" w:fill="FFFFFF"/>
        </w:rPr>
      </w:pPr>
    </w:p>
    <w:p w14:paraId="004106D2" w14:textId="77777777" w:rsidR="005C559A" w:rsidRDefault="00D11BE6" w:rsidP="0096725C">
      <w:pPr>
        <w:rPr>
          <w:rFonts w:ascii="Arial" w:hAnsi="Arial" w:cs="Arial"/>
          <w:color w:val="363636"/>
          <w:shd w:val="clear" w:color="auto" w:fill="FFFFFF"/>
        </w:rPr>
      </w:pPr>
      <w:r w:rsidRPr="00430103">
        <w:rPr>
          <w:rFonts w:ascii="Arial" w:hAnsi="Arial" w:cs="Arial"/>
          <w:color w:val="363636"/>
          <w:shd w:val="clear" w:color="auto" w:fill="FFFFFF"/>
        </w:rPr>
        <w:t xml:space="preserve">In den </w:t>
      </w:r>
      <w:r w:rsidR="00430103" w:rsidRPr="00430103">
        <w:rPr>
          <w:rFonts w:ascii="Arial" w:hAnsi="Arial" w:cs="Arial"/>
          <w:color w:val="363636"/>
          <w:shd w:val="clear" w:color="auto" w:fill="FFFFFF"/>
        </w:rPr>
        <w:t xml:space="preserve">46 europäischen Staaten, für die die IEA Daten bereitstellt, </w:t>
      </w:r>
      <w:r w:rsidRPr="00430103">
        <w:rPr>
          <w:rFonts w:ascii="Arial" w:hAnsi="Arial" w:cs="Arial"/>
          <w:color w:val="363636"/>
          <w:shd w:val="clear" w:color="auto" w:fill="FFFFFF"/>
        </w:rPr>
        <w:t>dominieren</w:t>
      </w:r>
      <w:r w:rsidR="00430103" w:rsidRPr="00430103">
        <w:rPr>
          <w:rFonts w:ascii="Arial" w:hAnsi="Arial" w:cs="Arial"/>
          <w:color w:val="363636"/>
          <w:shd w:val="clear" w:color="auto" w:fill="FFFFFF"/>
        </w:rPr>
        <w:t xml:space="preserve"> </w:t>
      </w:r>
      <w:r w:rsidRPr="00430103">
        <w:rPr>
          <w:rFonts w:ascii="Arial" w:hAnsi="Arial" w:cs="Arial"/>
          <w:color w:val="363636"/>
          <w:shd w:val="clear" w:color="auto" w:fill="FFFFFF"/>
        </w:rPr>
        <w:t xml:space="preserve">bei der Primärenergie-Versorgung </w:t>
      </w:r>
      <w:r w:rsidR="00430103" w:rsidRPr="00430103">
        <w:rPr>
          <w:rFonts w:ascii="Arial" w:hAnsi="Arial" w:cs="Arial"/>
          <w:color w:val="363636"/>
          <w:shd w:val="clear" w:color="auto" w:fill="FFFFFF"/>
        </w:rPr>
        <w:t xml:space="preserve">insgesamt </w:t>
      </w:r>
      <w:r w:rsidRPr="00430103">
        <w:rPr>
          <w:rFonts w:ascii="Arial" w:hAnsi="Arial" w:cs="Arial"/>
          <w:color w:val="363636"/>
          <w:shd w:val="clear" w:color="auto" w:fill="FFFFFF"/>
        </w:rPr>
        <w:t>die fossilen Energieträger</w:t>
      </w:r>
      <w:r w:rsidR="00430103" w:rsidRPr="00430103">
        <w:rPr>
          <w:rFonts w:ascii="Arial" w:hAnsi="Arial" w:cs="Arial"/>
          <w:color w:val="363636"/>
          <w:shd w:val="clear" w:color="auto" w:fill="FFFFFF"/>
        </w:rPr>
        <w:t>:</w:t>
      </w:r>
      <w:r w:rsidRPr="00430103">
        <w:rPr>
          <w:rFonts w:ascii="Arial" w:hAnsi="Arial" w:cs="Arial"/>
          <w:color w:val="363636"/>
          <w:shd w:val="clear" w:color="auto" w:fill="FFFFFF"/>
        </w:rPr>
        <w:t xml:space="preserve"> Öl, Gas und Kohle hatten im Jahr 2016 einen Anteil von 7</w:t>
      </w:r>
      <w:r w:rsidR="00430103" w:rsidRPr="00430103">
        <w:rPr>
          <w:rFonts w:ascii="Arial" w:hAnsi="Arial" w:cs="Arial"/>
          <w:color w:val="363636"/>
          <w:shd w:val="clear" w:color="auto" w:fill="FFFFFF"/>
        </w:rPr>
        <w:t>7</w:t>
      </w:r>
      <w:r w:rsidRPr="00430103">
        <w:rPr>
          <w:rFonts w:ascii="Arial" w:hAnsi="Arial" w:cs="Arial"/>
          <w:color w:val="363636"/>
          <w:shd w:val="clear" w:color="auto" w:fill="FFFFFF"/>
        </w:rPr>
        <w:t>,</w:t>
      </w:r>
      <w:r w:rsidR="00430103" w:rsidRPr="00430103">
        <w:rPr>
          <w:rFonts w:ascii="Arial" w:hAnsi="Arial" w:cs="Arial"/>
          <w:color w:val="363636"/>
          <w:shd w:val="clear" w:color="auto" w:fill="FFFFFF"/>
        </w:rPr>
        <w:t>3</w:t>
      </w:r>
      <w:r w:rsidRPr="00430103">
        <w:rPr>
          <w:rFonts w:ascii="Arial" w:hAnsi="Arial" w:cs="Arial"/>
          <w:color w:val="363636"/>
          <w:shd w:val="clear" w:color="auto" w:fill="FFFFFF"/>
        </w:rPr>
        <w:t xml:space="preserve"> Prozent. 1</w:t>
      </w:r>
      <w:r w:rsidR="00C968DA">
        <w:rPr>
          <w:rFonts w:ascii="Arial" w:hAnsi="Arial" w:cs="Arial"/>
          <w:color w:val="363636"/>
          <w:shd w:val="clear" w:color="auto" w:fill="FFFFFF"/>
        </w:rPr>
        <w:t>1</w:t>
      </w:r>
      <w:r w:rsidRPr="00430103">
        <w:rPr>
          <w:rFonts w:ascii="Arial" w:hAnsi="Arial" w:cs="Arial"/>
          <w:color w:val="363636"/>
          <w:shd w:val="clear" w:color="auto" w:fill="FFFFFF"/>
        </w:rPr>
        <w:t>,</w:t>
      </w:r>
      <w:r w:rsidR="00C968DA">
        <w:rPr>
          <w:rFonts w:ascii="Arial" w:hAnsi="Arial" w:cs="Arial"/>
          <w:color w:val="363636"/>
          <w:shd w:val="clear" w:color="auto" w:fill="FFFFFF"/>
        </w:rPr>
        <w:t>0</w:t>
      </w:r>
      <w:r w:rsidRPr="00430103">
        <w:rPr>
          <w:rFonts w:ascii="Arial" w:hAnsi="Arial" w:cs="Arial"/>
          <w:color w:val="363636"/>
          <w:shd w:val="clear" w:color="auto" w:fill="FFFFFF"/>
        </w:rPr>
        <w:t xml:space="preserve"> Prozent der Primärenergie-Versorgung basierten auf Kernenergie, die erneuerbaren Energien hatten einen Anteil von 1</w:t>
      </w:r>
      <w:r w:rsidR="00C968DA">
        <w:rPr>
          <w:rFonts w:ascii="Arial" w:hAnsi="Arial" w:cs="Arial"/>
          <w:color w:val="363636"/>
          <w:shd w:val="clear" w:color="auto" w:fill="FFFFFF"/>
        </w:rPr>
        <w:t>0</w:t>
      </w:r>
      <w:r w:rsidRPr="00430103">
        <w:rPr>
          <w:rFonts w:ascii="Arial" w:hAnsi="Arial" w:cs="Arial"/>
          <w:color w:val="363636"/>
          <w:shd w:val="clear" w:color="auto" w:fill="FFFFFF"/>
        </w:rPr>
        <w:t>,</w:t>
      </w:r>
      <w:r w:rsidR="00C968DA">
        <w:rPr>
          <w:rFonts w:ascii="Arial" w:hAnsi="Arial" w:cs="Arial"/>
          <w:color w:val="363636"/>
          <w:shd w:val="clear" w:color="auto" w:fill="FFFFFF"/>
        </w:rPr>
        <w:t>7</w:t>
      </w:r>
      <w:r w:rsidRPr="00430103">
        <w:rPr>
          <w:rFonts w:ascii="Arial" w:hAnsi="Arial" w:cs="Arial"/>
          <w:color w:val="363636"/>
          <w:shd w:val="clear" w:color="auto" w:fill="FFFFFF"/>
        </w:rPr>
        <w:t xml:space="preserve"> Prozent.</w:t>
      </w:r>
      <w:r w:rsidR="005C559A">
        <w:rPr>
          <w:rFonts w:ascii="Arial" w:hAnsi="Arial" w:cs="Arial"/>
          <w:color w:val="363636"/>
          <w:shd w:val="clear" w:color="auto" w:fill="FFFFFF"/>
        </w:rPr>
        <w:t xml:space="preserve"> </w:t>
      </w:r>
      <w:r w:rsidR="00601B3D">
        <w:rPr>
          <w:rFonts w:ascii="Arial" w:hAnsi="Arial" w:cs="Arial"/>
          <w:color w:val="363636"/>
          <w:shd w:val="clear" w:color="auto" w:fill="FFFFFF"/>
        </w:rPr>
        <w:t xml:space="preserve">Von </w:t>
      </w:r>
      <w:r w:rsidR="00505F37">
        <w:rPr>
          <w:rFonts w:ascii="Arial" w:hAnsi="Arial" w:cs="Arial"/>
          <w:color w:val="363636"/>
          <w:shd w:val="clear" w:color="auto" w:fill="FFFFFF"/>
        </w:rPr>
        <w:t xml:space="preserve">den </w:t>
      </w:r>
      <w:r w:rsidR="00505F37" w:rsidRPr="00430103">
        <w:rPr>
          <w:rFonts w:ascii="Arial" w:hAnsi="Arial" w:cs="Arial"/>
          <w:color w:val="363636"/>
          <w:shd w:val="clear" w:color="auto" w:fill="FFFFFF"/>
        </w:rPr>
        <w:t xml:space="preserve">erneuerbaren Energien </w:t>
      </w:r>
      <w:r w:rsidR="00601B3D">
        <w:rPr>
          <w:rFonts w:ascii="Arial" w:hAnsi="Arial" w:cs="Arial"/>
          <w:color w:val="363636"/>
          <w:shd w:val="clear" w:color="auto" w:fill="FFFFFF"/>
        </w:rPr>
        <w:t xml:space="preserve">entfielen </w:t>
      </w:r>
      <w:r w:rsidR="00505F37" w:rsidRPr="00505F37">
        <w:rPr>
          <w:rFonts w:ascii="Arial" w:hAnsi="Arial" w:cs="Arial"/>
          <w:color w:val="363636"/>
          <w:shd w:val="clear" w:color="auto" w:fill="FFFFFF"/>
        </w:rPr>
        <w:t>54</w:t>
      </w:r>
      <w:r w:rsidR="00601B3D" w:rsidRPr="00505F37">
        <w:rPr>
          <w:rFonts w:ascii="Arial" w:hAnsi="Arial" w:cs="Arial"/>
          <w:color w:val="363636"/>
          <w:shd w:val="clear" w:color="auto" w:fill="FFFFFF"/>
        </w:rPr>
        <w:t>,</w:t>
      </w:r>
      <w:r w:rsidR="00505F37" w:rsidRPr="00505F37">
        <w:rPr>
          <w:rFonts w:ascii="Arial" w:hAnsi="Arial" w:cs="Arial"/>
          <w:color w:val="363636"/>
          <w:shd w:val="clear" w:color="auto" w:fill="FFFFFF"/>
        </w:rPr>
        <w:t>4</w:t>
      </w:r>
      <w:r w:rsidR="00601B3D" w:rsidRPr="00505F37">
        <w:rPr>
          <w:rFonts w:ascii="Arial" w:hAnsi="Arial" w:cs="Arial"/>
          <w:color w:val="363636"/>
          <w:shd w:val="clear" w:color="auto" w:fill="FFFFFF"/>
        </w:rPr>
        <w:t xml:space="preserve"> Prozent auf Biomasse, Biogas und biologisch abbaubare Abfälle, </w:t>
      </w:r>
      <w:r w:rsidR="00505F37" w:rsidRPr="00505F37">
        <w:rPr>
          <w:rFonts w:ascii="Arial" w:hAnsi="Arial" w:cs="Arial"/>
          <w:color w:val="363636"/>
          <w:shd w:val="clear" w:color="auto" w:fill="FFFFFF"/>
        </w:rPr>
        <w:t>25</w:t>
      </w:r>
      <w:r w:rsidR="00601B3D" w:rsidRPr="00505F37">
        <w:rPr>
          <w:rFonts w:ascii="Arial" w:hAnsi="Arial" w:cs="Arial"/>
          <w:color w:val="363636"/>
          <w:shd w:val="clear" w:color="auto" w:fill="FFFFFF"/>
        </w:rPr>
        <w:t>,</w:t>
      </w:r>
      <w:r w:rsidR="00505F37" w:rsidRPr="00505F37">
        <w:rPr>
          <w:rFonts w:ascii="Arial" w:hAnsi="Arial" w:cs="Arial"/>
          <w:color w:val="363636"/>
          <w:shd w:val="clear" w:color="auto" w:fill="FFFFFF"/>
        </w:rPr>
        <w:t>1</w:t>
      </w:r>
      <w:r w:rsidR="00601B3D" w:rsidRPr="00505F37">
        <w:rPr>
          <w:rFonts w:ascii="Arial" w:hAnsi="Arial" w:cs="Arial"/>
          <w:color w:val="363636"/>
          <w:shd w:val="clear" w:color="auto" w:fill="FFFFFF"/>
        </w:rPr>
        <w:t xml:space="preserve"> Prozent auf Wasserkraft und 2</w:t>
      </w:r>
      <w:r w:rsidR="00505F37" w:rsidRPr="00505F37">
        <w:rPr>
          <w:rFonts w:ascii="Arial" w:hAnsi="Arial" w:cs="Arial"/>
          <w:color w:val="363636"/>
          <w:shd w:val="clear" w:color="auto" w:fill="FFFFFF"/>
        </w:rPr>
        <w:t>0</w:t>
      </w:r>
      <w:r w:rsidR="00601B3D" w:rsidRPr="00505F37">
        <w:rPr>
          <w:rFonts w:ascii="Arial" w:hAnsi="Arial" w:cs="Arial"/>
          <w:color w:val="363636"/>
          <w:shd w:val="clear" w:color="auto" w:fill="FFFFFF"/>
        </w:rPr>
        <w:t>,</w:t>
      </w:r>
      <w:r w:rsidR="00505F37" w:rsidRPr="00505F37">
        <w:rPr>
          <w:rFonts w:ascii="Arial" w:hAnsi="Arial" w:cs="Arial"/>
          <w:color w:val="363636"/>
          <w:shd w:val="clear" w:color="auto" w:fill="FFFFFF"/>
        </w:rPr>
        <w:t>5</w:t>
      </w:r>
      <w:r w:rsidR="00601B3D" w:rsidRPr="00505F37">
        <w:rPr>
          <w:rFonts w:ascii="Arial" w:hAnsi="Arial" w:cs="Arial"/>
          <w:color w:val="363636"/>
          <w:shd w:val="clear" w:color="auto" w:fill="FFFFFF"/>
        </w:rPr>
        <w:t xml:space="preserve"> Prozent auf neue erneuerbare Energien (Geothermie, Solar-, Wind- und Meeresenergie).</w:t>
      </w:r>
    </w:p>
    <w:p w14:paraId="36E587F2" w14:textId="77777777" w:rsidR="005C559A" w:rsidRDefault="005C559A" w:rsidP="0096725C">
      <w:pPr>
        <w:rPr>
          <w:rFonts w:ascii="Arial" w:hAnsi="Arial" w:cs="Arial"/>
          <w:color w:val="363636"/>
          <w:shd w:val="clear" w:color="auto" w:fill="FFFFFF"/>
        </w:rPr>
      </w:pPr>
    </w:p>
    <w:p w14:paraId="59AAA0EC" w14:textId="5ECE8B05" w:rsidR="00D3173E" w:rsidRDefault="00671A1B" w:rsidP="00C177B0">
      <w:pPr>
        <w:rPr>
          <w:rFonts w:ascii="Arial" w:hAnsi="Arial" w:cs="Arial"/>
          <w:color w:val="363636"/>
          <w:shd w:val="clear" w:color="auto" w:fill="FFFFFF"/>
        </w:rPr>
      </w:pPr>
      <w:r>
        <w:rPr>
          <w:rFonts w:ascii="Arial" w:hAnsi="Arial" w:cs="Arial"/>
          <w:color w:val="363636"/>
          <w:shd w:val="clear" w:color="auto" w:fill="FFFFFF"/>
        </w:rPr>
        <w:t>D</w:t>
      </w:r>
      <w:r w:rsidRPr="00CB5293">
        <w:rPr>
          <w:rFonts w:ascii="Arial" w:hAnsi="Arial" w:cs="Arial"/>
          <w:color w:val="363636"/>
          <w:shd w:val="clear" w:color="auto" w:fill="FFFFFF"/>
        </w:rPr>
        <w:t xml:space="preserve">er Anteil der erneuerbaren Energien </w:t>
      </w:r>
      <w:r w:rsidRPr="004C6698">
        <w:rPr>
          <w:rFonts w:ascii="Arial" w:hAnsi="Arial" w:cs="Arial"/>
          <w:color w:val="363636"/>
          <w:shd w:val="clear" w:color="auto" w:fill="FFFFFF"/>
        </w:rPr>
        <w:t>an</w:t>
      </w:r>
      <w:r>
        <w:rPr>
          <w:rFonts w:ascii="Arial" w:hAnsi="Arial" w:cs="Arial"/>
          <w:color w:val="363636"/>
          <w:shd w:val="clear" w:color="auto" w:fill="FFFFFF"/>
        </w:rPr>
        <w:t xml:space="preserve"> </w:t>
      </w:r>
      <w:r w:rsidRPr="004C6698">
        <w:rPr>
          <w:rFonts w:ascii="Arial" w:hAnsi="Arial" w:cs="Arial"/>
          <w:color w:val="363636"/>
          <w:shd w:val="clear" w:color="auto" w:fill="FFFFFF"/>
        </w:rPr>
        <w:t>der gesamten</w:t>
      </w:r>
      <w:r>
        <w:rPr>
          <w:rFonts w:ascii="Arial" w:hAnsi="Arial" w:cs="Arial"/>
          <w:color w:val="363636"/>
          <w:shd w:val="clear" w:color="auto" w:fill="FFFFFF"/>
        </w:rPr>
        <w:t xml:space="preserve"> </w:t>
      </w:r>
      <w:r w:rsidRPr="004C6698">
        <w:rPr>
          <w:rFonts w:ascii="Arial" w:hAnsi="Arial" w:cs="Arial"/>
          <w:color w:val="363636"/>
          <w:shd w:val="clear" w:color="auto" w:fill="FFFFFF"/>
        </w:rPr>
        <w:t>Primärenergie-Versorgung</w:t>
      </w:r>
      <w:r>
        <w:rPr>
          <w:rFonts w:ascii="Arial" w:hAnsi="Arial" w:cs="Arial"/>
          <w:color w:val="363636"/>
          <w:shd w:val="clear" w:color="auto" w:fill="FFFFFF"/>
        </w:rPr>
        <w:t xml:space="preserve"> sowie der Energiemix unterscheiden sich stark zwischen den einzelnen europäischen Staaten. </w:t>
      </w:r>
      <w:r w:rsidR="00C177B0" w:rsidRPr="00CB5293">
        <w:rPr>
          <w:rFonts w:ascii="Arial" w:hAnsi="Arial" w:cs="Arial"/>
          <w:color w:val="363636"/>
          <w:shd w:val="clear" w:color="auto" w:fill="FFFFFF"/>
        </w:rPr>
        <w:t>Aufgrund de</w:t>
      </w:r>
      <w:r w:rsidR="000108FB">
        <w:rPr>
          <w:rFonts w:ascii="Arial" w:hAnsi="Arial" w:cs="Arial"/>
          <w:color w:val="363636"/>
          <w:shd w:val="clear" w:color="auto" w:fill="FFFFFF"/>
        </w:rPr>
        <w:t xml:space="preserve">s hohen Anteils </w:t>
      </w:r>
      <w:r w:rsidR="000F4997">
        <w:rPr>
          <w:rFonts w:ascii="Arial" w:hAnsi="Arial" w:cs="Arial"/>
          <w:color w:val="363636"/>
          <w:shd w:val="clear" w:color="auto" w:fill="FFFFFF"/>
        </w:rPr>
        <w:t xml:space="preserve">der </w:t>
      </w:r>
      <w:r w:rsidR="00C177B0" w:rsidRPr="00CB5293">
        <w:rPr>
          <w:rFonts w:ascii="Arial" w:hAnsi="Arial" w:cs="Arial"/>
          <w:color w:val="363636"/>
          <w:shd w:val="clear" w:color="auto" w:fill="FFFFFF"/>
        </w:rPr>
        <w:t>geothermische</w:t>
      </w:r>
      <w:r w:rsidR="000F4997">
        <w:rPr>
          <w:rFonts w:ascii="Arial" w:hAnsi="Arial" w:cs="Arial"/>
          <w:color w:val="363636"/>
          <w:shd w:val="clear" w:color="auto" w:fill="FFFFFF"/>
        </w:rPr>
        <w:t>n</w:t>
      </w:r>
      <w:r w:rsidR="00C177B0" w:rsidRPr="00CB5293">
        <w:rPr>
          <w:rFonts w:ascii="Arial" w:hAnsi="Arial" w:cs="Arial"/>
          <w:color w:val="363636"/>
          <w:shd w:val="clear" w:color="auto" w:fill="FFFFFF"/>
        </w:rPr>
        <w:t xml:space="preserve"> Energie</w:t>
      </w:r>
      <w:r w:rsidR="000108FB">
        <w:rPr>
          <w:rFonts w:ascii="Arial" w:hAnsi="Arial" w:cs="Arial"/>
          <w:color w:val="363636"/>
          <w:shd w:val="clear" w:color="auto" w:fill="FFFFFF"/>
        </w:rPr>
        <w:t xml:space="preserve"> sowie der Wasserkraft</w:t>
      </w:r>
      <w:r w:rsidR="000A67C8">
        <w:rPr>
          <w:rFonts w:ascii="Arial" w:hAnsi="Arial" w:cs="Arial"/>
          <w:color w:val="363636"/>
          <w:shd w:val="clear" w:color="auto" w:fill="FFFFFF"/>
        </w:rPr>
        <w:t xml:space="preserve"> la</w:t>
      </w:r>
      <w:r w:rsidR="00C177B0" w:rsidRPr="00CB5293">
        <w:rPr>
          <w:rFonts w:ascii="Arial" w:hAnsi="Arial" w:cs="Arial"/>
          <w:color w:val="363636"/>
          <w:shd w:val="clear" w:color="auto" w:fill="FFFFFF"/>
        </w:rPr>
        <w:t xml:space="preserve">g der Anteil der erneuerbaren Energien </w:t>
      </w:r>
      <w:r w:rsidR="00C177B0" w:rsidRPr="004C6698">
        <w:rPr>
          <w:rFonts w:ascii="Arial" w:hAnsi="Arial" w:cs="Arial"/>
          <w:color w:val="363636"/>
          <w:shd w:val="clear" w:color="auto" w:fill="FFFFFF"/>
        </w:rPr>
        <w:t>an</w:t>
      </w:r>
      <w:r w:rsidR="00C177B0">
        <w:rPr>
          <w:rFonts w:ascii="Arial" w:hAnsi="Arial" w:cs="Arial"/>
          <w:color w:val="363636"/>
          <w:shd w:val="clear" w:color="auto" w:fill="FFFFFF"/>
        </w:rPr>
        <w:t xml:space="preserve"> </w:t>
      </w:r>
      <w:r w:rsidR="00C177B0" w:rsidRPr="004C6698">
        <w:rPr>
          <w:rFonts w:ascii="Arial" w:hAnsi="Arial" w:cs="Arial"/>
          <w:color w:val="363636"/>
          <w:shd w:val="clear" w:color="auto" w:fill="FFFFFF"/>
        </w:rPr>
        <w:t>der gesamten</w:t>
      </w:r>
      <w:r w:rsidR="00C177B0">
        <w:rPr>
          <w:rFonts w:ascii="Arial" w:hAnsi="Arial" w:cs="Arial"/>
          <w:color w:val="363636"/>
          <w:shd w:val="clear" w:color="auto" w:fill="FFFFFF"/>
        </w:rPr>
        <w:t xml:space="preserve"> </w:t>
      </w:r>
      <w:r w:rsidR="00C177B0" w:rsidRPr="004C6698">
        <w:rPr>
          <w:rFonts w:ascii="Arial" w:hAnsi="Arial" w:cs="Arial"/>
          <w:color w:val="363636"/>
          <w:shd w:val="clear" w:color="auto" w:fill="FFFFFF"/>
        </w:rPr>
        <w:t>Primärenergie-Versorgung</w:t>
      </w:r>
      <w:r w:rsidR="00C177B0">
        <w:rPr>
          <w:rFonts w:ascii="Arial" w:hAnsi="Arial" w:cs="Arial"/>
          <w:color w:val="363636"/>
          <w:shd w:val="clear" w:color="auto" w:fill="FFFFFF"/>
        </w:rPr>
        <w:t xml:space="preserve"> </w:t>
      </w:r>
      <w:r w:rsidR="00C177B0" w:rsidRPr="00CB5293">
        <w:rPr>
          <w:rFonts w:ascii="Arial" w:hAnsi="Arial" w:cs="Arial"/>
          <w:color w:val="363636"/>
          <w:shd w:val="clear" w:color="auto" w:fill="FFFFFF"/>
        </w:rPr>
        <w:t>in Island im Jahr 201</w:t>
      </w:r>
      <w:r w:rsidR="00C177B0">
        <w:rPr>
          <w:rFonts w:ascii="Arial" w:hAnsi="Arial" w:cs="Arial"/>
          <w:color w:val="363636"/>
          <w:shd w:val="clear" w:color="auto" w:fill="FFFFFF"/>
        </w:rPr>
        <w:t>6</w:t>
      </w:r>
      <w:r w:rsidR="00C177B0" w:rsidRPr="00CB5293">
        <w:rPr>
          <w:rFonts w:ascii="Arial" w:hAnsi="Arial" w:cs="Arial"/>
          <w:color w:val="363636"/>
          <w:shd w:val="clear" w:color="auto" w:fill="FFFFFF"/>
        </w:rPr>
        <w:t xml:space="preserve"> bei </w:t>
      </w:r>
      <w:r w:rsidR="00C177B0">
        <w:rPr>
          <w:rFonts w:ascii="Arial" w:hAnsi="Arial" w:cs="Arial"/>
          <w:color w:val="363636"/>
          <w:shd w:val="clear" w:color="auto" w:fill="FFFFFF"/>
        </w:rPr>
        <w:t>87,2 Prozent. Mit großem Abstand folgte</w:t>
      </w:r>
      <w:r w:rsidR="000F4997">
        <w:rPr>
          <w:rFonts w:ascii="Arial" w:hAnsi="Arial" w:cs="Arial"/>
          <w:color w:val="363636"/>
          <w:shd w:val="clear" w:color="auto" w:fill="FFFFFF"/>
        </w:rPr>
        <w:t>n</w:t>
      </w:r>
      <w:r w:rsidR="00C177B0">
        <w:rPr>
          <w:rFonts w:ascii="Arial" w:hAnsi="Arial" w:cs="Arial"/>
          <w:color w:val="363636"/>
          <w:shd w:val="clear" w:color="auto" w:fill="FFFFFF"/>
        </w:rPr>
        <w:t xml:space="preserve"> </w:t>
      </w:r>
      <w:r w:rsidR="00C177B0" w:rsidRPr="00566CBC">
        <w:rPr>
          <w:rFonts w:ascii="Arial" w:hAnsi="Arial" w:cs="Arial"/>
          <w:color w:val="363636"/>
          <w:shd w:val="clear" w:color="auto" w:fill="FFFFFF"/>
        </w:rPr>
        <w:t>Norwegen</w:t>
      </w:r>
      <w:r w:rsidR="000F4997">
        <w:rPr>
          <w:rFonts w:ascii="Arial" w:hAnsi="Arial" w:cs="Arial"/>
          <w:color w:val="363636"/>
          <w:shd w:val="clear" w:color="auto" w:fill="FFFFFF"/>
        </w:rPr>
        <w:t xml:space="preserve"> (</w:t>
      </w:r>
      <w:r w:rsidR="00C177B0">
        <w:rPr>
          <w:rFonts w:ascii="Arial" w:hAnsi="Arial" w:cs="Arial"/>
          <w:color w:val="363636"/>
          <w:shd w:val="clear" w:color="auto" w:fill="FFFFFF"/>
        </w:rPr>
        <w:t>51,2 Prozent</w:t>
      </w:r>
      <w:r w:rsidR="000F4997">
        <w:rPr>
          <w:rFonts w:ascii="Arial" w:hAnsi="Arial" w:cs="Arial"/>
          <w:color w:val="363636"/>
          <w:shd w:val="clear" w:color="auto" w:fill="FFFFFF"/>
        </w:rPr>
        <w:t xml:space="preserve">), </w:t>
      </w:r>
      <w:r w:rsidR="00C177B0">
        <w:rPr>
          <w:rFonts w:ascii="Arial" w:hAnsi="Arial" w:cs="Arial"/>
          <w:color w:val="363636"/>
          <w:shd w:val="clear" w:color="auto" w:fill="FFFFFF"/>
        </w:rPr>
        <w:t>A</w:t>
      </w:r>
      <w:r w:rsidR="00C177B0" w:rsidRPr="004C6698">
        <w:rPr>
          <w:rFonts w:ascii="Arial" w:hAnsi="Arial" w:cs="Arial"/>
          <w:color w:val="363636"/>
          <w:shd w:val="clear" w:color="auto" w:fill="FFFFFF"/>
        </w:rPr>
        <w:t>lbanien (42,2 Prozent), Lettland (38,2 Prozent), Schweden (37,1 Prozent) und Montenegro (34,3 Prozent).</w:t>
      </w:r>
      <w:r>
        <w:rPr>
          <w:rFonts w:ascii="Arial" w:hAnsi="Arial" w:cs="Arial"/>
          <w:color w:val="363636"/>
          <w:shd w:val="clear" w:color="auto" w:fill="FFFFFF"/>
        </w:rPr>
        <w:t xml:space="preserve"> Auch in </w:t>
      </w:r>
      <w:r w:rsidRPr="00671A1B">
        <w:rPr>
          <w:rFonts w:ascii="Arial" w:hAnsi="Arial" w:cs="Arial"/>
          <w:color w:val="363636"/>
          <w:shd w:val="clear" w:color="auto" w:fill="FFFFFF"/>
        </w:rPr>
        <w:t xml:space="preserve">Finnland (31,2 Prozent), Dänemark (30,3 Prozent) </w:t>
      </w:r>
      <w:r w:rsidR="000F4997">
        <w:rPr>
          <w:rFonts w:ascii="Arial" w:hAnsi="Arial" w:cs="Arial"/>
          <w:color w:val="363636"/>
          <w:shd w:val="clear" w:color="auto" w:fill="FFFFFF"/>
        </w:rPr>
        <w:t>sowie</w:t>
      </w:r>
      <w:r w:rsidRPr="00671A1B">
        <w:rPr>
          <w:rFonts w:ascii="Arial" w:hAnsi="Arial" w:cs="Arial"/>
          <w:color w:val="363636"/>
          <w:shd w:val="clear" w:color="auto" w:fill="FFFFFF"/>
        </w:rPr>
        <w:t xml:space="preserve"> Österreich (30,2 Prozent)</w:t>
      </w:r>
      <w:r>
        <w:rPr>
          <w:rFonts w:ascii="Arial" w:hAnsi="Arial" w:cs="Arial"/>
          <w:color w:val="363636"/>
          <w:shd w:val="clear" w:color="auto" w:fill="FFFFFF"/>
        </w:rPr>
        <w:t xml:space="preserve"> lag der entsprechende Anteil bei mehr als 30 Prozent.</w:t>
      </w:r>
    </w:p>
    <w:p w14:paraId="6615EF79" w14:textId="77777777" w:rsidR="00D3173E" w:rsidRDefault="00D3173E" w:rsidP="00C177B0">
      <w:pPr>
        <w:rPr>
          <w:rFonts w:ascii="Arial" w:hAnsi="Arial" w:cs="Arial"/>
          <w:color w:val="363636"/>
          <w:shd w:val="clear" w:color="auto" w:fill="FFFFFF"/>
        </w:rPr>
      </w:pPr>
    </w:p>
    <w:p w14:paraId="342648C7" w14:textId="08521B0D" w:rsidR="00D3173E" w:rsidRDefault="000108FB" w:rsidP="00C177B0">
      <w:pPr>
        <w:rPr>
          <w:rFonts w:ascii="Arial" w:hAnsi="Arial" w:cs="Arial"/>
          <w:color w:val="363636"/>
          <w:shd w:val="clear" w:color="auto" w:fill="FFFFFF"/>
        </w:rPr>
      </w:pPr>
      <w:r>
        <w:rPr>
          <w:rFonts w:ascii="Arial" w:hAnsi="Arial" w:cs="Arial"/>
          <w:color w:val="363636"/>
          <w:shd w:val="clear" w:color="auto" w:fill="FFFFFF"/>
        </w:rPr>
        <w:t>Auf der anderen Seite lag i</w:t>
      </w:r>
      <w:r w:rsidR="00D3173E">
        <w:rPr>
          <w:rFonts w:ascii="Arial" w:hAnsi="Arial" w:cs="Arial"/>
          <w:color w:val="363636"/>
          <w:shd w:val="clear" w:color="auto" w:fill="FFFFFF"/>
        </w:rPr>
        <w:t xml:space="preserve">n 16 Staaten </w:t>
      </w:r>
      <w:r w:rsidR="00D3173E" w:rsidRPr="00CB5293">
        <w:rPr>
          <w:rFonts w:ascii="Arial" w:hAnsi="Arial" w:cs="Arial"/>
          <w:color w:val="363636"/>
          <w:shd w:val="clear" w:color="auto" w:fill="FFFFFF"/>
        </w:rPr>
        <w:t xml:space="preserve">der Anteil der erneuerbaren Energien </w:t>
      </w:r>
      <w:r w:rsidR="00D3173E" w:rsidRPr="004C6698">
        <w:rPr>
          <w:rFonts w:ascii="Arial" w:hAnsi="Arial" w:cs="Arial"/>
          <w:color w:val="363636"/>
          <w:shd w:val="clear" w:color="auto" w:fill="FFFFFF"/>
        </w:rPr>
        <w:t>an</w:t>
      </w:r>
      <w:r w:rsidR="00D3173E">
        <w:rPr>
          <w:rFonts w:ascii="Arial" w:hAnsi="Arial" w:cs="Arial"/>
          <w:color w:val="363636"/>
          <w:shd w:val="clear" w:color="auto" w:fill="FFFFFF"/>
        </w:rPr>
        <w:t xml:space="preserve"> </w:t>
      </w:r>
      <w:r w:rsidR="00D3173E" w:rsidRPr="004C6698">
        <w:rPr>
          <w:rFonts w:ascii="Arial" w:hAnsi="Arial" w:cs="Arial"/>
          <w:color w:val="363636"/>
          <w:shd w:val="clear" w:color="auto" w:fill="FFFFFF"/>
        </w:rPr>
        <w:t>der gesamten</w:t>
      </w:r>
      <w:r w:rsidR="00D3173E">
        <w:rPr>
          <w:rFonts w:ascii="Arial" w:hAnsi="Arial" w:cs="Arial"/>
          <w:color w:val="363636"/>
          <w:shd w:val="clear" w:color="auto" w:fill="FFFFFF"/>
        </w:rPr>
        <w:t xml:space="preserve"> </w:t>
      </w:r>
      <w:r w:rsidR="00D3173E" w:rsidRPr="004C6698">
        <w:rPr>
          <w:rFonts w:ascii="Arial" w:hAnsi="Arial" w:cs="Arial"/>
          <w:color w:val="363636"/>
          <w:shd w:val="clear" w:color="auto" w:fill="FFFFFF"/>
        </w:rPr>
        <w:t>Primärenergie-Versorgung</w:t>
      </w:r>
      <w:r w:rsidR="00D3173E">
        <w:rPr>
          <w:rFonts w:ascii="Arial" w:hAnsi="Arial" w:cs="Arial"/>
          <w:color w:val="363636"/>
          <w:shd w:val="clear" w:color="auto" w:fill="FFFFFF"/>
        </w:rPr>
        <w:t xml:space="preserve"> </w:t>
      </w:r>
      <w:r w:rsidR="00C337E5">
        <w:rPr>
          <w:rFonts w:ascii="Arial" w:hAnsi="Arial" w:cs="Arial"/>
          <w:color w:val="363636"/>
          <w:shd w:val="clear" w:color="auto" w:fill="FFFFFF"/>
        </w:rPr>
        <w:t xml:space="preserve">lediglich </w:t>
      </w:r>
      <w:r w:rsidR="00D3173E">
        <w:rPr>
          <w:rFonts w:ascii="Arial" w:hAnsi="Arial" w:cs="Arial"/>
          <w:color w:val="363636"/>
          <w:shd w:val="clear" w:color="auto" w:fill="FFFFFF"/>
        </w:rPr>
        <w:t xml:space="preserve">zwischen 7,5 und 15 Prozent. Darunter </w:t>
      </w:r>
      <w:r w:rsidR="00C177B0">
        <w:rPr>
          <w:rFonts w:ascii="Arial" w:hAnsi="Arial" w:cs="Arial"/>
          <w:color w:val="363636"/>
          <w:shd w:val="clear" w:color="auto" w:fill="FFFFFF"/>
        </w:rPr>
        <w:t xml:space="preserve">Deutschland </w:t>
      </w:r>
      <w:r w:rsidR="00D3173E">
        <w:rPr>
          <w:rFonts w:ascii="Arial" w:hAnsi="Arial" w:cs="Arial"/>
          <w:color w:val="363636"/>
          <w:shd w:val="clear" w:color="auto" w:fill="FFFFFF"/>
        </w:rPr>
        <w:t xml:space="preserve">mit einem </w:t>
      </w:r>
      <w:r w:rsidR="009571AB">
        <w:rPr>
          <w:rFonts w:ascii="Arial" w:hAnsi="Arial" w:cs="Arial"/>
          <w:color w:val="363636"/>
          <w:shd w:val="clear" w:color="auto" w:fill="FFFFFF"/>
        </w:rPr>
        <w:t xml:space="preserve">Wert </w:t>
      </w:r>
      <w:r w:rsidR="00D3173E">
        <w:rPr>
          <w:rFonts w:ascii="Arial" w:hAnsi="Arial" w:cs="Arial"/>
          <w:color w:val="363636"/>
          <w:shd w:val="clear" w:color="auto" w:fill="FFFFFF"/>
        </w:rPr>
        <w:t xml:space="preserve">von </w:t>
      </w:r>
      <w:r w:rsidR="009571AB">
        <w:rPr>
          <w:rFonts w:ascii="Arial" w:hAnsi="Arial" w:cs="Arial"/>
          <w:color w:val="363636"/>
          <w:shd w:val="clear" w:color="auto" w:fill="FFFFFF"/>
        </w:rPr>
        <w:t>12,5 Prozent</w:t>
      </w:r>
      <w:r>
        <w:rPr>
          <w:rFonts w:ascii="Arial" w:hAnsi="Arial" w:cs="Arial"/>
          <w:color w:val="363636"/>
          <w:shd w:val="clear" w:color="auto" w:fill="FFFFFF"/>
        </w:rPr>
        <w:t xml:space="preserve"> bzw. Rang 25 von 46</w:t>
      </w:r>
      <w:r w:rsidR="009571AB">
        <w:rPr>
          <w:rFonts w:ascii="Arial" w:hAnsi="Arial" w:cs="Arial"/>
          <w:color w:val="363636"/>
          <w:shd w:val="clear" w:color="auto" w:fill="FFFFFF"/>
        </w:rPr>
        <w:t>.</w:t>
      </w:r>
      <w:r>
        <w:rPr>
          <w:rFonts w:ascii="Arial" w:hAnsi="Arial" w:cs="Arial"/>
          <w:color w:val="363636"/>
          <w:shd w:val="clear" w:color="auto" w:fill="FFFFFF"/>
        </w:rPr>
        <w:t xml:space="preserve"> Schließlich hatten i</w:t>
      </w:r>
      <w:r w:rsidR="00D3173E">
        <w:rPr>
          <w:rFonts w:ascii="Arial" w:hAnsi="Arial" w:cs="Arial"/>
          <w:color w:val="363636"/>
          <w:shd w:val="clear" w:color="auto" w:fill="FFFFFF"/>
        </w:rPr>
        <w:t xml:space="preserve">n </w:t>
      </w:r>
      <w:r>
        <w:rPr>
          <w:rFonts w:ascii="Arial" w:hAnsi="Arial" w:cs="Arial"/>
          <w:color w:val="363636"/>
          <w:shd w:val="clear" w:color="auto" w:fill="FFFFFF"/>
        </w:rPr>
        <w:t xml:space="preserve">zehn </w:t>
      </w:r>
      <w:r w:rsidR="00D3173E">
        <w:rPr>
          <w:rFonts w:ascii="Arial" w:hAnsi="Arial" w:cs="Arial"/>
          <w:color w:val="363636"/>
          <w:shd w:val="clear" w:color="auto" w:fill="FFFFFF"/>
        </w:rPr>
        <w:t>Staaten</w:t>
      </w:r>
      <w:r>
        <w:rPr>
          <w:rFonts w:ascii="Arial" w:hAnsi="Arial" w:cs="Arial"/>
          <w:color w:val="363636"/>
          <w:shd w:val="clear" w:color="auto" w:fill="FFFFFF"/>
        </w:rPr>
        <w:t xml:space="preserve"> die e</w:t>
      </w:r>
      <w:r w:rsidRPr="00CB5293">
        <w:rPr>
          <w:rFonts w:ascii="Arial" w:hAnsi="Arial" w:cs="Arial"/>
          <w:color w:val="363636"/>
          <w:shd w:val="clear" w:color="auto" w:fill="FFFFFF"/>
        </w:rPr>
        <w:t>rneuerbaren Energien</w:t>
      </w:r>
      <w:r>
        <w:rPr>
          <w:rFonts w:ascii="Arial" w:hAnsi="Arial" w:cs="Arial"/>
          <w:color w:val="363636"/>
          <w:shd w:val="clear" w:color="auto" w:fill="FFFFFF"/>
        </w:rPr>
        <w:t xml:space="preserve"> einen Anteil von weniger als 7,5 Prozent an der </w:t>
      </w:r>
      <w:r w:rsidRPr="004C6698">
        <w:rPr>
          <w:rFonts w:ascii="Arial" w:hAnsi="Arial" w:cs="Arial"/>
          <w:color w:val="363636"/>
          <w:shd w:val="clear" w:color="auto" w:fill="FFFFFF"/>
        </w:rPr>
        <w:t>Primärenergie-Versorgung</w:t>
      </w:r>
      <w:r>
        <w:rPr>
          <w:rFonts w:ascii="Arial" w:hAnsi="Arial" w:cs="Arial"/>
          <w:color w:val="363636"/>
          <w:shd w:val="clear" w:color="auto" w:fill="FFFFFF"/>
        </w:rPr>
        <w:t>.</w:t>
      </w:r>
    </w:p>
    <w:p w14:paraId="7F46A5D7" w14:textId="77777777" w:rsidR="00C177B0" w:rsidRPr="001172B2" w:rsidRDefault="00C177B0" w:rsidP="0096725C">
      <w:pPr>
        <w:rPr>
          <w:rFonts w:ascii="Arial" w:hAnsi="Arial" w:cs="Arial"/>
          <w:color w:val="363636"/>
          <w:shd w:val="clear" w:color="auto" w:fill="FFFFFF"/>
        </w:rPr>
      </w:pPr>
    </w:p>
    <w:p w14:paraId="748D21EF" w14:textId="77777777" w:rsidR="009C2F8D" w:rsidRDefault="0096725C" w:rsidP="0096725C">
      <w:pPr>
        <w:rPr>
          <w:rFonts w:ascii="Arial" w:hAnsi="Arial" w:cs="Arial"/>
          <w:color w:val="363636"/>
          <w:shd w:val="clear" w:color="auto" w:fill="FFFFFF"/>
        </w:rPr>
      </w:pPr>
      <w:r w:rsidRPr="00566CBC">
        <w:rPr>
          <w:rFonts w:ascii="Arial" w:hAnsi="Arial" w:cs="Arial"/>
          <w:color w:val="363636"/>
          <w:shd w:val="clear" w:color="auto" w:fill="FFFFFF"/>
        </w:rPr>
        <w:t xml:space="preserve">Im Vergleich zu den anderen </w:t>
      </w:r>
      <w:r w:rsidR="009C2F8D">
        <w:rPr>
          <w:rFonts w:ascii="Arial" w:hAnsi="Arial" w:cs="Arial"/>
          <w:color w:val="363636"/>
          <w:shd w:val="clear" w:color="auto" w:fill="FFFFFF"/>
        </w:rPr>
        <w:t xml:space="preserve">europäischen </w:t>
      </w:r>
      <w:r w:rsidRPr="00566CBC">
        <w:rPr>
          <w:rFonts w:ascii="Arial" w:hAnsi="Arial" w:cs="Arial"/>
          <w:color w:val="363636"/>
          <w:shd w:val="clear" w:color="auto" w:fill="FFFFFF"/>
        </w:rPr>
        <w:t xml:space="preserve">Staaten war der Anteil von Biomasse, Biogas und biologisch abbaubaren Abfällen an der </w:t>
      </w:r>
      <w:r w:rsidR="000108FB">
        <w:rPr>
          <w:rFonts w:ascii="Arial" w:hAnsi="Arial" w:cs="Arial"/>
          <w:color w:val="363636"/>
          <w:shd w:val="clear" w:color="auto" w:fill="FFFFFF"/>
        </w:rPr>
        <w:t xml:space="preserve">gesamten </w:t>
      </w:r>
      <w:r w:rsidRPr="00566CBC">
        <w:rPr>
          <w:rFonts w:ascii="Arial" w:hAnsi="Arial" w:cs="Arial"/>
          <w:color w:val="363636"/>
          <w:shd w:val="clear" w:color="auto" w:fill="FFFFFF"/>
        </w:rPr>
        <w:t>Primärenergie-Versorgung in Lettland (33,7 Prozent), Finnland (27,2 Prozent), Dänemark (25,5 Prozent), Schweden (25,2 Prozent) und Österreich (20,1 Prozent) am größten. Es folgten mit Litauen, der Republik Moldau, Montenegro, Estland und Kroatien fünf weitere Staaten, in denen der entsprechende Anteil 2016 bei mehr als 15 Prozent lag (Deutschland: 9,9 Prozent).</w:t>
      </w:r>
    </w:p>
    <w:p w14:paraId="0BFC0B50" w14:textId="77777777" w:rsidR="009C2F8D" w:rsidRDefault="009C2F8D" w:rsidP="0096725C">
      <w:pPr>
        <w:rPr>
          <w:rFonts w:ascii="Arial" w:hAnsi="Arial" w:cs="Arial"/>
          <w:color w:val="363636"/>
          <w:shd w:val="clear" w:color="auto" w:fill="FFFFFF"/>
        </w:rPr>
      </w:pPr>
    </w:p>
    <w:p w14:paraId="1DEF2783" w14:textId="77777777" w:rsidR="009C2F8D" w:rsidRDefault="0096725C" w:rsidP="0096725C">
      <w:pPr>
        <w:rPr>
          <w:rFonts w:ascii="Arial" w:hAnsi="Arial" w:cs="Arial"/>
          <w:color w:val="363636"/>
          <w:shd w:val="clear" w:color="auto" w:fill="FFFFFF"/>
        </w:rPr>
      </w:pPr>
      <w:r w:rsidRPr="00566CBC">
        <w:rPr>
          <w:rFonts w:ascii="Arial" w:hAnsi="Arial" w:cs="Arial"/>
          <w:color w:val="363636"/>
          <w:shd w:val="clear" w:color="auto" w:fill="FFFFFF"/>
        </w:rPr>
        <w:lastRenderedPageBreak/>
        <w:t>Norwegen konnte 2016 mit 45,1 Prozent fast die Hälfte der</w:t>
      </w:r>
      <w:r w:rsidR="00C337E5">
        <w:rPr>
          <w:rFonts w:ascii="Arial" w:hAnsi="Arial" w:cs="Arial"/>
          <w:color w:val="363636"/>
          <w:shd w:val="clear" w:color="auto" w:fill="FFFFFF"/>
        </w:rPr>
        <w:t xml:space="preserve"> gesamten</w:t>
      </w:r>
      <w:r w:rsidRPr="00566CBC">
        <w:rPr>
          <w:rFonts w:ascii="Arial" w:hAnsi="Arial" w:cs="Arial"/>
          <w:color w:val="363636"/>
          <w:shd w:val="clear" w:color="auto" w:fill="FFFFFF"/>
        </w:rPr>
        <w:t xml:space="preserve"> Primärenergie-Versorgung über die Wasserkraft decken. In Albanien lag der Anteil bei grob einem Drittel (29,7 Prozent), in Island bei gut einem Fünftel (21,9 Prozent). Darauf folgten Georgien und Montenegro (16,7 bzw. 16,4 Prozent). In der Schweiz, in Schweden und Österreich lag der Anteil der Wasserkraft zwischen 13 und 10 Prozent. In Deutschland hat die Wasserkraft mit einem Anteil von 0,6 Prozent nahezu keine Bedeutung für die Versorgung mit Primärenergie.</w:t>
      </w:r>
    </w:p>
    <w:p w14:paraId="6BBAC0D2" w14:textId="77777777" w:rsidR="009C2F8D" w:rsidRDefault="009C2F8D" w:rsidP="0096725C">
      <w:pPr>
        <w:rPr>
          <w:rFonts w:ascii="Arial" w:hAnsi="Arial" w:cs="Arial"/>
          <w:color w:val="363636"/>
          <w:shd w:val="clear" w:color="auto" w:fill="FFFFFF"/>
        </w:rPr>
      </w:pPr>
    </w:p>
    <w:p w14:paraId="392B8696" w14:textId="6A0DE199" w:rsidR="0096725C" w:rsidRDefault="0096725C" w:rsidP="0096725C">
      <w:pPr>
        <w:rPr>
          <w:rFonts w:ascii="Arial" w:hAnsi="Arial" w:cs="Arial"/>
          <w:color w:val="363636"/>
          <w:shd w:val="clear" w:color="auto" w:fill="FFFFFF"/>
        </w:rPr>
      </w:pPr>
      <w:r w:rsidRPr="00CB5293">
        <w:rPr>
          <w:rFonts w:ascii="Arial" w:hAnsi="Arial" w:cs="Arial"/>
          <w:color w:val="363636"/>
          <w:shd w:val="clear" w:color="auto" w:fill="FFFFFF"/>
        </w:rPr>
        <w:t xml:space="preserve">Schließlich hebt sich bei keinem anderen Energieträger ein Staat so deutlich von allen </w:t>
      </w:r>
      <w:r w:rsidRPr="001110E9">
        <w:rPr>
          <w:rFonts w:ascii="Arial" w:hAnsi="Arial" w:cs="Arial"/>
          <w:color w:val="363636"/>
          <w:shd w:val="clear" w:color="auto" w:fill="FFFFFF"/>
        </w:rPr>
        <w:t xml:space="preserve">anderen ab, wie </w:t>
      </w:r>
      <w:r w:rsidRPr="00CB5293">
        <w:rPr>
          <w:rFonts w:ascii="Arial" w:hAnsi="Arial" w:cs="Arial"/>
          <w:color w:val="363636"/>
          <w:shd w:val="clear" w:color="auto" w:fill="FFFFFF"/>
        </w:rPr>
        <w:t xml:space="preserve">Island bei den neuen erneuerbaren Energien. Aufgrund der besonderen geografischen Lage bzw. den guten Voraussetzungen für die Nutzung </w:t>
      </w:r>
      <w:r w:rsidR="000F4997">
        <w:rPr>
          <w:rFonts w:ascii="Arial" w:hAnsi="Arial" w:cs="Arial"/>
          <w:color w:val="363636"/>
          <w:shd w:val="clear" w:color="auto" w:fill="FFFFFF"/>
        </w:rPr>
        <w:t>geothermischer Energie</w:t>
      </w:r>
      <w:r w:rsidRPr="00CB5293">
        <w:rPr>
          <w:rFonts w:ascii="Arial" w:hAnsi="Arial" w:cs="Arial"/>
          <w:color w:val="363636"/>
          <w:shd w:val="clear" w:color="auto" w:fill="FFFFFF"/>
        </w:rPr>
        <w:t xml:space="preserve"> lag der Anteil der neuen erneuerbaren Energien</w:t>
      </w:r>
      <w:r w:rsidR="009F4669" w:rsidRPr="009F4669">
        <w:rPr>
          <w:rFonts w:ascii="Arial" w:hAnsi="Arial" w:cs="Arial"/>
          <w:color w:val="363636"/>
          <w:shd w:val="clear" w:color="auto" w:fill="FFFFFF"/>
        </w:rPr>
        <w:t xml:space="preserve"> </w:t>
      </w:r>
      <w:r w:rsidRPr="00CB5293">
        <w:rPr>
          <w:rFonts w:ascii="Arial" w:hAnsi="Arial" w:cs="Arial"/>
          <w:color w:val="363636"/>
          <w:shd w:val="clear" w:color="auto" w:fill="FFFFFF"/>
        </w:rPr>
        <w:t>in Island im Jahr 2016 bei 65,0 Prozent</w:t>
      </w:r>
      <w:r w:rsidR="009F4669" w:rsidRPr="009F4669">
        <w:rPr>
          <w:rFonts w:ascii="Arial" w:hAnsi="Arial" w:cs="Arial"/>
          <w:color w:val="363636"/>
          <w:shd w:val="clear" w:color="auto" w:fill="FFFFFF"/>
        </w:rPr>
        <w:t xml:space="preserve"> </w:t>
      </w:r>
      <w:r w:rsidR="009F4669" w:rsidRPr="00566CBC">
        <w:rPr>
          <w:rFonts w:ascii="Arial" w:hAnsi="Arial" w:cs="Arial"/>
          <w:color w:val="363636"/>
          <w:shd w:val="clear" w:color="auto" w:fill="FFFFFF"/>
        </w:rPr>
        <w:t xml:space="preserve">der </w:t>
      </w:r>
      <w:r w:rsidR="009F4669">
        <w:rPr>
          <w:rFonts w:ascii="Arial" w:hAnsi="Arial" w:cs="Arial"/>
          <w:color w:val="363636"/>
          <w:shd w:val="clear" w:color="auto" w:fill="FFFFFF"/>
        </w:rPr>
        <w:t xml:space="preserve">gesamten </w:t>
      </w:r>
      <w:r w:rsidR="009F4669" w:rsidRPr="00566CBC">
        <w:rPr>
          <w:rFonts w:ascii="Arial" w:hAnsi="Arial" w:cs="Arial"/>
          <w:color w:val="363636"/>
          <w:shd w:val="clear" w:color="auto" w:fill="FFFFFF"/>
        </w:rPr>
        <w:t>Primärenergie-Versorgung</w:t>
      </w:r>
      <w:r w:rsidRPr="00CB5293">
        <w:rPr>
          <w:rFonts w:ascii="Arial" w:hAnsi="Arial" w:cs="Arial"/>
          <w:color w:val="363636"/>
          <w:shd w:val="clear" w:color="auto" w:fill="FFFFFF"/>
        </w:rPr>
        <w:t>. In den auf Island folgenden Staaten Dänemark (7,4 Prozent), Türkei und Portugal (6,3 Prozent), Spanien (6,2 Prozent) sowie Italien (6,1 Prozent) sinkt der Anteil bereits auf unter 8 Prozent. In 29 der 46 hier betrachteten Staaten/Gebiete lag der Anteil der neuen erneuerbaren Energien 2016 bei 1,5 Prozent oder weniger</w:t>
      </w:r>
      <w:r w:rsidR="009F4669" w:rsidRPr="00CB5293">
        <w:rPr>
          <w:rFonts w:ascii="Arial" w:hAnsi="Arial" w:cs="Arial"/>
          <w:color w:val="363636"/>
          <w:shd w:val="clear" w:color="auto" w:fill="FFFFFF"/>
        </w:rPr>
        <w:t xml:space="preserve"> (Deutschland 3,5 Prozent)</w:t>
      </w:r>
      <w:r w:rsidRPr="00CB5293">
        <w:rPr>
          <w:rFonts w:ascii="Arial" w:hAnsi="Arial" w:cs="Arial"/>
          <w:color w:val="363636"/>
          <w:shd w:val="clear" w:color="auto" w:fill="FFFFFF"/>
        </w:rPr>
        <w:t>.</w:t>
      </w:r>
    </w:p>
    <w:p w14:paraId="31949C40" w14:textId="77777777" w:rsidR="009F4669" w:rsidRDefault="009F4669" w:rsidP="0096725C">
      <w:pPr>
        <w:rPr>
          <w:rFonts w:ascii="Arial" w:hAnsi="Arial" w:cs="Arial"/>
          <w:color w:val="363636"/>
          <w:shd w:val="clear" w:color="auto" w:fill="FFFFFF"/>
        </w:rPr>
      </w:pPr>
    </w:p>
    <w:p w14:paraId="1A8C50F7" w14:textId="3BCF5B7C" w:rsidR="00DA7709" w:rsidRDefault="00755309">
      <w:pPr>
        <w:rPr>
          <w:rFonts w:ascii="Arial" w:hAnsi="Arial" w:cs="Arial"/>
          <w:color w:val="363636"/>
          <w:shd w:val="clear" w:color="auto" w:fill="FFFFFF"/>
        </w:rPr>
      </w:pPr>
      <w:r w:rsidRPr="00834661">
        <w:rPr>
          <w:rFonts w:ascii="Arial" w:hAnsi="Arial" w:cs="Arial"/>
          <w:color w:val="363636"/>
          <w:shd w:val="clear" w:color="auto" w:fill="FFFFFF"/>
        </w:rPr>
        <w:t xml:space="preserve">In </w:t>
      </w:r>
      <w:r w:rsidR="009C2F8D">
        <w:rPr>
          <w:rFonts w:ascii="Arial" w:hAnsi="Arial" w:cs="Arial"/>
          <w:color w:val="363636"/>
          <w:shd w:val="clear" w:color="auto" w:fill="FFFFFF"/>
        </w:rPr>
        <w:t xml:space="preserve">den </w:t>
      </w:r>
      <w:r w:rsidRPr="00834661">
        <w:rPr>
          <w:rFonts w:ascii="Arial" w:hAnsi="Arial" w:cs="Arial"/>
          <w:color w:val="363636"/>
          <w:shd w:val="clear" w:color="auto" w:fill="FFFFFF"/>
        </w:rPr>
        <w:t>22 europäischen Mitgliedstaaten der IEA (</w:t>
      </w:r>
      <w:r w:rsidR="009C2F8D">
        <w:rPr>
          <w:rFonts w:ascii="Arial" w:hAnsi="Arial" w:cs="Arial"/>
          <w:color w:val="363636"/>
          <w:shd w:val="clear" w:color="auto" w:fill="FFFFFF"/>
        </w:rPr>
        <w:t xml:space="preserve">ohne Estland; </w:t>
      </w:r>
      <w:r w:rsidRPr="00834661">
        <w:rPr>
          <w:rFonts w:ascii="Arial" w:hAnsi="Arial" w:cs="Arial"/>
          <w:color w:val="363636"/>
          <w:shd w:val="clear" w:color="auto" w:fill="FFFFFF"/>
        </w:rPr>
        <w:t>siehe "Begriffe, methodische Anmerkungen oder Lesehilfen") hatten die erneuerbaren Energien</w:t>
      </w:r>
      <w:r w:rsidR="009C2F8D">
        <w:rPr>
          <w:rFonts w:ascii="Arial" w:hAnsi="Arial" w:cs="Arial"/>
          <w:color w:val="363636"/>
          <w:shd w:val="clear" w:color="auto" w:fill="FFFFFF"/>
        </w:rPr>
        <w:t xml:space="preserve"> im Jahr 1990 </w:t>
      </w:r>
      <w:r w:rsidRPr="00834661">
        <w:rPr>
          <w:rFonts w:ascii="Arial" w:hAnsi="Arial" w:cs="Arial"/>
          <w:color w:val="363636"/>
          <w:shd w:val="clear" w:color="auto" w:fill="FFFFFF"/>
        </w:rPr>
        <w:t xml:space="preserve">einen Anteil von </w:t>
      </w:r>
      <w:r w:rsidR="00783F8E" w:rsidRPr="00834661">
        <w:rPr>
          <w:rFonts w:ascii="Arial" w:hAnsi="Arial" w:cs="Arial"/>
          <w:color w:val="363636"/>
          <w:shd w:val="clear" w:color="auto" w:fill="FFFFFF"/>
        </w:rPr>
        <w:t xml:space="preserve">5,7 </w:t>
      </w:r>
      <w:r w:rsidRPr="00834661">
        <w:rPr>
          <w:rFonts w:ascii="Arial" w:hAnsi="Arial" w:cs="Arial"/>
          <w:color w:val="363636"/>
          <w:shd w:val="clear" w:color="auto" w:fill="FFFFFF"/>
        </w:rPr>
        <w:t xml:space="preserve">Prozent an der gesamten Primärenergie-Versorgung. </w:t>
      </w:r>
      <w:r w:rsidR="00783F8E" w:rsidRPr="00834661">
        <w:rPr>
          <w:rFonts w:ascii="Arial" w:hAnsi="Arial" w:cs="Arial"/>
          <w:color w:val="363636"/>
          <w:shd w:val="clear" w:color="auto" w:fill="FFFFFF"/>
        </w:rPr>
        <w:t>Bis zum Jahr 2010 stieg der Anteil auf gut 10 Prozent</w:t>
      </w:r>
      <w:r w:rsidR="005C559A">
        <w:rPr>
          <w:rFonts w:ascii="Arial" w:hAnsi="Arial" w:cs="Arial"/>
          <w:color w:val="363636"/>
          <w:shd w:val="clear" w:color="auto" w:fill="FFFFFF"/>
        </w:rPr>
        <w:t xml:space="preserve"> </w:t>
      </w:r>
      <w:r w:rsidR="00783F8E" w:rsidRPr="00834661">
        <w:rPr>
          <w:rFonts w:ascii="Arial" w:hAnsi="Arial" w:cs="Arial"/>
          <w:color w:val="363636"/>
          <w:shd w:val="clear" w:color="auto" w:fill="FFFFFF"/>
        </w:rPr>
        <w:t>und im Jahr 2016</w:t>
      </w:r>
      <w:r w:rsidR="00834661" w:rsidRPr="00834661">
        <w:rPr>
          <w:rFonts w:ascii="Arial" w:hAnsi="Arial" w:cs="Arial"/>
          <w:color w:val="363636"/>
          <w:shd w:val="clear" w:color="auto" w:fill="FFFFFF"/>
        </w:rPr>
        <w:t xml:space="preserve"> lag er bei 14,0 Prozent</w:t>
      </w:r>
      <w:r w:rsidR="005C559A">
        <w:rPr>
          <w:rFonts w:ascii="Arial" w:hAnsi="Arial" w:cs="Arial"/>
          <w:color w:val="363636"/>
          <w:shd w:val="clear" w:color="auto" w:fill="FFFFFF"/>
        </w:rPr>
        <w:t xml:space="preserve">. </w:t>
      </w:r>
      <w:r w:rsidR="001640B8" w:rsidRPr="00DA7709">
        <w:rPr>
          <w:rFonts w:ascii="Arial" w:hAnsi="Arial" w:cs="Arial"/>
          <w:color w:val="363636"/>
          <w:shd w:val="clear" w:color="auto" w:fill="FFFFFF"/>
        </w:rPr>
        <w:t xml:space="preserve">Diese Steigerung ist auch auf staatliche Förderung zurückzuführen, die dabei im Wesentlichen drei Ziele verfolgt: Erstens soll durch die Reduzierung des Verbrauchs </w:t>
      </w:r>
      <w:r w:rsidR="00DA7709" w:rsidRPr="00DA7709">
        <w:rPr>
          <w:rFonts w:ascii="Arial" w:hAnsi="Arial" w:cs="Arial"/>
          <w:color w:val="363636"/>
          <w:shd w:val="clear" w:color="auto" w:fill="FFFFFF"/>
        </w:rPr>
        <w:t>fossiler</w:t>
      </w:r>
      <w:r w:rsidR="001640B8" w:rsidRPr="00DA7709">
        <w:rPr>
          <w:rFonts w:ascii="Arial" w:hAnsi="Arial" w:cs="Arial"/>
          <w:color w:val="363636"/>
          <w:shd w:val="clear" w:color="auto" w:fill="FFFFFF"/>
        </w:rPr>
        <w:t xml:space="preserve"> Energieträger der CO2-Ausstoß </w:t>
      </w:r>
      <w:r w:rsidR="00DA7709" w:rsidRPr="00DA7709">
        <w:rPr>
          <w:rFonts w:ascii="Arial" w:hAnsi="Arial" w:cs="Arial"/>
          <w:color w:val="363636"/>
          <w:shd w:val="clear" w:color="auto" w:fill="FFFFFF"/>
        </w:rPr>
        <w:t xml:space="preserve">gesenkt </w:t>
      </w:r>
      <w:r w:rsidR="001640B8" w:rsidRPr="00DA7709">
        <w:rPr>
          <w:rFonts w:ascii="Arial" w:hAnsi="Arial" w:cs="Arial"/>
          <w:color w:val="363636"/>
          <w:shd w:val="clear" w:color="auto" w:fill="FFFFFF"/>
        </w:rPr>
        <w:t xml:space="preserve">werden. Zweitens soll durch die Nutzung von erneuerbaren Energien die Energiesicherheit erhöht </w:t>
      </w:r>
      <w:r w:rsidR="00DA7709">
        <w:rPr>
          <w:rFonts w:ascii="Arial" w:hAnsi="Arial" w:cs="Arial"/>
          <w:color w:val="363636"/>
          <w:shd w:val="clear" w:color="auto" w:fill="FFFFFF"/>
        </w:rPr>
        <w:t xml:space="preserve">bzw. </w:t>
      </w:r>
      <w:r w:rsidR="001640B8" w:rsidRPr="00DA7709">
        <w:rPr>
          <w:rFonts w:ascii="Arial" w:hAnsi="Arial" w:cs="Arial"/>
          <w:color w:val="363636"/>
          <w:shd w:val="clear" w:color="auto" w:fill="FFFFFF"/>
        </w:rPr>
        <w:t>die Abhängigkeit von Energie-Importen verringert werden. Drittens soll das Beschäftigungspotenzial im Bereich erneuerbarer Energien genutzt werden.</w:t>
      </w:r>
    </w:p>
    <w:p w14:paraId="10415506" w14:textId="77777777" w:rsidR="00E565E7" w:rsidRDefault="00E565E7">
      <w:pPr>
        <w:rPr>
          <w:rFonts w:ascii="Arial" w:hAnsi="Arial" w:cs="Arial"/>
          <w:color w:val="363636"/>
          <w:shd w:val="clear" w:color="auto" w:fill="FFFFFF"/>
        </w:rPr>
      </w:pPr>
    </w:p>
    <w:p w14:paraId="515C6DDE" w14:textId="4DBC860B" w:rsidR="00845562" w:rsidRDefault="001640B8">
      <w:pPr>
        <w:rPr>
          <w:rFonts w:ascii="Arial" w:hAnsi="Arial" w:cs="Arial"/>
          <w:color w:val="363636"/>
          <w:shd w:val="clear" w:color="auto" w:fill="FFFFFF"/>
        </w:rPr>
      </w:pPr>
      <w:r w:rsidRPr="00755309">
        <w:rPr>
          <w:rFonts w:ascii="Arial" w:hAnsi="Arial" w:cs="Arial"/>
          <w:color w:val="363636"/>
          <w:shd w:val="clear" w:color="auto" w:fill="FFFFFF"/>
        </w:rPr>
        <w:t>Bei der Bewertung des zunehmenden Anteils der erneuerbaren Energien an der gesamten Primärenergie-V</w:t>
      </w:r>
      <w:r w:rsidRPr="00DF6108">
        <w:rPr>
          <w:rFonts w:ascii="Arial" w:hAnsi="Arial" w:cs="Arial"/>
          <w:color w:val="363636"/>
          <w:shd w:val="clear" w:color="auto" w:fill="FFFFFF"/>
        </w:rPr>
        <w:t>e</w:t>
      </w:r>
      <w:r w:rsidRPr="00755309">
        <w:rPr>
          <w:rFonts w:ascii="Arial" w:hAnsi="Arial" w:cs="Arial"/>
          <w:color w:val="363636"/>
          <w:shd w:val="clear" w:color="auto" w:fill="FFFFFF"/>
        </w:rPr>
        <w:t>rsorgung muss allerdings berücksichtigt werden,</w:t>
      </w:r>
      <w:r w:rsidR="00755309" w:rsidRPr="00755309">
        <w:rPr>
          <w:rFonts w:ascii="Arial" w:hAnsi="Arial" w:cs="Arial"/>
          <w:color w:val="363636"/>
          <w:shd w:val="clear" w:color="auto" w:fill="FFFFFF"/>
        </w:rPr>
        <w:t xml:space="preserve"> </w:t>
      </w:r>
      <w:r w:rsidR="00755309" w:rsidRPr="00231DC6">
        <w:rPr>
          <w:rFonts w:ascii="Arial" w:hAnsi="Arial" w:cs="Arial"/>
          <w:color w:val="363636"/>
          <w:shd w:val="clear" w:color="auto" w:fill="FFFFFF"/>
        </w:rPr>
        <w:t>dass die traditionelle Nutzung von Biomasse und auch die Nutzung der Wasserkraft nicht immer nachhaltig sind. Vor allem die Nutzung der Wasserkraft durch große Staudämme geht häufig mit negativen ökologischen Folgen einher. Das Gleiche gilt für Biokraftstoffe, bei denen die Ökobilanz stark von der Rohstoffbasis</w:t>
      </w:r>
      <w:r w:rsidR="00755309">
        <w:rPr>
          <w:rFonts w:ascii="Arial" w:hAnsi="Arial" w:cs="Arial"/>
          <w:color w:val="363636"/>
          <w:shd w:val="clear" w:color="auto" w:fill="FFFFFF"/>
        </w:rPr>
        <w:t xml:space="preserve"> sowie </w:t>
      </w:r>
      <w:r w:rsidR="00755309" w:rsidRPr="00231DC6">
        <w:rPr>
          <w:rFonts w:ascii="Arial" w:hAnsi="Arial" w:cs="Arial"/>
          <w:color w:val="363636"/>
          <w:shd w:val="clear" w:color="auto" w:fill="FFFFFF"/>
        </w:rPr>
        <w:t xml:space="preserve">der Herstellung und Herkunft </w:t>
      </w:r>
      <w:r w:rsidR="00755309">
        <w:rPr>
          <w:rFonts w:ascii="Arial" w:hAnsi="Arial" w:cs="Arial"/>
          <w:color w:val="363636"/>
          <w:shd w:val="clear" w:color="auto" w:fill="FFFFFF"/>
        </w:rPr>
        <w:t xml:space="preserve">(insbesondere der </w:t>
      </w:r>
      <w:r w:rsidR="00755309" w:rsidRPr="00231DC6">
        <w:rPr>
          <w:rFonts w:ascii="Arial" w:hAnsi="Arial" w:cs="Arial"/>
          <w:color w:val="363636"/>
          <w:shd w:val="clear" w:color="auto" w:fill="FFFFFF"/>
        </w:rPr>
        <w:t>Anbaufläche</w:t>
      </w:r>
      <w:r w:rsidR="00755309">
        <w:rPr>
          <w:rFonts w:ascii="Arial" w:hAnsi="Arial" w:cs="Arial"/>
          <w:color w:val="363636"/>
          <w:shd w:val="clear" w:color="auto" w:fill="FFFFFF"/>
        </w:rPr>
        <w:t xml:space="preserve">) </w:t>
      </w:r>
      <w:r w:rsidR="00755309" w:rsidRPr="00231DC6">
        <w:rPr>
          <w:rFonts w:ascii="Arial" w:hAnsi="Arial" w:cs="Arial"/>
          <w:color w:val="363636"/>
          <w:shd w:val="clear" w:color="auto" w:fill="FFFFFF"/>
        </w:rPr>
        <w:t>der Biokraftstoffe abhängt.</w:t>
      </w:r>
    </w:p>
    <w:p w14:paraId="250E35E9" w14:textId="77777777" w:rsidR="001640B8" w:rsidRDefault="001640B8">
      <w:pPr>
        <w:rPr>
          <w:rFonts w:ascii="Arial" w:hAnsi="Arial" w:cs="Arial"/>
          <w:color w:val="363636"/>
          <w:shd w:val="clear" w:color="auto" w:fill="FFFFFF"/>
        </w:rPr>
      </w:pPr>
    </w:p>
    <w:p w14:paraId="31FC8A11" w14:textId="77777777" w:rsidR="00136EB4" w:rsidRPr="000A67C8" w:rsidRDefault="00136EB4">
      <w:pPr>
        <w:rPr>
          <w:rFonts w:ascii="Arial" w:hAnsi="Arial"/>
          <w:color w:val="FF0000"/>
          <w:lang w:val="en-US"/>
        </w:rPr>
      </w:pPr>
      <w:proofErr w:type="spellStart"/>
      <w:r w:rsidRPr="000A67C8">
        <w:rPr>
          <w:rFonts w:ascii="Arial" w:hAnsi="Arial"/>
          <w:color w:val="FF0000"/>
          <w:lang w:val="en-US"/>
        </w:rPr>
        <w:t>Datenquelle</w:t>
      </w:r>
      <w:proofErr w:type="spellEnd"/>
    </w:p>
    <w:p w14:paraId="404989AA" w14:textId="77777777" w:rsidR="00136EB4" w:rsidRPr="004D42BD" w:rsidRDefault="00136EB4">
      <w:pPr>
        <w:rPr>
          <w:rFonts w:ascii="Arial" w:hAnsi="Arial" w:cs="Arial"/>
          <w:color w:val="363636"/>
          <w:shd w:val="clear" w:color="auto" w:fill="FFFFFF"/>
          <w:lang w:val="en-US"/>
        </w:rPr>
      </w:pPr>
    </w:p>
    <w:p w14:paraId="2204659C" w14:textId="60D05FE2" w:rsidR="00557151" w:rsidRPr="004D42BD" w:rsidRDefault="00557151">
      <w:pPr>
        <w:rPr>
          <w:rFonts w:ascii="Arial" w:hAnsi="Arial" w:cs="Arial"/>
          <w:color w:val="363636"/>
          <w:shd w:val="clear" w:color="auto" w:fill="FFFFFF"/>
          <w:lang w:val="en-US"/>
        </w:rPr>
      </w:pPr>
      <w:r w:rsidRPr="004D42BD">
        <w:rPr>
          <w:rFonts w:ascii="Arial" w:hAnsi="Arial" w:cs="Arial"/>
          <w:color w:val="363636"/>
          <w:shd w:val="clear" w:color="auto" w:fill="FFFFFF"/>
          <w:lang w:val="en-US"/>
        </w:rPr>
        <w:t>IEA World Energy Balances database © OECD/IEA 2018,</w:t>
      </w:r>
      <w:r w:rsidR="004A283D" w:rsidRPr="004D42BD">
        <w:rPr>
          <w:rFonts w:ascii="Arial" w:hAnsi="Arial" w:cs="Arial"/>
          <w:color w:val="363636"/>
          <w:shd w:val="clear" w:color="auto" w:fill="FFFFFF"/>
          <w:lang w:val="en-US"/>
        </w:rPr>
        <w:t xml:space="preserve"> </w:t>
      </w:r>
      <w:r w:rsidR="00E31184" w:rsidRPr="004D42BD">
        <w:rPr>
          <w:rFonts w:ascii="Arial" w:hAnsi="Arial" w:cs="Arial"/>
          <w:color w:val="363636"/>
          <w:shd w:val="clear" w:color="auto" w:fill="FFFFFF"/>
          <w:lang w:val="en-US"/>
        </w:rPr>
        <w:t>www.iea.org/statistics</w:t>
      </w:r>
    </w:p>
    <w:p w14:paraId="69B72FD3" w14:textId="77777777" w:rsidR="00E31184" w:rsidRPr="004D42BD" w:rsidRDefault="00E31184">
      <w:pPr>
        <w:rPr>
          <w:rFonts w:ascii="Arial" w:hAnsi="Arial" w:cs="Arial"/>
          <w:color w:val="363636"/>
          <w:shd w:val="clear" w:color="auto" w:fill="FFFFFF"/>
          <w:lang w:val="en-US"/>
        </w:rPr>
      </w:pPr>
    </w:p>
    <w:p w14:paraId="1DBAE824" w14:textId="77777777" w:rsidR="00136EB4" w:rsidRPr="005B7BE9" w:rsidRDefault="00136EB4">
      <w:pPr>
        <w:tabs>
          <w:tab w:val="left" w:pos="3060"/>
        </w:tabs>
        <w:rPr>
          <w:rFonts w:ascii="Arial" w:hAnsi="Arial"/>
          <w:color w:val="FF0000"/>
        </w:rPr>
      </w:pPr>
      <w:r w:rsidRPr="005B7BE9">
        <w:rPr>
          <w:rFonts w:ascii="Arial" w:hAnsi="Arial"/>
          <w:color w:val="FF0000"/>
        </w:rPr>
        <w:t>Begriffe, methodische Anmerkungen oder Lesehilfen</w:t>
      </w:r>
    </w:p>
    <w:p w14:paraId="26687815" w14:textId="77777777" w:rsidR="00136EB4" w:rsidRPr="001172B2" w:rsidRDefault="00136EB4" w:rsidP="00FB5733">
      <w:pPr>
        <w:rPr>
          <w:rFonts w:ascii="Arial" w:hAnsi="Arial" w:cs="Arial"/>
          <w:color w:val="363636"/>
          <w:shd w:val="clear" w:color="auto" w:fill="FFFFFF"/>
        </w:rPr>
      </w:pPr>
    </w:p>
    <w:p w14:paraId="00C7BBF5" w14:textId="7462B9BA" w:rsidR="00D22C1B" w:rsidRDefault="00E31184" w:rsidP="0090645E">
      <w:pPr>
        <w:rPr>
          <w:rStyle w:val="Hyperlink"/>
          <w:rFonts w:ascii="Arial" w:hAnsi="Arial" w:cs="Arial"/>
        </w:rPr>
      </w:pPr>
      <w:r>
        <w:rPr>
          <w:rFonts w:ascii="Arial" w:hAnsi="Arial" w:cs="Arial"/>
          <w:color w:val="363636"/>
          <w:shd w:val="clear" w:color="auto" w:fill="FFFFFF"/>
        </w:rPr>
        <w:t>Weitere Informationen zum </w:t>
      </w:r>
      <w:r>
        <w:rPr>
          <w:rStyle w:val="Fett"/>
          <w:rFonts w:ascii="Arial" w:hAnsi="Arial" w:cs="Arial"/>
          <w:color w:val="363636"/>
          <w:shd w:val="clear" w:color="auto" w:fill="FFFFFF"/>
        </w:rPr>
        <w:t xml:space="preserve">Energiemix </w:t>
      </w:r>
      <w:r w:rsidR="00D22C1B">
        <w:rPr>
          <w:rStyle w:val="Fett"/>
          <w:rFonts w:ascii="Arial" w:hAnsi="Arial" w:cs="Arial"/>
          <w:color w:val="363636"/>
          <w:shd w:val="clear" w:color="auto" w:fill="FFFFFF"/>
        </w:rPr>
        <w:t xml:space="preserve">der </w:t>
      </w:r>
      <w:r>
        <w:rPr>
          <w:rStyle w:val="Fett"/>
          <w:rFonts w:ascii="Arial" w:hAnsi="Arial" w:cs="Arial"/>
          <w:color w:val="363636"/>
          <w:shd w:val="clear" w:color="auto" w:fill="FFFFFF"/>
        </w:rPr>
        <w:t>einzelne</w:t>
      </w:r>
      <w:r w:rsidR="00D22C1B">
        <w:rPr>
          <w:rStyle w:val="Fett"/>
          <w:rFonts w:ascii="Arial" w:hAnsi="Arial" w:cs="Arial"/>
          <w:color w:val="363636"/>
          <w:shd w:val="clear" w:color="auto" w:fill="FFFFFF"/>
        </w:rPr>
        <w:t>n</w:t>
      </w:r>
      <w:r>
        <w:rPr>
          <w:rStyle w:val="Fett"/>
          <w:rFonts w:ascii="Arial" w:hAnsi="Arial" w:cs="Arial"/>
          <w:color w:val="363636"/>
          <w:shd w:val="clear" w:color="auto" w:fill="FFFFFF"/>
        </w:rPr>
        <w:t xml:space="preserve"> europäische</w:t>
      </w:r>
      <w:r w:rsidR="00D22C1B">
        <w:rPr>
          <w:rStyle w:val="Fett"/>
          <w:rFonts w:ascii="Arial" w:hAnsi="Arial" w:cs="Arial"/>
          <w:color w:val="363636"/>
          <w:shd w:val="clear" w:color="auto" w:fill="FFFFFF"/>
        </w:rPr>
        <w:t>n</w:t>
      </w:r>
      <w:r>
        <w:rPr>
          <w:rStyle w:val="Fett"/>
          <w:rFonts w:ascii="Arial" w:hAnsi="Arial" w:cs="Arial"/>
          <w:color w:val="363636"/>
          <w:shd w:val="clear" w:color="auto" w:fill="FFFFFF"/>
        </w:rPr>
        <w:t xml:space="preserve"> Staaten</w:t>
      </w:r>
      <w:r>
        <w:rPr>
          <w:rFonts w:ascii="Arial" w:hAnsi="Arial" w:cs="Arial"/>
          <w:color w:val="363636"/>
          <w:shd w:val="clear" w:color="auto" w:fill="FFFFFF"/>
        </w:rPr>
        <w:t> erhalten Sie hier</w:t>
      </w:r>
      <w:r w:rsidR="00D22C1B">
        <w:rPr>
          <w:rFonts w:ascii="Arial" w:hAnsi="Arial" w:cs="Arial"/>
          <w:color w:val="363636"/>
          <w:shd w:val="clear" w:color="auto" w:fill="FFFFFF"/>
        </w:rPr>
        <w:t xml:space="preserve">: </w:t>
      </w:r>
      <w:hyperlink r:id="rId5" w:history="1">
        <w:r w:rsidR="00D22C1B" w:rsidRPr="00B26535">
          <w:rPr>
            <w:rStyle w:val="Hyperlink"/>
            <w:rFonts w:ascii="Arial" w:hAnsi="Arial" w:cs="Arial"/>
          </w:rPr>
          <w:t>http://www.bpb.de/75140</w:t>
        </w:r>
      </w:hyperlink>
    </w:p>
    <w:p w14:paraId="16667DE4" w14:textId="46A22456" w:rsidR="00D22C1B" w:rsidRDefault="00D22C1B" w:rsidP="0090645E">
      <w:pPr>
        <w:rPr>
          <w:rFonts w:ascii="Arial" w:hAnsi="Arial" w:cs="Arial"/>
          <w:color w:val="363636"/>
          <w:shd w:val="clear" w:color="auto" w:fill="FFFFFF"/>
        </w:rPr>
      </w:pPr>
    </w:p>
    <w:p w14:paraId="6A4A6E0A" w14:textId="77777777" w:rsidR="00D31AA0" w:rsidRPr="00FB5733" w:rsidRDefault="00D31AA0" w:rsidP="00D31AA0">
      <w:pPr>
        <w:rPr>
          <w:rFonts w:ascii="Arial" w:hAnsi="Arial"/>
        </w:rPr>
      </w:pPr>
      <w:r w:rsidRPr="008F183B">
        <w:rPr>
          <w:rFonts w:ascii="Arial" w:hAnsi="Arial"/>
          <w:b/>
          <w:color w:val="000000"/>
        </w:rPr>
        <w:t xml:space="preserve">Primärenergie </w:t>
      </w:r>
      <w:r w:rsidRPr="008F183B">
        <w:rPr>
          <w:rFonts w:ascii="Arial" w:hAnsi="Arial"/>
          <w:color w:val="000000"/>
        </w:rPr>
        <w:t xml:space="preserve">ist die von noch nicht weiterbearbeiteten Energieträgern stammende Energie. Primärenergieträger sind zum Beispiel Steinkohle, Braunkohle, Erdöl, Erdgas, Wasser, Wind, Kernbrennstoffe, Solarstrahlung und so weiter. Aus der Primärenergie wird durch Aufbereitung zum Beispiel in Kraftwerken oder Raffinerien </w:t>
      </w:r>
      <w:r w:rsidRPr="008F183B">
        <w:rPr>
          <w:rFonts w:ascii="Arial" w:hAnsi="Arial"/>
          <w:color w:val="000000"/>
        </w:rPr>
        <w:lastRenderedPageBreak/>
        <w:t xml:space="preserve">die </w:t>
      </w:r>
      <w:r w:rsidRPr="008F183B">
        <w:rPr>
          <w:rFonts w:ascii="Arial" w:hAnsi="Arial"/>
          <w:b/>
          <w:color w:val="000000"/>
        </w:rPr>
        <w:t>Endenergie</w:t>
      </w:r>
      <w:r w:rsidRPr="008F183B">
        <w:rPr>
          <w:rFonts w:ascii="Arial" w:hAnsi="Arial"/>
          <w:color w:val="000000"/>
        </w:rPr>
        <w:t xml:space="preserve"> (Sekundärenergie). Die Form der Energie, in der sie tatsächlich vom Anwender verwendet wird, wird </w:t>
      </w:r>
      <w:r w:rsidRPr="008F183B">
        <w:rPr>
          <w:rFonts w:ascii="Arial" w:hAnsi="Arial"/>
          <w:b/>
          <w:color w:val="000000"/>
        </w:rPr>
        <w:t>Nutzenergie</w:t>
      </w:r>
      <w:r w:rsidRPr="008F183B">
        <w:rPr>
          <w:rFonts w:ascii="Arial" w:hAnsi="Arial"/>
          <w:color w:val="000000"/>
        </w:rPr>
        <w:t xml:space="preserve"> genannt. Ein Beispiel: Rohöl (</w:t>
      </w:r>
      <w:r w:rsidRPr="008F183B">
        <w:rPr>
          <w:rFonts w:ascii="Arial" w:hAnsi="Arial"/>
        </w:rPr>
        <w:t>Primärenergie) wird zu Heizöl (Endenergie/Sekundärenergie) wird zu Wärme (Nutzenergie).</w:t>
      </w:r>
    </w:p>
    <w:p w14:paraId="446C6E7E" w14:textId="77777777" w:rsidR="00D31AA0" w:rsidRPr="009674FE" w:rsidRDefault="00D31AA0" w:rsidP="00D31AA0">
      <w:pPr>
        <w:rPr>
          <w:rFonts w:ascii="Arial" w:hAnsi="Arial"/>
          <w:color w:val="000000"/>
        </w:rPr>
      </w:pPr>
    </w:p>
    <w:p w14:paraId="0ED7B117" w14:textId="77777777" w:rsidR="00D31AA0" w:rsidRPr="00DB2E08" w:rsidRDefault="00D31AA0" w:rsidP="00D31AA0">
      <w:pPr>
        <w:rPr>
          <w:rFonts w:ascii="Arial" w:hAnsi="Arial"/>
        </w:rPr>
      </w:pPr>
      <w:r w:rsidRPr="008F183B">
        <w:rPr>
          <w:rFonts w:ascii="Arial" w:hAnsi="Arial"/>
        </w:rPr>
        <w:t xml:space="preserve">Nach der IEA entspricht die </w:t>
      </w:r>
      <w:r w:rsidRPr="008F183B">
        <w:rPr>
          <w:rFonts w:ascii="Arial" w:hAnsi="Arial"/>
          <w:b/>
        </w:rPr>
        <w:t>Primärenergie-Versorgung</w:t>
      </w:r>
      <w:r w:rsidRPr="008F183B">
        <w:rPr>
          <w:rFonts w:ascii="Arial" w:hAnsi="Arial"/>
        </w:rPr>
        <w:t xml:space="preserve"> der Primärenergie-Produktion zuzüglich der Importe und abzüglich der Exporte; zudem wird die Veränderung der Lagerbestände – bei Produzenten, Importeuren, großen Konsumenten etc. – eingerechnet.</w:t>
      </w:r>
    </w:p>
    <w:p w14:paraId="03B1869E" w14:textId="77777777" w:rsidR="00D31AA0" w:rsidRPr="009674FE" w:rsidRDefault="00D31AA0" w:rsidP="00D31AA0">
      <w:pPr>
        <w:rPr>
          <w:rFonts w:ascii="Arial" w:hAnsi="Arial"/>
          <w:color w:val="000000"/>
        </w:rPr>
      </w:pPr>
    </w:p>
    <w:p w14:paraId="4C8604E9" w14:textId="77777777" w:rsidR="00D31AA0" w:rsidRPr="001172B2" w:rsidRDefault="00D31AA0" w:rsidP="00D31AA0">
      <w:pPr>
        <w:rPr>
          <w:rFonts w:ascii="Arial" w:hAnsi="Arial" w:cs="Arial"/>
          <w:color w:val="363636"/>
          <w:shd w:val="clear" w:color="auto" w:fill="FFFFFF"/>
        </w:rPr>
      </w:pPr>
      <w:r w:rsidRPr="008F183B">
        <w:rPr>
          <w:rFonts w:ascii="Arial" w:hAnsi="Arial"/>
        </w:rPr>
        <w:t>Um die Energieträger vergleichbar zu machen, werden sie mithilfe einzelner Umrechnungsfaktoren auf das Öl bezogen (</w:t>
      </w:r>
      <w:r w:rsidRPr="00C202B1">
        <w:rPr>
          <w:rFonts w:ascii="Arial" w:hAnsi="Arial"/>
        </w:rPr>
        <w:t>Öläquivalent</w:t>
      </w:r>
      <w:r w:rsidRPr="008F183B">
        <w:rPr>
          <w:rFonts w:ascii="Arial" w:hAnsi="Arial"/>
        </w:rPr>
        <w:t xml:space="preserve">). </w:t>
      </w:r>
      <w:r w:rsidRPr="00C202B1">
        <w:rPr>
          <w:rFonts w:ascii="Arial" w:hAnsi="Arial"/>
        </w:rPr>
        <w:t>Nach Angaben des Energiekonzerns British Petroleum (BP) entspricht eine Tonne Öläquivalent beispielsweise in etwa 1,5 Tonnen Steinkohle, 1.1</w:t>
      </w:r>
      <w:r>
        <w:rPr>
          <w:rFonts w:ascii="Arial" w:hAnsi="Arial"/>
        </w:rPr>
        <w:t>63</w:t>
      </w:r>
      <w:r w:rsidRPr="00C202B1">
        <w:rPr>
          <w:rFonts w:ascii="Arial" w:hAnsi="Arial"/>
        </w:rPr>
        <w:t xml:space="preserve"> Kubikmeter Erdgas oder auch 12 Megawattstunden (</w:t>
      </w:r>
      <w:r w:rsidRPr="001172B2">
        <w:rPr>
          <w:rFonts w:ascii="Arial" w:hAnsi="Arial" w:cs="Arial"/>
          <w:color w:val="363636"/>
          <w:shd w:val="clear" w:color="auto" w:fill="FFFFFF"/>
        </w:rPr>
        <w:t>Primärenergie).</w:t>
      </w:r>
    </w:p>
    <w:p w14:paraId="4C772A3F" w14:textId="77777777" w:rsidR="00D31AA0" w:rsidRPr="009674FE" w:rsidRDefault="00D31AA0" w:rsidP="00D31AA0">
      <w:pPr>
        <w:rPr>
          <w:rFonts w:ascii="Arial" w:hAnsi="Arial"/>
          <w:color w:val="000000"/>
        </w:rPr>
      </w:pPr>
    </w:p>
    <w:p w14:paraId="4ED1023E" w14:textId="08FFF0AA" w:rsidR="008B5C24" w:rsidRDefault="00D22C1B" w:rsidP="00D31AA0">
      <w:pPr>
        <w:rPr>
          <w:rFonts w:ascii="Arial" w:hAnsi="Arial" w:cs="Arial"/>
          <w:color w:val="363636"/>
          <w:shd w:val="clear" w:color="auto" w:fill="FFFFFF"/>
        </w:rPr>
      </w:pPr>
      <w:r>
        <w:rPr>
          <w:rFonts w:ascii="Arial" w:hAnsi="Arial" w:cs="Arial"/>
          <w:color w:val="363636"/>
          <w:shd w:val="clear" w:color="auto" w:fill="FFFFFF"/>
        </w:rPr>
        <w:t>Bei den Angaben zum Anteil der erneuerbaren Energien ist zu beachten, dass es </w:t>
      </w:r>
      <w:r>
        <w:rPr>
          <w:rStyle w:val="Fett"/>
          <w:rFonts w:ascii="Arial" w:hAnsi="Arial" w:cs="Arial"/>
          <w:color w:val="363636"/>
          <w:shd w:val="clear" w:color="auto" w:fill="FFFFFF"/>
        </w:rPr>
        <w:t>unterschiedliche Methoden zur Bestimmung des Primärenergieäquivalents</w:t>
      </w:r>
      <w:r>
        <w:rPr>
          <w:rFonts w:ascii="Arial" w:hAnsi="Arial" w:cs="Arial"/>
          <w:color w:val="363636"/>
          <w:shd w:val="clear" w:color="auto" w:fill="FFFFFF"/>
        </w:rPr>
        <w:t> von Strom gibt. Die IEA verwendet die sogenannte Wirkungsgradmethode. Verglichen mit der tatsächlich zur Verfügung stehenden Energie (Endenergie/Sekundärenergie) führt diese Methode dazu, dass die erneuerbaren Energien insgesamt unterrepräsentiert sind. Aus diesem Grund kann alternativ auf die sogenannte Substitutionsmethode zurückgegriffen werden. Der absolute Wert der Primärenergie-Versorgung auf der Basis von zum Beispiel Wasser, Wind und Photovoltaik ist bei der Substitutionsmethode gut zweieinhalbmal so hoch wie bei der Wirkungsgradmethode. Anders formuliert fällt der Anteil der erneuerbaren Energien an der Primärenergie-Versorgung bei Anwendung der Substitutionsmethode höher aus als bei der von der IEA angewandten Wirkungsgradmethode. Weitere Informationen zur </w:t>
      </w:r>
      <w:r>
        <w:rPr>
          <w:rStyle w:val="Fett"/>
          <w:rFonts w:ascii="Arial" w:hAnsi="Arial" w:cs="Arial"/>
          <w:color w:val="363636"/>
          <w:shd w:val="clear" w:color="auto" w:fill="FFFFFF"/>
        </w:rPr>
        <w:t>Wirkungsgrad- bzw. Substitutionsmethode</w:t>
      </w:r>
      <w:r>
        <w:rPr>
          <w:rFonts w:ascii="Arial" w:hAnsi="Arial" w:cs="Arial"/>
          <w:color w:val="363636"/>
          <w:shd w:val="clear" w:color="auto" w:fill="FFFFFF"/>
        </w:rPr>
        <w:t> erhalten Sie</w:t>
      </w:r>
      <w:r w:rsidR="008B5C24">
        <w:rPr>
          <w:rFonts w:ascii="Arial" w:hAnsi="Arial" w:cs="Arial"/>
          <w:color w:val="363636"/>
          <w:shd w:val="clear" w:color="auto" w:fill="FFFFFF"/>
        </w:rPr>
        <w:t xml:space="preserve"> hier: </w:t>
      </w:r>
      <w:hyperlink r:id="rId6" w:history="1">
        <w:r w:rsidR="008B5C24" w:rsidRPr="00B26535">
          <w:rPr>
            <w:rStyle w:val="Hyperlink"/>
            <w:rFonts w:ascii="Arial" w:hAnsi="Arial" w:cs="Arial"/>
            <w:shd w:val="clear" w:color="auto" w:fill="FFFFFF"/>
          </w:rPr>
          <w:t>http://www.bpb.de/75137</w:t>
        </w:r>
      </w:hyperlink>
    </w:p>
    <w:p w14:paraId="31ECB9CF" w14:textId="77777777" w:rsidR="008B5C24" w:rsidRPr="009674FE" w:rsidRDefault="008B5C24" w:rsidP="00D31AA0">
      <w:pPr>
        <w:rPr>
          <w:rFonts w:ascii="Arial" w:hAnsi="Arial"/>
          <w:color w:val="000000"/>
        </w:rPr>
      </w:pPr>
    </w:p>
    <w:p w14:paraId="5998A794" w14:textId="77777777" w:rsidR="00D31AA0" w:rsidRDefault="00D31AA0" w:rsidP="00D31AA0">
      <w:pPr>
        <w:rPr>
          <w:rFonts w:ascii="Arial" w:hAnsi="Arial"/>
        </w:rPr>
      </w:pPr>
      <w:r w:rsidRPr="00EA60EB">
        <w:rPr>
          <w:rFonts w:ascii="Arial" w:hAnsi="Arial"/>
          <w:b/>
        </w:rPr>
        <w:t>Lesebeispiel</w:t>
      </w:r>
      <w:r w:rsidRPr="00EA60EB">
        <w:rPr>
          <w:rFonts w:ascii="Arial" w:hAnsi="Arial"/>
        </w:rPr>
        <w:t xml:space="preserve">: Nach Angaben des Energiekonzerns British Petroleum (BP) – der die </w:t>
      </w:r>
      <w:r w:rsidRPr="00EA60EB">
        <w:rPr>
          <w:rFonts w:ascii="Arial" w:hAnsi="Arial"/>
          <w:b/>
        </w:rPr>
        <w:t>Substitutionsmethode</w:t>
      </w:r>
      <w:r w:rsidRPr="00EA60EB">
        <w:rPr>
          <w:rFonts w:ascii="Arial" w:hAnsi="Arial"/>
        </w:rPr>
        <w:t xml:space="preserve"> anwendet – lag im Jahr 2016 der Anteil der Energie aus Wasserkraft am Primärenergie-Verbrauch </w:t>
      </w:r>
      <w:r w:rsidR="00340605">
        <w:rPr>
          <w:rFonts w:ascii="Arial" w:hAnsi="Arial"/>
        </w:rPr>
        <w:t xml:space="preserve">EU-weit bei 4,8 Prozent und der </w:t>
      </w:r>
      <w:r w:rsidR="00A46F6B">
        <w:rPr>
          <w:rFonts w:ascii="Arial" w:hAnsi="Arial"/>
        </w:rPr>
        <w:t xml:space="preserve">Anteil </w:t>
      </w:r>
      <w:r w:rsidR="00340605">
        <w:rPr>
          <w:rFonts w:ascii="Arial" w:hAnsi="Arial"/>
        </w:rPr>
        <w:t>der Kernenergie bei 11,4 Prozent</w:t>
      </w:r>
      <w:r w:rsidRPr="00EA60EB">
        <w:rPr>
          <w:rFonts w:ascii="Arial" w:hAnsi="Arial"/>
        </w:rPr>
        <w:t xml:space="preserve">. Bei der IEA, die die </w:t>
      </w:r>
      <w:r w:rsidRPr="00EA60EB">
        <w:rPr>
          <w:rFonts w:ascii="Arial" w:hAnsi="Arial"/>
          <w:b/>
        </w:rPr>
        <w:t>Wirkungsgradmethode</w:t>
      </w:r>
      <w:r w:rsidRPr="00EA60EB">
        <w:rPr>
          <w:rFonts w:ascii="Arial" w:hAnsi="Arial"/>
        </w:rPr>
        <w:t xml:space="preserve"> verwendet, </w:t>
      </w:r>
      <w:proofErr w:type="gramStart"/>
      <w:r w:rsidRPr="00EA60EB">
        <w:rPr>
          <w:rFonts w:ascii="Arial" w:hAnsi="Arial"/>
        </w:rPr>
        <w:t>lag</w:t>
      </w:r>
      <w:proofErr w:type="gramEnd"/>
      <w:r w:rsidRPr="00EA60EB">
        <w:rPr>
          <w:rFonts w:ascii="Arial" w:hAnsi="Arial"/>
        </w:rPr>
        <w:t xml:space="preserve"> der Anteil der Wasserkraft an der Primärenergie-Versorgung </w:t>
      </w:r>
      <w:r w:rsidR="004D370B">
        <w:rPr>
          <w:rFonts w:ascii="Arial" w:hAnsi="Arial"/>
        </w:rPr>
        <w:t xml:space="preserve">EU-weit </w:t>
      </w:r>
      <w:r w:rsidR="00340605">
        <w:rPr>
          <w:rFonts w:ascii="Arial" w:hAnsi="Arial"/>
        </w:rPr>
        <w:t xml:space="preserve">bei lediglich 1,9 Prozent und der </w:t>
      </w:r>
      <w:r w:rsidRPr="00EA60EB">
        <w:rPr>
          <w:rFonts w:ascii="Arial" w:hAnsi="Arial"/>
        </w:rPr>
        <w:t xml:space="preserve">Anteil der Kernenergie </w:t>
      </w:r>
      <w:r w:rsidR="00340605">
        <w:rPr>
          <w:rFonts w:ascii="Arial" w:hAnsi="Arial"/>
        </w:rPr>
        <w:t xml:space="preserve">bei 13,7 </w:t>
      </w:r>
      <w:r w:rsidRPr="00EA60EB">
        <w:rPr>
          <w:rFonts w:ascii="Arial" w:hAnsi="Arial"/>
        </w:rPr>
        <w:t>Prozent.</w:t>
      </w:r>
    </w:p>
    <w:p w14:paraId="2DA67431" w14:textId="77777777" w:rsidR="001640B8" w:rsidRPr="009674FE" w:rsidRDefault="001640B8" w:rsidP="00D31AA0">
      <w:pPr>
        <w:rPr>
          <w:rFonts w:ascii="Arial" w:hAnsi="Arial"/>
          <w:color w:val="000000"/>
        </w:rPr>
      </w:pPr>
    </w:p>
    <w:p w14:paraId="65C4344B" w14:textId="60EFCD23" w:rsidR="001640B8" w:rsidRDefault="001640B8" w:rsidP="00D31AA0">
      <w:pPr>
        <w:rPr>
          <w:rFonts w:ascii="Arial" w:hAnsi="Arial" w:cs="Arial"/>
          <w:color w:val="363636"/>
          <w:shd w:val="clear" w:color="auto" w:fill="FFFFFF"/>
        </w:rPr>
      </w:pPr>
      <w:r>
        <w:rPr>
          <w:rFonts w:ascii="Arial" w:hAnsi="Arial" w:cs="Arial"/>
          <w:color w:val="363636"/>
          <w:shd w:val="clear" w:color="auto" w:fill="FFFFFF"/>
        </w:rPr>
        <w:t>Unter </w:t>
      </w:r>
      <w:r>
        <w:rPr>
          <w:rStyle w:val="Fett"/>
          <w:rFonts w:ascii="Arial" w:hAnsi="Arial" w:cs="Arial"/>
          <w:color w:val="363636"/>
          <w:shd w:val="clear" w:color="auto" w:fill="FFFFFF"/>
        </w:rPr>
        <w:t>Meeresenergie</w:t>
      </w:r>
      <w:r>
        <w:rPr>
          <w:rFonts w:ascii="Arial" w:hAnsi="Arial" w:cs="Arial"/>
          <w:color w:val="363636"/>
          <w:shd w:val="clear" w:color="auto" w:fill="FFFFFF"/>
        </w:rPr>
        <w:t> wird beispielsweise die Stromerzeugung in Gezeiten-, Strömungs- und Wellenkraftwerken verstanden.</w:t>
      </w:r>
      <w:r>
        <w:rPr>
          <w:rFonts w:ascii="Arial" w:hAnsi="Arial" w:cs="Arial"/>
          <w:color w:val="363636"/>
        </w:rPr>
        <w:br/>
      </w:r>
      <w:r w:rsidRPr="009674FE">
        <w:rPr>
          <w:rFonts w:ascii="Arial" w:hAnsi="Arial"/>
          <w:color w:val="000000"/>
        </w:rPr>
        <w:br/>
      </w:r>
      <w:r>
        <w:rPr>
          <w:rStyle w:val="Fett"/>
          <w:rFonts w:ascii="Arial" w:hAnsi="Arial" w:cs="Arial"/>
          <w:color w:val="363636"/>
          <w:shd w:val="clear" w:color="auto" w:fill="FFFFFF"/>
        </w:rPr>
        <w:t>Photovoltaik</w:t>
      </w:r>
      <w:r>
        <w:rPr>
          <w:rFonts w:ascii="Arial" w:hAnsi="Arial" w:cs="Arial"/>
          <w:color w:val="363636"/>
          <w:shd w:val="clear" w:color="auto" w:fill="FFFFFF"/>
        </w:rPr>
        <w:t> bezeichnet die direkte Umwandlung von Sonnenlicht in elektrische Energie mittels Solarzellen.</w:t>
      </w:r>
    </w:p>
    <w:p w14:paraId="2123E697" w14:textId="77777777" w:rsidR="005D6CC5" w:rsidRPr="009674FE" w:rsidRDefault="005D6CC5" w:rsidP="00D31AA0">
      <w:pPr>
        <w:rPr>
          <w:rFonts w:ascii="Arial" w:hAnsi="Arial"/>
          <w:color w:val="000000"/>
        </w:rPr>
      </w:pPr>
    </w:p>
    <w:p w14:paraId="2697795C" w14:textId="564DA75B" w:rsidR="004A283D" w:rsidRDefault="005D6CC5" w:rsidP="00D31AA0">
      <w:pPr>
        <w:rPr>
          <w:rFonts w:ascii="Arial" w:hAnsi="Arial" w:cs="Arial"/>
          <w:color w:val="363636"/>
          <w:shd w:val="clear" w:color="auto" w:fill="FFFFFF"/>
        </w:rPr>
      </w:pPr>
      <w:r>
        <w:rPr>
          <w:rFonts w:ascii="Arial" w:hAnsi="Arial" w:cs="Arial"/>
          <w:color w:val="363636"/>
          <w:shd w:val="clear" w:color="auto" w:fill="FFFFFF"/>
        </w:rPr>
        <w:t>Anfang 2019 hatte die </w:t>
      </w:r>
      <w:r>
        <w:rPr>
          <w:rStyle w:val="Fett"/>
          <w:rFonts w:ascii="Arial" w:hAnsi="Arial" w:cs="Arial"/>
          <w:color w:val="363636"/>
          <w:shd w:val="clear" w:color="auto" w:fill="FFFFFF"/>
        </w:rPr>
        <w:t>International Energy Agency (IEA) 23 europäische Mitgliedstaaten:</w:t>
      </w:r>
      <w:r>
        <w:rPr>
          <w:rFonts w:ascii="Arial" w:hAnsi="Arial" w:cs="Arial"/>
          <w:color w:val="363636"/>
          <w:shd w:val="clear" w:color="auto" w:fill="FFFFFF"/>
        </w:rPr>
        <w:t> Belgien, Dänemark, Deutschland, Estland (seit 2014), Finnland, Frankreich, Griechenland, Irland, Italien, Luxemburg, Niederlande, Norwegen, Österreich, Polen, Portugal, Schweden, Schweiz, Slowakei, Spanien, Tschechien, Türkei, Ungarn und das Vereinigte Königreich.</w:t>
      </w:r>
    </w:p>
    <w:p w14:paraId="7C1A2D84" w14:textId="77777777" w:rsidR="005D6CC5" w:rsidRPr="009674FE" w:rsidRDefault="005D6CC5" w:rsidP="00D31AA0">
      <w:pPr>
        <w:rPr>
          <w:rFonts w:ascii="Arial" w:hAnsi="Arial"/>
          <w:color w:val="000000"/>
        </w:rPr>
      </w:pPr>
    </w:p>
    <w:p w14:paraId="4E83BC30" w14:textId="77777777" w:rsidR="00D31AA0" w:rsidRPr="009D38AC" w:rsidRDefault="00D31AA0" w:rsidP="00D31AA0">
      <w:pPr>
        <w:rPr>
          <w:rFonts w:asciiTheme="minorHAnsi" w:hAnsiTheme="minorHAnsi"/>
          <w:lang w:val="en-US"/>
        </w:rPr>
      </w:pPr>
      <w:r w:rsidRPr="009D38AC">
        <w:rPr>
          <w:rFonts w:ascii="Arial" w:hAnsi="Arial"/>
          <w:sz w:val="20"/>
          <w:szCs w:val="20"/>
          <w:lang w:val="en-US"/>
        </w:rPr>
        <w:t>IEA World Energy Balances database © OECD/IEA 2018, www.iea.org/statistics</w:t>
      </w:r>
      <w:r w:rsidRPr="009D38AC">
        <w:rPr>
          <w:rFonts w:asciiTheme="minorHAnsi" w:hAnsiTheme="minorHAnsi"/>
          <w:lang w:val="en-US"/>
        </w:rPr>
        <w:t xml:space="preserve"> </w:t>
      </w:r>
    </w:p>
    <w:p w14:paraId="2ED75CD3" w14:textId="77777777" w:rsidR="00D31AA0" w:rsidRPr="0020359C" w:rsidRDefault="00D31AA0" w:rsidP="00D31AA0">
      <w:pPr>
        <w:rPr>
          <w:rFonts w:ascii="Arial" w:hAnsi="Arial"/>
          <w:sz w:val="20"/>
          <w:szCs w:val="20"/>
        </w:rPr>
      </w:pPr>
      <w:r w:rsidRPr="0020359C">
        <w:rPr>
          <w:rFonts w:ascii="Arial" w:hAnsi="Arial"/>
          <w:sz w:val="20"/>
          <w:szCs w:val="20"/>
        </w:rPr>
        <w:t>Bundeszentrale für politische Bildung 201</w:t>
      </w:r>
      <w:r>
        <w:rPr>
          <w:rFonts w:ascii="Arial" w:hAnsi="Arial"/>
          <w:sz w:val="20"/>
          <w:szCs w:val="20"/>
        </w:rPr>
        <w:t>9</w:t>
      </w:r>
      <w:r w:rsidRPr="0020359C">
        <w:rPr>
          <w:rFonts w:ascii="Arial" w:hAnsi="Arial"/>
          <w:sz w:val="20"/>
          <w:szCs w:val="20"/>
        </w:rPr>
        <w:t xml:space="preserve"> | </w:t>
      </w:r>
      <w:hyperlink r:id="rId7" w:history="1">
        <w:r w:rsidRPr="0020359C">
          <w:rPr>
            <w:rFonts w:ascii="Arial" w:hAnsi="Arial"/>
            <w:sz w:val="20"/>
            <w:szCs w:val="20"/>
          </w:rPr>
          <w:t>www.bpb.de</w:t>
        </w:r>
      </w:hyperlink>
    </w:p>
    <w:sectPr w:rsidR="00D31AA0" w:rsidRPr="002035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NDJK O+ Demos EF">
    <w:altName w:val="Demos EF"/>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9"/>
    <w:rsid w:val="000108FB"/>
    <w:rsid w:val="00021EA9"/>
    <w:rsid w:val="000547AA"/>
    <w:rsid w:val="00083A29"/>
    <w:rsid w:val="000A5563"/>
    <w:rsid w:val="000A59FF"/>
    <w:rsid w:val="000A67C8"/>
    <w:rsid w:val="000B6F1B"/>
    <w:rsid w:val="000F4997"/>
    <w:rsid w:val="001020A6"/>
    <w:rsid w:val="001026CE"/>
    <w:rsid w:val="001110E9"/>
    <w:rsid w:val="001172B2"/>
    <w:rsid w:val="00136EB4"/>
    <w:rsid w:val="00147A62"/>
    <w:rsid w:val="001640B8"/>
    <w:rsid w:val="00174F7C"/>
    <w:rsid w:val="00191BD5"/>
    <w:rsid w:val="0019552E"/>
    <w:rsid w:val="001A5398"/>
    <w:rsid w:val="001A73BD"/>
    <w:rsid w:val="001B7EB7"/>
    <w:rsid w:val="00203B49"/>
    <w:rsid w:val="002204A1"/>
    <w:rsid w:val="002214FF"/>
    <w:rsid w:val="00223138"/>
    <w:rsid w:val="00231DC6"/>
    <w:rsid w:val="002330CF"/>
    <w:rsid w:val="002436D1"/>
    <w:rsid w:val="00273DEC"/>
    <w:rsid w:val="0027412A"/>
    <w:rsid w:val="002759DE"/>
    <w:rsid w:val="0028766F"/>
    <w:rsid w:val="002B3ED7"/>
    <w:rsid w:val="002E372F"/>
    <w:rsid w:val="002E5176"/>
    <w:rsid w:val="002F37B2"/>
    <w:rsid w:val="00321C18"/>
    <w:rsid w:val="00340605"/>
    <w:rsid w:val="003A0FF1"/>
    <w:rsid w:val="003B69E5"/>
    <w:rsid w:val="004279DE"/>
    <w:rsid w:val="00427D60"/>
    <w:rsid w:val="00430103"/>
    <w:rsid w:val="00456837"/>
    <w:rsid w:val="00463191"/>
    <w:rsid w:val="00475661"/>
    <w:rsid w:val="00480170"/>
    <w:rsid w:val="004931FD"/>
    <w:rsid w:val="004950F6"/>
    <w:rsid w:val="004A283D"/>
    <w:rsid w:val="004B10A0"/>
    <w:rsid w:val="004C22A7"/>
    <w:rsid w:val="004C32BB"/>
    <w:rsid w:val="004D370B"/>
    <w:rsid w:val="004D3819"/>
    <w:rsid w:val="004D42BD"/>
    <w:rsid w:val="0050176B"/>
    <w:rsid w:val="00505F37"/>
    <w:rsid w:val="0052486B"/>
    <w:rsid w:val="00531138"/>
    <w:rsid w:val="00532A16"/>
    <w:rsid w:val="00555152"/>
    <w:rsid w:val="00557151"/>
    <w:rsid w:val="00566CBC"/>
    <w:rsid w:val="005B7BE9"/>
    <w:rsid w:val="005C559A"/>
    <w:rsid w:val="005C7BDD"/>
    <w:rsid w:val="005D6CC5"/>
    <w:rsid w:val="005E09F7"/>
    <w:rsid w:val="005E7825"/>
    <w:rsid w:val="00601B3D"/>
    <w:rsid w:val="0061080F"/>
    <w:rsid w:val="006200C6"/>
    <w:rsid w:val="00620722"/>
    <w:rsid w:val="006224F8"/>
    <w:rsid w:val="00632147"/>
    <w:rsid w:val="006445D9"/>
    <w:rsid w:val="00671A1B"/>
    <w:rsid w:val="00693E79"/>
    <w:rsid w:val="006A19AF"/>
    <w:rsid w:val="006A337A"/>
    <w:rsid w:val="006A4634"/>
    <w:rsid w:val="006B4F95"/>
    <w:rsid w:val="006C2C3F"/>
    <w:rsid w:val="00726BBD"/>
    <w:rsid w:val="00755309"/>
    <w:rsid w:val="007619CC"/>
    <w:rsid w:val="00783F8E"/>
    <w:rsid w:val="00784E95"/>
    <w:rsid w:val="00787C75"/>
    <w:rsid w:val="00787CC3"/>
    <w:rsid w:val="007A0FF6"/>
    <w:rsid w:val="007A1C18"/>
    <w:rsid w:val="007B7560"/>
    <w:rsid w:val="007C569E"/>
    <w:rsid w:val="007E3C85"/>
    <w:rsid w:val="007E69AE"/>
    <w:rsid w:val="007F4B3B"/>
    <w:rsid w:val="007F54A0"/>
    <w:rsid w:val="007F5F6F"/>
    <w:rsid w:val="00803DCC"/>
    <w:rsid w:val="0081450E"/>
    <w:rsid w:val="0083115E"/>
    <w:rsid w:val="00834661"/>
    <w:rsid w:val="00845562"/>
    <w:rsid w:val="00862BB5"/>
    <w:rsid w:val="008677A1"/>
    <w:rsid w:val="00880599"/>
    <w:rsid w:val="008A359D"/>
    <w:rsid w:val="008B034B"/>
    <w:rsid w:val="008B5C24"/>
    <w:rsid w:val="008D013E"/>
    <w:rsid w:val="008E75B5"/>
    <w:rsid w:val="008F4AD3"/>
    <w:rsid w:val="00900568"/>
    <w:rsid w:val="0090645E"/>
    <w:rsid w:val="009100CF"/>
    <w:rsid w:val="00921FEF"/>
    <w:rsid w:val="00930628"/>
    <w:rsid w:val="009571AB"/>
    <w:rsid w:val="0096725C"/>
    <w:rsid w:val="009674FE"/>
    <w:rsid w:val="009753E8"/>
    <w:rsid w:val="009A38BF"/>
    <w:rsid w:val="009C2F8D"/>
    <w:rsid w:val="009D061D"/>
    <w:rsid w:val="009D6CD4"/>
    <w:rsid w:val="009F4669"/>
    <w:rsid w:val="009F5E14"/>
    <w:rsid w:val="00A07D58"/>
    <w:rsid w:val="00A46F6B"/>
    <w:rsid w:val="00A5543D"/>
    <w:rsid w:val="00A61419"/>
    <w:rsid w:val="00A711B6"/>
    <w:rsid w:val="00A72D4A"/>
    <w:rsid w:val="00AD136C"/>
    <w:rsid w:val="00AF3EFD"/>
    <w:rsid w:val="00B12B37"/>
    <w:rsid w:val="00B133DD"/>
    <w:rsid w:val="00B16F3C"/>
    <w:rsid w:val="00B314A2"/>
    <w:rsid w:val="00B35563"/>
    <w:rsid w:val="00B3590B"/>
    <w:rsid w:val="00B43621"/>
    <w:rsid w:val="00B6060C"/>
    <w:rsid w:val="00B7419D"/>
    <w:rsid w:val="00B9273B"/>
    <w:rsid w:val="00B92906"/>
    <w:rsid w:val="00BB0F9E"/>
    <w:rsid w:val="00C04BE0"/>
    <w:rsid w:val="00C13DF1"/>
    <w:rsid w:val="00C177B0"/>
    <w:rsid w:val="00C25905"/>
    <w:rsid w:val="00C337E5"/>
    <w:rsid w:val="00C44FDC"/>
    <w:rsid w:val="00C51D67"/>
    <w:rsid w:val="00C5673F"/>
    <w:rsid w:val="00C968DA"/>
    <w:rsid w:val="00CA01CE"/>
    <w:rsid w:val="00CB5293"/>
    <w:rsid w:val="00CC5197"/>
    <w:rsid w:val="00CD71C7"/>
    <w:rsid w:val="00CD749B"/>
    <w:rsid w:val="00CD7F74"/>
    <w:rsid w:val="00CE2DD3"/>
    <w:rsid w:val="00D01DD1"/>
    <w:rsid w:val="00D02C8A"/>
    <w:rsid w:val="00D049BB"/>
    <w:rsid w:val="00D105D1"/>
    <w:rsid w:val="00D11BE6"/>
    <w:rsid w:val="00D22C1B"/>
    <w:rsid w:val="00D3173E"/>
    <w:rsid w:val="00D31AA0"/>
    <w:rsid w:val="00D53551"/>
    <w:rsid w:val="00D97BB4"/>
    <w:rsid w:val="00DA7709"/>
    <w:rsid w:val="00DB5FD7"/>
    <w:rsid w:val="00DD0E65"/>
    <w:rsid w:val="00DF6108"/>
    <w:rsid w:val="00E23B9A"/>
    <w:rsid w:val="00E31184"/>
    <w:rsid w:val="00E565E7"/>
    <w:rsid w:val="00E61CE3"/>
    <w:rsid w:val="00E62810"/>
    <w:rsid w:val="00E75BB8"/>
    <w:rsid w:val="00ED1B6B"/>
    <w:rsid w:val="00F046C9"/>
    <w:rsid w:val="00F11AF7"/>
    <w:rsid w:val="00F51689"/>
    <w:rsid w:val="00F73229"/>
    <w:rsid w:val="00F76F05"/>
    <w:rsid w:val="00FB5733"/>
    <w:rsid w:val="00FC33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6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47AA"/>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customStyle="1" w:styleId="Default">
    <w:name w:val="Default"/>
    <w:pPr>
      <w:autoSpaceDE w:val="0"/>
      <w:autoSpaceDN w:val="0"/>
      <w:adjustRightInd w:val="0"/>
    </w:pPr>
    <w:rPr>
      <w:rFonts w:ascii="PNDJK O+ Demos EF" w:hAnsi="PNDJK O+ Demos EF" w:cs="PNDJK O+ Demos EF"/>
      <w:color w:val="000000"/>
      <w:sz w:val="24"/>
      <w:szCs w:val="24"/>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0A59FF"/>
    <w:rPr>
      <w:b/>
      <w:bCs/>
      <w:szCs w:val="20"/>
    </w:rPr>
  </w:style>
  <w:style w:type="character" w:customStyle="1" w:styleId="KommentartextZchn">
    <w:name w:val="Kommentartext Zchn"/>
    <w:basedOn w:val="Absatz-Standardschriftart"/>
    <w:link w:val="Kommentartext"/>
    <w:semiHidden/>
    <w:rsid w:val="000A59FF"/>
    <w:rPr>
      <w:szCs w:val="24"/>
    </w:rPr>
  </w:style>
  <w:style w:type="character" w:customStyle="1" w:styleId="KommentarthemaZchn">
    <w:name w:val="Kommentarthema Zchn"/>
    <w:basedOn w:val="KommentartextZchn"/>
    <w:link w:val="Kommentarthema"/>
    <w:uiPriority w:val="99"/>
    <w:semiHidden/>
    <w:rsid w:val="000A59FF"/>
    <w:rPr>
      <w:b/>
      <w:bCs/>
      <w:szCs w:val="24"/>
    </w:rPr>
  </w:style>
  <w:style w:type="character" w:styleId="Fett">
    <w:name w:val="Strong"/>
    <w:basedOn w:val="Absatz-Standardschriftart"/>
    <w:uiPriority w:val="22"/>
    <w:qFormat/>
    <w:rsid w:val="00E311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47AA"/>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customStyle="1" w:styleId="Default">
    <w:name w:val="Default"/>
    <w:pPr>
      <w:autoSpaceDE w:val="0"/>
      <w:autoSpaceDN w:val="0"/>
      <w:adjustRightInd w:val="0"/>
    </w:pPr>
    <w:rPr>
      <w:rFonts w:ascii="PNDJK O+ Demos EF" w:hAnsi="PNDJK O+ Demos EF" w:cs="PNDJK O+ Demos EF"/>
      <w:color w:val="000000"/>
      <w:sz w:val="24"/>
      <w:szCs w:val="24"/>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0A59FF"/>
    <w:rPr>
      <w:b/>
      <w:bCs/>
      <w:szCs w:val="20"/>
    </w:rPr>
  </w:style>
  <w:style w:type="character" w:customStyle="1" w:styleId="KommentartextZchn">
    <w:name w:val="Kommentartext Zchn"/>
    <w:basedOn w:val="Absatz-Standardschriftart"/>
    <w:link w:val="Kommentartext"/>
    <w:semiHidden/>
    <w:rsid w:val="000A59FF"/>
    <w:rPr>
      <w:szCs w:val="24"/>
    </w:rPr>
  </w:style>
  <w:style w:type="character" w:customStyle="1" w:styleId="KommentarthemaZchn">
    <w:name w:val="Kommentarthema Zchn"/>
    <w:basedOn w:val="KommentartextZchn"/>
    <w:link w:val="Kommentarthema"/>
    <w:uiPriority w:val="99"/>
    <w:semiHidden/>
    <w:rsid w:val="000A59FF"/>
    <w:rPr>
      <w:b/>
      <w:bCs/>
      <w:szCs w:val="24"/>
    </w:rPr>
  </w:style>
  <w:style w:type="character" w:styleId="Fett">
    <w:name w:val="Strong"/>
    <w:basedOn w:val="Absatz-Standardschriftart"/>
    <w:uiPriority w:val="22"/>
    <w:qFormat/>
    <w:rsid w:val="00E311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b.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75137" TargetMode="External"/><Relationship Id="rId5" Type="http://schemas.openxmlformats.org/officeDocument/2006/relationships/hyperlink" Target="http://www.bpb.de/7514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1300</Words>
  <Characters>8195</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21</cp:revision>
  <dcterms:created xsi:type="dcterms:W3CDTF">2019-04-01T16:32:00Z</dcterms:created>
  <dcterms:modified xsi:type="dcterms:W3CDTF">2019-07-09T22:11:00Z</dcterms:modified>
</cp:coreProperties>
</file>