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85" w:rsidRPr="00C56E85" w:rsidRDefault="00C56E85" w:rsidP="00C56E85">
      <w:pPr>
        <w:autoSpaceDE w:val="0"/>
        <w:rPr>
          <w:rFonts w:ascii="Arial" w:eastAsia="MinionPro-Regular" w:hAnsi="Arial" w:cs="Arial"/>
          <w:b/>
        </w:rPr>
      </w:pPr>
      <w:bookmarkStart w:id="0" w:name="_GoBack"/>
      <w:bookmarkEnd w:id="0"/>
      <w:r w:rsidRPr="00C56E85">
        <w:rPr>
          <w:rFonts w:ascii="Arial" w:eastAsia="MinionPro-Regular" w:hAnsi="Arial" w:cs="Arial"/>
          <w:b/>
        </w:rPr>
        <w:t xml:space="preserve">Während die Erzeugung von Energie in der Europäischen Union seit Jahren rückläufig ist, haben sich die Energieimporte insgesamt erhöht. Inzwischen deckt die EU mehr als die Hälfte ihres Energiebedarfs durch Energielieferungen aus Nicht-EU-Staaten ab (2016: 53,6 Prozent). Von den gesamten Energieimporten der EU-28 entfielen 63,5 Prozent auf Rohöl und Mineralölerzeugnisse, 24,1 Prozent auf Gas und 9,1 Prozent auf feste Brennstoffe (insbesondere Kohle). Der mit Abstand wichtigste Zulieferer von Rohöl und Mineralölerzeugnissen ist Russland (2016: 34,6 Prozent). An </w:t>
      </w:r>
      <w:r w:rsidR="00690C62">
        <w:rPr>
          <w:rFonts w:ascii="Arial" w:eastAsia="MinionPro-Regular" w:hAnsi="Arial" w:cs="Arial"/>
          <w:b/>
        </w:rPr>
        <w:t xml:space="preserve">zweiter Stelle </w:t>
      </w:r>
      <w:r w:rsidRPr="00C56E85">
        <w:rPr>
          <w:rFonts w:ascii="Arial" w:eastAsia="MinionPro-Regular" w:hAnsi="Arial" w:cs="Arial"/>
          <w:b/>
        </w:rPr>
        <w:t>steht Norwegen (2016: 10,8 Prozent). Bei den Gasimporten ist die Abhängigkeit noch ausgeprägter: Fast zwei Drittel der gesamten Importe der EU-28 stammten 2016 aus nur zwei Staaten: Russland und Norwegen (39,9 bzw. 24,8 Prozent). Und auch bei den festen Brennstoffen ist Russland der wichtigste Zulieferer (2016: 30,2 Prozent).</w:t>
      </w:r>
    </w:p>
    <w:p w:rsidR="00C56E85" w:rsidRDefault="00C56E85">
      <w:pPr>
        <w:rPr>
          <w:rFonts w:ascii="Arial" w:hAnsi="Arial"/>
          <w:color w:val="FF0000"/>
        </w:rPr>
      </w:pPr>
    </w:p>
    <w:p w:rsidR="005272CD" w:rsidRDefault="005272CD">
      <w:pPr>
        <w:rPr>
          <w:rFonts w:ascii="Arial" w:hAnsi="Arial"/>
          <w:color w:val="FF0000"/>
        </w:rPr>
      </w:pPr>
      <w:r>
        <w:rPr>
          <w:rFonts w:ascii="Arial" w:hAnsi="Arial"/>
          <w:color w:val="FF0000"/>
        </w:rPr>
        <w:t>Fakten</w:t>
      </w:r>
    </w:p>
    <w:p w:rsidR="005272CD" w:rsidRPr="004F6064" w:rsidRDefault="005272CD" w:rsidP="004F6064">
      <w:pPr>
        <w:autoSpaceDE w:val="0"/>
        <w:rPr>
          <w:rFonts w:ascii="Arial" w:eastAsia="MinionPro-Regular" w:hAnsi="Arial" w:cs="Arial"/>
        </w:rPr>
      </w:pPr>
    </w:p>
    <w:p w:rsidR="000F7F77" w:rsidRDefault="000F7F77" w:rsidP="00287E9E">
      <w:pPr>
        <w:autoSpaceDE w:val="0"/>
        <w:rPr>
          <w:rFonts w:ascii="Arial" w:eastAsia="MinionPro-Regular" w:hAnsi="Arial" w:cs="Arial"/>
        </w:rPr>
      </w:pPr>
      <w:r w:rsidRPr="000259EA">
        <w:rPr>
          <w:rFonts w:ascii="Arial" w:eastAsia="MinionPro-Regular" w:hAnsi="Arial" w:cs="Arial"/>
        </w:rPr>
        <w:t>Seit Jahren ist die Erzeugung von Energie in der Europäischen Union (EU) rückläufig. Im Jahr 1996 lag die Primärenergieerzeugung der EU noch bei 988 Millionen Tonnen Rohöleinheiten (t ROE), 2016 waren es nur noch 755 Millionen Tonnen – das entspricht einem Rückgang von fast einem Viertel (minus 23,6 Prozent).</w:t>
      </w:r>
      <w:r>
        <w:rPr>
          <w:rFonts w:ascii="Arial" w:eastAsia="MinionPro-Regular" w:hAnsi="Arial" w:cs="Arial"/>
        </w:rPr>
        <w:t xml:space="preserve"> </w:t>
      </w:r>
      <w:r w:rsidRPr="000259EA">
        <w:rPr>
          <w:rFonts w:ascii="Arial" w:eastAsia="MinionPro-Regular" w:hAnsi="Arial" w:cs="Arial"/>
        </w:rPr>
        <w:t>Gleichzeitig haben sich die Energieimporte insgesamt erhöht. Inzwischen deckt die EU mehr als die Hälfte ihres Energiebedarfs durch Energielieferungen aus Nicht-EU-Staaten ab. Die Energieabhängigkeitsquote – also der Anteil der Nettoenergieeinfuhren am Bruttoinlandsverbrauch an Energie – liegt seit 2004 bei mehr als 50 Prozent (2016: 53,6 Prozent).</w:t>
      </w:r>
    </w:p>
    <w:p w:rsidR="00287E9E" w:rsidRDefault="00287E9E" w:rsidP="00E71D12">
      <w:pPr>
        <w:autoSpaceDE w:val="0"/>
        <w:rPr>
          <w:rFonts w:ascii="Arial" w:eastAsia="MinionPro-Regular" w:hAnsi="Arial" w:cs="Arial"/>
        </w:rPr>
      </w:pPr>
    </w:p>
    <w:p w:rsidR="000F7F77" w:rsidRDefault="000F7F77" w:rsidP="00E71D12">
      <w:pPr>
        <w:autoSpaceDE w:val="0"/>
        <w:rPr>
          <w:rFonts w:ascii="Arial" w:eastAsia="MinionPro-Regular" w:hAnsi="Arial" w:cs="Arial"/>
        </w:rPr>
      </w:pPr>
      <w:r>
        <w:rPr>
          <w:rFonts w:ascii="Arial" w:eastAsia="MinionPro-Regular" w:hAnsi="Arial" w:cs="Arial"/>
        </w:rPr>
        <w:t xml:space="preserve">Im Jahr 2016 importierte die EU 1.483 </w:t>
      </w:r>
      <w:r w:rsidRPr="006C1830">
        <w:rPr>
          <w:rFonts w:ascii="Arial" w:eastAsia="MinionPro-Regular" w:hAnsi="Arial" w:cs="Arial"/>
        </w:rPr>
        <w:t>Millionen Tonnen Rohöleinheiten</w:t>
      </w:r>
      <w:r>
        <w:rPr>
          <w:rFonts w:ascii="Arial" w:eastAsia="MinionPro-Regular" w:hAnsi="Arial" w:cs="Arial"/>
        </w:rPr>
        <w:t xml:space="preserve"> (Öläquivalent) aus Drittstaaten. Von den Gesamtimporten entfielen 63,5 Prozent auf </w:t>
      </w:r>
      <w:r w:rsidRPr="007F56D3">
        <w:rPr>
          <w:rFonts w:ascii="Arial" w:eastAsia="MinionPro-Regular" w:hAnsi="Arial" w:cs="Arial"/>
        </w:rPr>
        <w:t>Rohöl und Mineralölerzeugnisse</w:t>
      </w:r>
      <w:r>
        <w:rPr>
          <w:rFonts w:ascii="Arial" w:eastAsia="MinionPro-Regular" w:hAnsi="Arial" w:cs="Arial"/>
        </w:rPr>
        <w:t>, 24,1 Prozent auf Gas und 9,1 Prozent auf f</w:t>
      </w:r>
      <w:r w:rsidRPr="007F56D3">
        <w:rPr>
          <w:rFonts w:ascii="Arial" w:eastAsia="MinionPro-Regular" w:hAnsi="Arial" w:cs="Arial"/>
        </w:rPr>
        <w:t>este Brennstoffe</w:t>
      </w:r>
      <w:r w:rsidR="00A02407" w:rsidRPr="000259EA">
        <w:rPr>
          <w:rFonts w:ascii="Arial" w:eastAsia="MinionPro-Regular" w:hAnsi="Arial" w:cs="Arial"/>
        </w:rPr>
        <w:t xml:space="preserve"> (</w:t>
      </w:r>
      <w:r w:rsidR="00A02407">
        <w:rPr>
          <w:rFonts w:ascii="Arial" w:eastAsia="MinionPro-Regular" w:hAnsi="Arial" w:cs="Arial"/>
        </w:rPr>
        <w:t xml:space="preserve">darunter </w:t>
      </w:r>
      <w:r w:rsidR="00A02407" w:rsidRPr="000259EA">
        <w:rPr>
          <w:rFonts w:ascii="Arial" w:eastAsia="MinionPro-Regular" w:hAnsi="Arial" w:cs="Arial"/>
        </w:rPr>
        <w:t>insbesondere Kohle)</w:t>
      </w:r>
      <w:r>
        <w:rPr>
          <w:rFonts w:ascii="Arial" w:eastAsia="MinionPro-Regular" w:hAnsi="Arial" w:cs="Arial"/>
        </w:rPr>
        <w:t xml:space="preserve">. </w:t>
      </w:r>
      <w:r w:rsidR="00C2484C" w:rsidRPr="007F56D3">
        <w:rPr>
          <w:rFonts w:ascii="Arial" w:eastAsia="MinionPro-Regular" w:hAnsi="Arial" w:cs="Arial"/>
        </w:rPr>
        <w:t>Rohöl und Mineralölerzeugnisse</w:t>
      </w:r>
      <w:r w:rsidR="00C2484C" w:rsidRPr="000259EA">
        <w:rPr>
          <w:rFonts w:ascii="Arial" w:eastAsia="MinionPro-Regular" w:hAnsi="Arial" w:cs="Arial"/>
        </w:rPr>
        <w:t xml:space="preserve"> </w:t>
      </w:r>
      <w:r w:rsidR="00C2484C">
        <w:rPr>
          <w:rFonts w:ascii="Arial" w:eastAsia="MinionPro-Regular" w:hAnsi="Arial" w:cs="Arial"/>
        </w:rPr>
        <w:t xml:space="preserve">haben </w:t>
      </w:r>
      <w:r w:rsidRPr="000259EA">
        <w:rPr>
          <w:rFonts w:ascii="Arial" w:eastAsia="MinionPro-Regular" w:hAnsi="Arial" w:cs="Arial"/>
        </w:rPr>
        <w:t>nicht nur den höchsten Anteil am Energieverbrauch der EU-28, auch die Abhängigkeit von Nicht-EU-Staaten ist größer als bei anderen Energieträgern – 2016 lag die Energieabhängigkeitsquote bei 86,7 Prozent. Beim Gas betrug sie im selben Jahr 70,4 Prozent und bei festen Brennstoffen lag die Quote bei 40,2 Prozent.</w:t>
      </w:r>
    </w:p>
    <w:p w:rsidR="000259EA" w:rsidRPr="006C1830" w:rsidRDefault="000259EA">
      <w:pPr>
        <w:autoSpaceDE w:val="0"/>
        <w:rPr>
          <w:rFonts w:ascii="Arial" w:eastAsia="MinionPro-Regular" w:hAnsi="Arial" w:cs="Arial"/>
        </w:rPr>
      </w:pPr>
    </w:p>
    <w:p w:rsidR="00016FC1" w:rsidRPr="001A7C50" w:rsidRDefault="00C2484C" w:rsidP="00AC38E7">
      <w:pPr>
        <w:autoSpaceDE w:val="0"/>
        <w:rPr>
          <w:rFonts w:ascii="Arial" w:eastAsia="MinionPro-Regular" w:hAnsi="Arial" w:cs="Arial"/>
        </w:rPr>
      </w:pPr>
      <w:r>
        <w:rPr>
          <w:rFonts w:ascii="Arial" w:eastAsia="MinionPro-Regular" w:hAnsi="Arial" w:cs="Arial"/>
        </w:rPr>
        <w:t xml:space="preserve">Der EU-Import von </w:t>
      </w:r>
      <w:r w:rsidRPr="007F56D3">
        <w:rPr>
          <w:rFonts w:ascii="Arial" w:eastAsia="MinionPro-Regular" w:hAnsi="Arial" w:cs="Arial"/>
        </w:rPr>
        <w:t>Rohöl und Mineralölerzeugnisse</w:t>
      </w:r>
      <w:r>
        <w:rPr>
          <w:rFonts w:ascii="Arial" w:eastAsia="MinionPro-Regular" w:hAnsi="Arial" w:cs="Arial"/>
        </w:rPr>
        <w:t>n</w:t>
      </w:r>
      <w:r w:rsidRPr="000259EA">
        <w:rPr>
          <w:rFonts w:ascii="Arial" w:eastAsia="MinionPro-Regular" w:hAnsi="Arial" w:cs="Arial"/>
        </w:rPr>
        <w:t xml:space="preserve"> </w:t>
      </w:r>
      <w:r>
        <w:rPr>
          <w:rFonts w:ascii="Arial" w:eastAsia="MinionPro-Regular" w:hAnsi="Arial" w:cs="Arial"/>
        </w:rPr>
        <w:t>lag i</w:t>
      </w:r>
      <w:r w:rsidR="000F7F77" w:rsidRPr="006C1830">
        <w:rPr>
          <w:rFonts w:ascii="Arial" w:eastAsia="MinionPro-Regular" w:hAnsi="Arial" w:cs="Arial"/>
        </w:rPr>
        <w:t xml:space="preserve">m Jahr 2016 </w:t>
      </w:r>
      <w:r>
        <w:rPr>
          <w:rFonts w:ascii="Arial" w:eastAsia="MinionPro-Regular" w:hAnsi="Arial" w:cs="Arial"/>
        </w:rPr>
        <w:t xml:space="preserve">bei </w:t>
      </w:r>
      <w:r w:rsidR="000F7F77" w:rsidRPr="006C1830">
        <w:rPr>
          <w:rFonts w:ascii="Arial" w:eastAsia="MinionPro-Regular" w:hAnsi="Arial" w:cs="Arial"/>
        </w:rPr>
        <w:t>941,6 Millionen Tonnen Rohöleinheiten</w:t>
      </w:r>
      <w:r w:rsidRPr="00567CD4">
        <w:rPr>
          <w:rFonts w:ascii="Arial" w:eastAsia="MinionPro-Regular" w:hAnsi="Arial" w:cs="Arial"/>
        </w:rPr>
        <w:t xml:space="preserve"> </w:t>
      </w:r>
      <w:r>
        <w:rPr>
          <w:rFonts w:ascii="Arial" w:eastAsia="MinionPro-Regular" w:hAnsi="Arial" w:cs="Arial"/>
        </w:rPr>
        <w:t>(Öläquivalent)</w:t>
      </w:r>
      <w:r w:rsidR="000F7F77" w:rsidRPr="006C1830">
        <w:rPr>
          <w:rFonts w:ascii="Arial" w:eastAsia="MinionPro-Regular" w:hAnsi="Arial" w:cs="Arial"/>
        </w:rPr>
        <w:t xml:space="preserve">. Der mit Abstand wichtigste Zulieferer war dabei Russland – </w:t>
      </w:r>
      <w:r w:rsidR="00CD32D9">
        <w:rPr>
          <w:rFonts w:ascii="Arial" w:eastAsia="MinionPro-Regular" w:hAnsi="Arial" w:cs="Arial"/>
        </w:rPr>
        <w:t>gut</w:t>
      </w:r>
      <w:r w:rsidR="000F7F77" w:rsidRPr="006C1830">
        <w:rPr>
          <w:rFonts w:ascii="Arial" w:eastAsia="MinionPro-Regular" w:hAnsi="Arial" w:cs="Arial"/>
        </w:rPr>
        <w:t xml:space="preserve"> ein Drittel der </w:t>
      </w:r>
      <w:r w:rsidR="000F7F77">
        <w:rPr>
          <w:rFonts w:ascii="Arial" w:eastAsia="MinionPro-Regular" w:hAnsi="Arial" w:cs="Arial"/>
        </w:rPr>
        <w:t>Extra-EU-</w:t>
      </w:r>
      <w:r w:rsidR="000F7F77" w:rsidRPr="006C1830">
        <w:rPr>
          <w:rFonts w:ascii="Arial" w:eastAsia="MinionPro-Regular" w:hAnsi="Arial" w:cs="Arial"/>
        </w:rPr>
        <w:t>Importe stammte von dort (3</w:t>
      </w:r>
      <w:r w:rsidR="00CD32D9">
        <w:rPr>
          <w:rFonts w:ascii="Arial" w:eastAsia="MinionPro-Regular" w:hAnsi="Arial" w:cs="Arial"/>
        </w:rPr>
        <w:t>4</w:t>
      </w:r>
      <w:r w:rsidR="000F7F77" w:rsidRPr="006C1830">
        <w:rPr>
          <w:rFonts w:ascii="Arial" w:eastAsia="MinionPro-Regular" w:hAnsi="Arial" w:cs="Arial"/>
        </w:rPr>
        <w:t>,</w:t>
      </w:r>
      <w:r w:rsidR="00CD32D9">
        <w:rPr>
          <w:rFonts w:ascii="Arial" w:eastAsia="MinionPro-Regular" w:hAnsi="Arial" w:cs="Arial"/>
        </w:rPr>
        <w:t>6</w:t>
      </w:r>
      <w:r w:rsidR="000F7F77" w:rsidRPr="006C1830">
        <w:rPr>
          <w:rFonts w:ascii="Arial" w:eastAsia="MinionPro-Regular" w:hAnsi="Arial" w:cs="Arial"/>
        </w:rPr>
        <w:t xml:space="preserve"> Prozent). An zweiter und dritter Stelle standen Norwegen und </w:t>
      </w:r>
      <w:r w:rsidR="00CD32D9" w:rsidRPr="006C1830">
        <w:rPr>
          <w:rFonts w:ascii="Arial" w:eastAsia="MinionPro-Regular" w:hAnsi="Arial" w:cs="Arial"/>
        </w:rPr>
        <w:t xml:space="preserve">Saudi-Arabien </w:t>
      </w:r>
      <w:r w:rsidR="000F7F77" w:rsidRPr="006C1830">
        <w:rPr>
          <w:rFonts w:ascii="Arial" w:eastAsia="MinionPro-Regular" w:hAnsi="Arial" w:cs="Arial"/>
        </w:rPr>
        <w:t>mit 1</w:t>
      </w:r>
      <w:r w:rsidR="00CD32D9">
        <w:rPr>
          <w:rFonts w:ascii="Arial" w:eastAsia="MinionPro-Regular" w:hAnsi="Arial" w:cs="Arial"/>
        </w:rPr>
        <w:t>0</w:t>
      </w:r>
      <w:r w:rsidR="000F7F77" w:rsidRPr="006C1830">
        <w:rPr>
          <w:rFonts w:ascii="Arial" w:eastAsia="MinionPro-Regular" w:hAnsi="Arial" w:cs="Arial"/>
        </w:rPr>
        <w:t>,</w:t>
      </w:r>
      <w:r w:rsidR="00CD32D9">
        <w:rPr>
          <w:rFonts w:ascii="Arial" w:eastAsia="MinionPro-Regular" w:hAnsi="Arial" w:cs="Arial"/>
        </w:rPr>
        <w:t>8</w:t>
      </w:r>
      <w:r w:rsidR="000F7F77" w:rsidRPr="006C1830">
        <w:rPr>
          <w:rFonts w:ascii="Arial" w:eastAsia="MinionPro-Regular" w:hAnsi="Arial" w:cs="Arial"/>
        </w:rPr>
        <w:t xml:space="preserve"> bzw. </w:t>
      </w:r>
      <w:r w:rsidR="00CD32D9">
        <w:rPr>
          <w:rFonts w:ascii="Arial" w:eastAsia="MinionPro-Regular" w:hAnsi="Arial" w:cs="Arial"/>
        </w:rPr>
        <w:t>7</w:t>
      </w:r>
      <w:r w:rsidR="000F7F77" w:rsidRPr="006C1830">
        <w:rPr>
          <w:rFonts w:ascii="Arial" w:eastAsia="MinionPro-Regular" w:hAnsi="Arial" w:cs="Arial"/>
        </w:rPr>
        <w:t>,</w:t>
      </w:r>
      <w:r w:rsidR="00CD32D9">
        <w:rPr>
          <w:rFonts w:ascii="Arial" w:eastAsia="MinionPro-Regular" w:hAnsi="Arial" w:cs="Arial"/>
        </w:rPr>
        <w:t>5</w:t>
      </w:r>
      <w:r w:rsidR="000F7F77" w:rsidRPr="006C1830">
        <w:rPr>
          <w:rFonts w:ascii="Arial" w:eastAsia="MinionPro-Regular" w:hAnsi="Arial" w:cs="Arial"/>
        </w:rPr>
        <w:t xml:space="preserve"> Prozent, gefolgt vo</w:t>
      </w:r>
      <w:r w:rsidR="007C64FC">
        <w:rPr>
          <w:rFonts w:ascii="Arial" w:eastAsia="MinionPro-Regular" w:hAnsi="Arial" w:cs="Arial"/>
        </w:rPr>
        <w:t>m</w:t>
      </w:r>
      <w:r w:rsidR="00CD32D9">
        <w:rPr>
          <w:rFonts w:ascii="Arial" w:eastAsia="MinionPro-Regular" w:hAnsi="Arial" w:cs="Arial"/>
        </w:rPr>
        <w:t xml:space="preserve"> </w:t>
      </w:r>
      <w:r w:rsidR="00CD32D9" w:rsidRPr="006C1830">
        <w:rPr>
          <w:rFonts w:ascii="Arial" w:eastAsia="MinionPro-Regular" w:hAnsi="Arial" w:cs="Arial"/>
        </w:rPr>
        <w:t xml:space="preserve">Irak </w:t>
      </w:r>
      <w:r w:rsidR="000F7F77">
        <w:rPr>
          <w:rFonts w:ascii="Arial" w:eastAsia="MinionPro-Regular" w:hAnsi="Arial" w:cs="Arial"/>
        </w:rPr>
        <w:t xml:space="preserve">und </w:t>
      </w:r>
      <w:r w:rsidR="000F7F77" w:rsidRPr="006C1830">
        <w:rPr>
          <w:rFonts w:ascii="Arial" w:eastAsia="MinionPro-Regular" w:hAnsi="Arial" w:cs="Arial"/>
        </w:rPr>
        <w:t>Kasachstan (</w:t>
      </w:r>
      <w:r w:rsidR="00CD32D9">
        <w:rPr>
          <w:rFonts w:ascii="Arial" w:eastAsia="MinionPro-Regular" w:hAnsi="Arial" w:cs="Arial"/>
        </w:rPr>
        <w:t>6</w:t>
      </w:r>
      <w:r w:rsidR="000F7F77" w:rsidRPr="006C1830">
        <w:rPr>
          <w:rFonts w:ascii="Arial" w:eastAsia="MinionPro-Regular" w:hAnsi="Arial" w:cs="Arial"/>
        </w:rPr>
        <w:t>,</w:t>
      </w:r>
      <w:r w:rsidR="00CD32D9">
        <w:rPr>
          <w:rFonts w:ascii="Arial" w:eastAsia="MinionPro-Regular" w:hAnsi="Arial" w:cs="Arial"/>
        </w:rPr>
        <w:t>2</w:t>
      </w:r>
      <w:r w:rsidR="000F7F77">
        <w:rPr>
          <w:rFonts w:ascii="Arial" w:eastAsia="MinionPro-Regular" w:hAnsi="Arial" w:cs="Arial"/>
        </w:rPr>
        <w:t xml:space="preserve"> bzw. </w:t>
      </w:r>
      <w:r w:rsidR="00CD32D9">
        <w:rPr>
          <w:rFonts w:ascii="Arial" w:eastAsia="MinionPro-Regular" w:hAnsi="Arial" w:cs="Arial"/>
        </w:rPr>
        <w:t>5</w:t>
      </w:r>
      <w:r w:rsidR="000F7F77" w:rsidRPr="006C1830">
        <w:rPr>
          <w:rFonts w:ascii="Arial" w:eastAsia="MinionPro-Regular" w:hAnsi="Arial" w:cs="Arial"/>
        </w:rPr>
        <w:t>,</w:t>
      </w:r>
      <w:r w:rsidR="00CD32D9">
        <w:rPr>
          <w:rFonts w:ascii="Arial" w:eastAsia="MinionPro-Regular" w:hAnsi="Arial" w:cs="Arial"/>
        </w:rPr>
        <w:t>3</w:t>
      </w:r>
      <w:r w:rsidR="000F7F77" w:rsidRPr="006C1830">
        <w:rPr>
          <w:rFonts w:ascii="Arial" w:eastAsia="MinionPro-Regular" w:hAnsi="Arial" w:cs="Arial"/>
        </w:rPr>
        <w:t xml:space="preserve"> Prozent). </w:t>
      </w:r>
      <w:r w:rsidR="000F7F77" w:rsidRPr="00B11F81">
        <w:rPr>
          <w:rFonts w:ascii="Arial" w:eastAsia="MinionPro-Regular" w:hAnsi="Arial" w:cs="Arial"/>
        </w:rPr>
        <w:t xml:space="preserve">Die 5 wichtigsten Zulieferer deckten 2016 </w:t>
      </w:r>
      <w:r w:rsidR="00A1235F">
        <w:rPr>
          <w:rFonts w:ascii="Arial" w:eastAsia="MinionPro-Regular" w:hAnsi="Arial" w:cs="Arial"/>
        </w:rPr>
        <w:t>knapp</w:t>
      </w:r>
      <w:r w:rsidR="000F7F77" w:rsidRPr="00B11F81">
        <w:rPr>
          <w:rFonts w:ascii="Arial" w:eastAsia="MinionPro-Regular" w:hAnsi="Arial" w:cs="Arial"/>
        </w:rPr>
        <w:t xml:space="preserve"> zwei Drittel des gesamten </w:t>
      </w:r>
      <w:r w:rsidR="000F7F77">
        <w:rPr>
          <w:rFonts w:ascii="Arial" w:eastAsia="MinionPro-Regular" w:hAnsi="Arial" w:cs="Arial"/>
        </w:rPr>
        <w:t>EU-28-</w:t>
      </w:r>
      <w:r w:rsidR="000F7F77" w:rsidRPr="00B11F81">
        <w:rPr>
          <w:rFonts w:ascii="Arial" w:eastAsia="MinionPro-Regular" w:hAnsi="Arial" w:cs="Arial"/>
        </w:rPr>
        <w:t>Imports ab (6</w:t>
      </w:r>
      <w:r w:rsidR="00A1235F">
        <w:rPr>
          <w:rFonts w:ascii="Arial" w:eastAsia="MinionPro-Regular" w:hAnsi="Arial" w:cs="Arial"/>
        </w:rPr>
        <w:t>4</w:t>
      </w:r>
      <w:r w:rsidR="000F7F77" w:rsidRPr="00B11F81">
        <w:rPr>
          <w:rFonts w:ascii="Arial" w:eastAsia="MinionPro-Regular" w:hAnsi="Arial" w:cs="Arial"/>
        </w:rPr>
        <w:t>,</w:t>
      </w:r>
      <w:r w:rsidR="00A1235F">
        <w:rPr>
          <w:rFonts w:ascii="Arial" w:eastAsia="MinionPro-Regular" w:hAnsi="Arial" w:cs="Arial"/>
        </w:rPr>
        <w:t>3</w:t>
      </w:r>
      <w:r w:rsidR="000F7F77" w:rsidRPr="00B11F81">
        <w:rPr>
          <w:rFonts w:ascii="Arial" w:eastAsia="MinionPro-Regular" w:hAnsi="Arial" w:cs="Arial"/>
        </w:rPr>
        <w:t xml:space="preserve"> Prozent). Werden noch die Importe </w:t>
      </w:r>
      <w:r>
        <w:rPr>
          <w:rFonts w:ascii="Arial" w:eastAsia="MinionPro-Regular" w:hAnsi="Arial" w:cs="Arial"/>
        </w:rPr>
        <w:t xml:space="preserve">von </w:t>
      </w:r>
      <w:r w:rsidRPr="007F56D3">
        <w:rPr>
          <w:rFonts w:ascii="Arial" w:eastAsia="MinionPro-Regular" w:hAnsi="Arial" w:cs="Arial"/>
        </w:rPr>
        <w:t>Rohöl und Mineralölerzeugnisse</w:t>
      </w:r>
      <w:r>
        <w:rPr>
          <w:rFonts w:ascii="Arial" w:eastAsia="MinionPro-Regular" w:hAnsi="Arial" w:cs="Arial"/>
        </w:rPr>
        <w:t>n</w:t>
      </w:r>
      <w:r w:rsidRPr="000259EA">
        <w:rPr>
          <w:rFonts w:ascii="Arial" w:eastAsia="MinionPro-Regular" w:hAnsi="Arial" w:cs="Arial"/>
        </w:rPr>
        <w:t xml:space="preserve"> </w:t>
      </w:r>
      <w:r w:rsidR="000F7F77" w:rsidRPr="00B11F81">
        <w:rPr>
          <w:rFonts w:ascii="Arial" w:eastAsia="MinionPro-Regular" w:hAnsi="Arial" w:cs="Arial"/>
        </w:rPr>
        <w:t xml:space="preserve">aus </w:t>
      </w:r>
      <w:r w:rsidR="00A1235F">
        <w:rPr>
          <w:rFonts w:ascii="Arial" w:eastAsia="MinionPro-Regular" w:hAnsi="Arial" w:cs="Arial"/>
        </w:rPr>
        <w:t xml:space="preserve">den USA, </w:t>
      </w:r>
      <w:r w:rsidR="000F7F77" w:rsidRPr="00B11F81">
        <w:rPr>
          <w:rFonts w:ascii="Arial" w:eastAsia="MinionPro-Regular" w:hAnsi="Arial" w:cs="Arial"/>
        </w:rPr>
        <w:t>Nigeria, Aserbaidschan</w:t>
      </w:r>
      <w:r w:rsidR="00A1235F">
        <w:rPr>
          <w:rFonts w:ascii="Arial" w:eastAsia="MinionPro-Regular" w:hAnsi="Arial" w:cs="Arial"/>
        </w:rPr>
        <w:t xml:space="preserve"> und </w:t>
      </w:r>
      <w:r w:rsidR="000F7F77" w:rsidRPr="00B11F81">
        <w:rPr>
          <w:rFonts w:ascii="Arial" w:eastAsia="MinionPro-Regular" w:hAnsi="Arial" w:cs="Arial"/>
        </w:rPr>
        <w:t xml:space="preserve">Algerien hinzugerechnet, steigt der Anteil auf </w:t>
      </w:r>
      <w:r w:rsidR="00A1235F">
        <w:rPr>
          <w:rFonts w:ascii="Arial" w:eastAsia="MinionPro-Regular" w:hAnsi="Arial" w:cs="Arial"/>
        </w:rPr>
        <w:t>79</w:t>
      </w:r>
      <w:r w:rsidR="000F7F77" w:rsidRPr="00B11F81">
        <w:rPr>
          <w:rFonts w:ascii="Arial" w:eastAsia="MinionPro-Regular" w:hAnsi="Arial" w:cs="Arial"/>
        </w:rPr>
        <w:t>,</w:t>
      </w:r>
      <w:r w:rsidR="00A1235F">
        <w:rPr>
          <w:rFonts w:ascii="Arial" w:eastAsia="MinionPro-Regular" w:hAnsi="Arial" w:cs="Arial"/>
        </w:rPr>
        <w:t>9</w:t>
      </w:r>
      <w:r w:rsidR="000F7F77" w:rsidRPr="00B11F81">
        <w:rPr>
          <w:rFonts w:ascii="Arial" w:eastAsia="MinionPro-Regular" w:hAnsi="Arial" w:cs="Arial"/>
        </w:rPr>
        <w:t xml:space="preserve"> Prozent</w:t>
      </w:r>
      <w:r w:rsidR="000F7F77">
        <w:rPr>
          <w:rFonts w:ascii="Arial" w:eastAsia="MinionPro-Regular" w:hAnsi="Arial" w:cs="Arial"/>
        </w:rPr>
        <w:t xml:space="preserve">. In den 10 Jahren von 2007 bis 2016 lag der Anteil Russlands an den Importen </w:t>
      </w:r>
      <w:r>
        <w:rPr>
          <w:rFonts w:ascii="Arial" w:eastAsia="MinionPro-Regular" w:hAnsi="Arial" w:cs="Arial"/>
        </w:rPr>
        <w:t xml:space="preserve">von </w:t>
      </w:r>
      <w:r w:rsidRPr="007F56D3">
        <w:rPr>
          <w:rFonts w:ascii="Arial" w:eastAsia="MinionPro-Regular" w:hAnsi="Arial" w:cs="Arial"/>
        </w:rPr>
        <w:t>Rohöl und Mineralölerzeugnisse</w:t>
      </w:r>
      <w:r>
        <w:rPr>
          <w:rFonts w:ascii="Arial" w:eastAsia="MinionPro-Regular" w:hAnsi="Arial" w:cs="Arial"/>
        </w:rPr>
        <w:t>n</w:t>
      </w:r>
      <w:r w:rsidRPr="000259EA">
        <w:rPr>
          <w:rFonts w:ascii="Arial" w:eastAsia="MinionPro-Regular" w:hAnsi="Arial" w:cs="Arial"/>
        </w:rPr>
        <w:t xml:space="preserve"> </w:t>
      </w:r>
      <w:r w:rsidR="000F7F77">
        <w:rPr>
          <w:rFonts w:ascii="Arial" w:eastAsia="MinionPro-Regular" w:hAnsi="Arial" w:cs="Arial"/>
        </w:rPr>
        <w:t>der EU durchgehend bei rund einem Drittel. Ebenso war Norwegen durchgehend der zweitwichtigste Lieferant für die EU</w:t>
      </w:r>
      <w:r w:rsidR="00016FC1">
        <w:rPr>
          <w:rFonts w:ascii="Arial" w:eastAsia="MinionPro-Regular" w:hAnsi="Arial" w:cs="Arial"/>
        </w:rPr>
        <w:t>.</w:t>
      </w:r>
      <w:r w:rsidR="00487A4B" w:rsidRPr="001A7C50">
        <w:rPr>
          <w:rFonts w:ascii="Arial" w:eastAsia="MinionPro-Regular" w:hAnsi="Arial" w:cs="Arial"/>
        </w:rPr>
        <w:br/>
      </w:r>
    </w:p>
    <w:p w:rsidR="000E1521" w:rsidRPr="00567CD4" w:rsidRDefault="000F7F77" w:rsidP="00AC38E7">
      <w:pPr>
        <w:autoSpaceDE w:val="0"/>
        <w:rPr>
          <w:rFonts w:ascii="Arial" w:eastAsia="MinionPro-Regular" w:hAnsi="Arial" w:cs="Arial"/>
        </w:rPr>
      </w:pPr>
      <w:r w:rsidRPr="00567CD4">
        <w:rPr>
          <w:rFonts w:ascii="Arial" w:eastAsia="MinionPro-Regular" w:hAnsi="Arial" w:cs="Arial"/>
        </w:rPr>
        <w:t xml:space="preserve">Fast zwei Drittel gesamten </w:t>
      </w:r>
      <w:r w:rsidR="00BE3DA6">
        <w:rPr>
          <w:rFonts w:ascii="Arial" w:eastAsia="MinionPro-Regular" w:hAnsi="Arial" w:cs="Arial"/>
        </w:rPr>
        <w:t>G</w:t>
      </w:r>
      <w:r w:rsidRPr="00567CD4">
        <w:rPr>
          <w:rFonts w:ascii="Arial" w:eastAsia="MinionPro-Regular" w:hAnsi="Arial" w:cs="Arial"/>
        </w:rPr>
        <w:t xml:space="preserve">asimporte der EU-28 in Höhe von 357,1 Millionen Tonnen Rohöleinheiten </w:t>
      </w:r>
      <w:r>
        <w:rPr>
          <w:rFonts w:ascii="Arial" w:eastAsia="MinionPro-Regular" w:hAnsi="Arial" w:cs="Arial"/>
        </w:rPr>
        <w:t xml:space="preserve">(Öläquivalent) </w:t>
      </w:r>
      <w:r w:rsidRPr="00567CD4">
        <w:rPr>
          <w:rFonts w:ascii="Arial" w:eastAsia="MinionPro-Regular" w:hAnsi="Arial" w:cs="Arial"/>
        </w:rPr>
        <w:t>stammte</w:t>
      </w:r>
      <w:r>
        <w:rPr>
          <w:rFonts w:ascii="Arial" w:eastAsia="MinionPro-Regular" w:hAnsi="Arial" w:cs="Arial"/>
        </w:rPr>
        <w:t>n</w:t>
      </w:r>
      <w:r w:rsidRPr="00567CD4">
        <w:rPr>
          <w:rFonts w:ascii="Arial" w:eastAsia="MinionPro-Regular" w:hAnsi="Arial" w:cs="Arial"/>
        </w:rPr>
        <w:t xml:space="preserve"> 2016 aus nur zwei Staaten: Russland und Norwegen (39,9 bzw. 24,8 Prozent). Darauf folgten Algerien (12,4 </w:t>
      </w:r>
      <w:r w:rsidRPr="00567CD4">
        <w:rPr>
          <w:rFonts w:ascii="Arial" w:eastAsia="MinionPro-Regular" w:hAnsi="Arial" w:cs="Arial"/>
        </w:rPr>
        <w:lastRenderedPageBreak/>
        <w:t>Prozent), Katar (5,6 Prozent) und Nigeria (2,0 Prozent). Die Top</w:t>
      </w:r>
      <w:r>
        <w:rPr>
          <w:rFonts w:ascii="Arial" w:eastAsia="MinionPro-Regular" w:hAnsi="Arial" w:cs="Arial"/>
        </w:rPr>
        <w:t>-</w:t>
      </w:r>
      <w:r w:rsidRPr="00567CD4">
        <w:rPr>
          <w:rFonts w:ascii="Arial" w:eastAsia="MinionPro-Regular" w:hAnsi="Arial" w:cs="Arial"/>
        </w:rPr>
        <w:t>5</w:t>
      </w:r>
      <w:r>
        <w:rPr>
          <w:rFonts w:ascii="Arial" w:eastAsia="MinionPro-Regular" w:hAnsi="Arial" w:cs="Arial"/>
        </w:rPr>
        <w:t>-</w:t>
      </w:r>
      <w:r w:rsidRPr="00567CD4">
        <w:rPr>
          <w:rFonts w:ascii="Arial" w:eastAsia="MinionPro-Regular" w:hAnsi="Arial" w:cs="Arial"/>
        </w:rPr>
        <w:t>Gas-Lieferanten hatten also einen Anteil von 84,7 Prozent an den gesamten Extra-EU-Gasimporten</w:t>
      </w:r>
      <w:r w:rsidR="00016FC1" w:rsidRPr="00567CD4">
        <w:rPr>
          <w:rFonts w:ascii="Arial" w:eastAsia="MinionPro-Regular" w:hAnsi="Arial" w:cs="Arial"/>
        </w:rPr>
        <w:t>.</w:t>
      </w:r>
    </w:p>
    <w:p w:rsidR="007957B3" w:rsidRPr="00233653" w:rsidRDefault="00487A4B">
      <w:pPr>
        <w:autoSpaceDE w:val="0"/>
        <w:rPr>
          <w:rFonts w:ascii="Arial" w:eastAsia="MinionPro-Regular" w:hAnsi="Arial" w:cs="Arial"/>
        </w:rPr>
      </w:pPr>
      <w:r w:rsidRPr="000F7F77">
        <w:rPr>
          <w:rFonts w:ascii="Arial" w:eastAsia="MinionPro-Regular" w:hAnsi="Arial" w:cs="Arial"/>
        </w:rPr>
        <w:br/>
      </w:r>
      <w:r w:rsidR="000F7F77" w:rsidRPr="00233653">
        <w:rPr>
          <w:rFonts w:ascii="Arial" w:eastAsia="MinionPro-Regular" w:hAnsi="Arial" w:cs="Arial"/>
        </w:rPr>
        <w:t>Wie beim Rohöl und beim</w:t>
      </w:r>
      <w:r w:rsidR="000F7F77">
        <w:rPr>
          <w:rFonts w:ascii="Arial" w:eastAsia="MinionPro-Regular" w:hAnsi="Arial" w:cs="Arial"/>
        </w:rPr>
        <w:t xml:space="preserve"> </w:t>
      </w:r>
      <w:r w:rsidR="00BE3DA6">
        <w:rPr>
          <w:rFonts w:ascii="Arial" w:eastAsia="MinionPro-Regular" w:hAnsi="Arial" w:cs="Arial"/>
        </w:rPr>
        <w:t>G</w:t>
      </w:r>
      <w:r w:rsidR="000F7F77" w:rsidRPr="00233653">
        <w:rPr>
          <w:rFonts w:ascii="Arial" w:eastAsia="MinionPro-Regular" w:hAnsi="Arial" w:cs="Arial"/>
        </w:rPr>
        <w:t xml:space="preserve">as ist Russland auch bei den festen Brennstoffen (insbesondere Kohle) der wichtigste Zulieferer. </w:t>
      </w:r>
      <w:r w:rsidR="000F7F77">
        <w:rPr>
          <w:rFonts w:ascii="Arial" w:eastAsia="MinionPro-Regular" w:hAnsi="Arial" w:cs="Arial"/>
        </w:rPr>
        <w:t xml:space="preserve">Von den </w:t>
      </w:r>
      <w:r w:rsidR="000F7F77" w:rsidRPr="00233653">
        <w:rPr>
          <w:rFonts w:ascii="Arial" w:eastAsia="MinionPro-Regular" w:hAnsi="Arial" w:cs="Arial"/>
        </w:rPr>
        <w:t>Extra-EU-Importe</w:t>
      </w:r>
      <w:r w:rsidR="000F7F77">
        <w:rPr>
          <w:rFonts w:ascii="Arial" w:eastAsia="MinionPro-Regular" w:hAnsi="Arial" w:cs="Arial"/>
        </w:rPr>
        <w:t>n im Jahr 2016</w:t>
      </w:r>
      <w:r w:rsidR="000F7F77" w:rsidRPr="00233653">
        <w:rPr>
          <w:rFonts w:ascii="Arial" w:eastAsia="MinionPro-Regular" w:hAnsi="Arial" w:cs="Arial"/>
        </w:rPr>
        <w:t xml:space="preserve"> </w:t>
      </w:r>
      <w:r w:rsidR="000F7F77">
        <w:rPr>
          <w:rFonts w:ascii="Arial" w:eastAsia="MinionPro-Regular" w:hAnsi="Arial" w:cs="Arial"/>
        </w:rPr>
        <w:t>– in</w:t>
      </w:r>
      <w:r w:rsidR="000F7F77" w:rsidRPr="00233653">
        <w:rPr>
          <w:rFonts w:ascii="Arial" w:eastAsia="MinionPro-Regular" w:hAnsi="Arial" w:cs="Arial"/>
        </w:rPr>
        <w:t xml:space="preserve">sgesamt 134,9 </w:t>
      </w:r>
      <w:r w:rsidR="000F7F77" w:rsidRPr="00567CD4">
        <w:rPr>
          <w:rFonts w:ascii="Arial" w:eastAsia="MinionPro-Regular" w:hAnsi="Arial" w:cs="Arial"/>
        </w:rPr>
        <w:t xml:space="preserve">Millionen Tonnen Rohöleinheiten </w:t>
      </w:r>
      <w:r w:rsidR="000F7F77">
        <w:rPr>
          <w:rFonts w:ascii="Arial" w:eastAsia="MinionPro-Regular" w:hAnsi="Arial" w:cs="Arial"/>
        </w:rPr>
        <w:t xml:space="preserve">(Öläquivalent) – </w:t>
      </w:r>
      <w:r w:rsidR="000F7F77" w:rsidRPr="00233653">
        <w:rPr>
          <w:rFonts w:ascii="Arial" w:eastAsia="MinionPro-Regular" w:hAnsi="Arial" w:cs="Arial"/>
        </w:rPr>
        <w:t xml:space="preserve">stammten 30,2 Prozent aus Russland. Knapp ein Viertel wurde aus Kolumbien importiert (23,4 Prozent). Auf Platz drei und vier standen Australien und die USA mit Anteilen von 14,6 bzw. 14,1 Prozent an. Zusammen mit Südafrika (5,1 Prozent) entfielen auf die Top 5 der Zulieferer im Bereich feste Brennstoffe 87,4 Prozent der </w:t>
      </w:r>
      <w:r w:rsidR="00A02407">
        <w:rPr>
          <w:rFonts w:ascii="Arial" w:eastAsia="MinionPro-Regular" w:hAnsi="Arial" w:cs="Arial"/>
        </w:rPr>
        <w:t>EU-</w:t>
      </w:r>
      <w:r w:rsidR="000F7F77" w:rsidRPr="00233653">
        <w:rPr>
          <w:rFonts w:ascii="Arial" w:eastAsia="MinionPro-Regular" w:hAnsi="Arial" w:cs="Arial"/>
        </w:rPr>
        <w:t>Importe des Jahres 2016</w:t>
      </w:r>
      <w:r w:rsidRPr="00233653">
        <w:rPr>
          <w:rFonts w:ascii="Arial" w:eastAsia="MinionPro-Regular" w:hAnsi="Arial" w:cs="Arial"/>
        </w:rPr>
        <w:t>.</w:t>
      </w:r>
    </w:p>
    <w:p w:rsidR="007957B3" w:rsidRPr="001A7C50" w:rsidRDefault="007957B3" w:rsidP="00646B62">
      <w:pPr>
        <w:autoSpaceDE w:val="0"/>
        <w:rPr>
          <w:rFonts w:ascii="Arial" w:eastAsia="MinionPro-Regular" w:hAnsi="Arial" w:cs="Arial"/>
        </w:rPr>
      </w:pPr>
    </w:p>
    <w:p w:rsidR="005272CD" w:rsidRDefault="005272CD">
      <w:pPr>
        <w:rPr>
          <w:rFonts w:ascii="Arial" w:hAnsi="Arial"/>
          <w:color w:val="FF0000"/>
        </w:rPr>
      </w:pPr>
      <w:r>
        <w:rPr>
          <w:rFonts w:ascii="Arial" w:hAnsi="Arial"/>
          <w:color w:val="FF0000"/>
        </w:rPr>
        <w:t>Datenquelle</w:t>
      </w:r>
    </w:p>
    <w:p w:rsidR="005272CD" w:rsidRPr="00D82048" w:rsidRDefault="005272CD" w:rsidP="00D82048">
      <w:pPr>
        <w:autoSpaceDE w:val="0"/>
        <w:rPr>
          <w:rFonts w:ascii="Arial" w:eastAsia="MinionPro-Regular" w:hAnsi="Arial" w:cs="Arial"/>
        </w:rPr>
      </w:pPr>
    </w:p>
    <w:p w:rsidR="005272CD" w:rsidRPr="00D82048" w:rsidRDefault="00D82048" w:rsidP="00D82048">
      <w:pPr>
        <w:autoSpaceDE w:val="0"/>
        <w:rPr>
          <w:rFonts w:ascii="Arial" w:eastAsia="MinionPro-Regular" w:hAnsi="Arial" w:cs="Arial"/>
        </w:rPr>
      </w:pPr>
      <w:r w:rsidRPr="00D82048">
        <w:rPr>
          <w:rFonts w:ascii="Arial" w:eastAsia="MinionPro-Regular" w:hAnsi="Arial" w:cs="Arial"/>
        </w:rPr>
        <w:t xml:space="preserve">Eurostat: Online-Datenbank: </w:t>
      </w:r>
      <w:r w:rsidR="00923BBD" w:rsidRPr="00923BBD">
        <w:rPr>
          <w:rFonts w:ascii="Arial" w:eastAsia="MinionPro-Regular" w:hAnsi="Arial" w:cs="Arial"/>
        </w:rPr>
        <w:t xml:space="preserve">Imports - </w:t>
      </w:r>
      <w:proofErr w:type="spellStart"/>
      <w:r w:rsidR="00923BBD" w:rsidRPr="00923BBD">
        <w:rPr>
          <w:rFonts w:ascii="Arial" w:eastAsia="MinionPro-Regular" w:hAnsi="Arial" w:cs="Arial"/>
        </w:rPr>
        <w:t>oil</w:t>
      </w:r>
      <w:proofErr w:type="spellEnd"/>
      <w:r w:rsidR="00923BBD" w:rsidRPr="00923BBD">
        <w:rPr>
          <w:rFonts w:ascii="Arial" w:eastAsia="MinionPro-Regular" w:hAnsi="Arial" w:cs="Arial"/>
        </w:rPr>
        <w:t xml:space="preserve"> - </w:t>
      </w:r>
      <w:proofErr w:type="spellStart"/>
      <w:r w:rsidR="00923BBD" w:rsidRPr="00923BBD">
        <w:rPr>
          <w:rFonts w:ascii="Arial" w:eastAsia="MinionPro-Regular" w:hAnsi="Arial" w:cs="Arial"/>
        </w:rPr>
        <w:t>annual</w:t>
      </w:r>
      <w:proofErr w:type="spellEnd"/>
      <w:r w:rsidR="00923BBD" w:rsidRPr="00923BBD">
        <w:rPr>
          <w:rFonts w:ascii="Arial" w:eastAsia="MinionPro-Regular" w:hAnsi="Arial" w:cs="Arial"/>
        </w:rPr>
        <w:t xml:space="preserve"> </w:t>
      </w:r>
      <w:proofErr w:type="spellStart"/>
      <w:r w:rsidR="00923BBD" w:rsidRPr="00923BBD">
        <w:rPr>
          <w:rFonts w:ascii="Arial" w:eastAsia="MinionPro-Regular" w:hAnsi="Arial" w:cs="Arial"/>
        </w:rPr>
        <w:t>data</w:t>
      </w:r>
      <w:proofErr w:type="spellEnd"/>
      <w:r w:rsidR="00923BBD" w:rsidRPr="00923BBD">
        <w:rPr>
          <w:rFonts w:ascii="Arial" w:eastAsia="MinionPro-Regular" w:hAnsi="Arial" w:cs="Arial"/>
        </w:rPr>
        <w:t xml:space="preserve"> (04/2019), </w:t>
      </w:r>
      <w:r w:rsidR="00FC19FD" w:rsidRPr="00FC19FD">
        <w:rPr>
          <w:rFonts w:ascii="Arial" w:eastAsia="MinionPro-Regular" w:hAnsi="Arial" w:cs="Arial"/>
        </w:rPr>
        <w:t>Energieerzeugung und -einfuhren: Tabellen und Abbildungen</w:t>
      </w:r>
      <w:r w:rsidRPr="00D82048">
        <w:rPr>
          <w:rFonts w:ascii="Arial" w:eastAsia="MinionPro-Regular" w:hAnsi="Arial" w:cs="Arial"/>
        </w:rPr>
        <w:t xml:space="preserve"> (</w:t>
      </w:r>
      <w:r w:rsidR="00FC19FD">
        <w:rPr>
          <w:rFonts w:ascii="Arial" w:eastAsia="MinionPro-Regular" w:hAnsi="Arial" w:cs="Arial"/>
        </w:rPr>
        <w:t>06</w:t>
      </w:r>
      <w:r w:rsidRPr="00D82048">
        <w:rPr>
          <w:rFonts w:ascii="Arial" w:eastAsia="MinionPro-Regular" w:hAnsi="Arial" w:cs="Arial"/>
        </w:rPr>
        <w:t>/2018)</w:t>
      </w:r>
    </w:p>
    <w:p w:rsidR="00D82048" w:rsidRPr="00D82048" w:rsidRDefault="00D82048" w:rsidP="00D82048">
      <w:pPr>
        <w:autoSpaceDE w:val="0"/>
        <w:rPr>
          <w:rFonts w:ascii="Arial" w:eastAsia="MinionPro-Regular" w:hAnsi="Arial" w:cs="Arial"/>
        </w:rPr>
      </w:pPr>
    </w:p>
    <w:p w:rsidR="005272CD" w:rsidRDefault="005272CD">
      <w:pPr>
        <w:tabs>
          <w:tab w:val="left" w:pos="3060"/>
        </w:tabs>
        <w:rPr>
          <w:rFonts w:ascii="Arial" w:hAnsi="Arial"/>
          <w:color w:val="FF0000"/>
        </w:rPr>
      </w:pPr>
      <w:r>
        <w:rPr>
          <w:rFonts w:ascii="Arial" w:hAnsi="Arial"/>
          <w:color w:val="FF0000"/>
        </w:rPr>
        <w:t>Begriffe, methodische Anmerkungen oder Lesehilfen</w:t>
      </w:r>
    </w:p>
    <w:p w:rsidR="005272CD" w:rsidRPr="00090442" w:rsidRDefault="005272CD" w:rsidP="00090442">
      <w:pPr>
        <w:autoSpaceDE w:val="0"/>
        <w:rPr>
          <w:rFonts w:ascii="Arial" w:eastAsia="MinionPro-Regular" w:hAnsi="Arial" w:cs="Arial"/>
        </w:rPr>
      </w:pPr>
    </w:p>
    <w:p w:rsidR="000F7F77" w:rsidRDefault="000F7F77" w:rsidP="000F7F77">
      <w:pPr>
        <w:autoSpaceDE w:val="0"/>
        <w:rPr>
          <w:rFonts w:ascii="Arial" w:eastAsia="MinionPro-Regular" w:hAnsi="Arial" w:cs="Arial"/>
        </w:rPr>
      </w:pPr>
      <w:r>
        <w:rPr>
          <w:rFonts w:ascii="Arial" w:eastAsia="MinionPro-Regular" w:hAnsi="Arial" w:cs="Arial"/>
        </w:rPr>
        <w:t xml:space="preserve">Weitere </w:t>
      </w:r>
      <w:r w:rsidRPr="00F02392">
        <w:rPr>
          <w:rFonts w:ascii="Arial" w:eastAsia="MinionPro-Regular" w:hAnsi="Arial" w:cs="Arial"/>
        </w:rPr>
        <w:t>Informationen zu</w:t>
      </w:r>
      <w:r>
        <w:rPr>
          <w:rFonts w:ascii="Arial" w:eastAsia="MinionPro-Regular" w:hAnsi="Arial" w:cs="Arial"/>
        </w:rPr>
        <w:t xml:space="preserve"> den</w:t>
      </w:r>
      <w:r w:rsidRPr="00F02392">
        <w:rPr>
          <w:rFonts w:ascii="Arial" w:eastAsia="MinionPro-Regular" w:hAnsi="Arial" w:cs="Arial"/>
        </w:rPr>
        <w:t xml:space="preserve"> </w:t>
      </w:r>
      <w:r w:rsidRPr="00867F40">
        <w:rPr>
          <w:rFonts w:ascii="Arial" w:eastAsia="MinionPro-Regular" w:hAnsi="Arial" w:cs="Arial"/>
          <w:b/>
        </w:rPr>
        <w:t>Energieabhängigkeitsquote</w:t>
      </w:r>
      <w:r>
        <w:rPr>
          <w:rFonts w:ascii="Arial" w:eastAsia="MinionPro-Regular" w:hAnsi="Arial" w:cs="Arial"/>
          <w:b/>
        </w:rPr>
        <w:t>n der EU und ihrer Mitgliedstaaten</w:t>
      </w:r>
      <w:r w:rsidRPr="00867F40">
        <w:rPr>
          <w:rFonts w:ascii="Arial" w:eastAsia="MinionPro-Regular" w:hAnsi="Arial" w:cs="Arial"/>
        </w:rPr>
        <w:t xml:space="preserve"> </w:t>
      </w:r>
      <w:r w:rsidRPr="00F02392">
        <w:rPr>
          <w:rFonts w:ascii="Arial" w:eastAsia="MinionPro-Regular" w:hAnsi="Arial" w:cs="Arial"/>
        </w:rPr>
        <w:t xml:space="preserve">erhalten Sie hier: </w:t>
      </w:r>
      <w:hyperlink r:id="rId7" w:history="1">
        <w:r w:rsidRPr="00C7236F">
          <w:rPr>
            <w:rStyle w:val="Hyperlink"/>
            <w:rFonts w:ascii="Arial" w:eastAsia="MinionPro-Regular" w:hAnsi="Arial" w:cs="Arial"/>
          </w:rPr>
          <w:t>http://www.bpb.de/135829</w:t>
        </w:r>
      </w:hyperlink>
    </w:p>
    <w:p w:rsidR="000F7F77" w:rsidRDefault="000F7F77" w:rsidP="000F7F77">
      <w:pPr>
        <w:autoSpaceDE w:val="0"/>
        <w:rPr>
          <w:rFonts w:ascii="Arial" w:eastAsia="MinionPro-Regular" w:hAnsi="Arial" w:cs="Arial"/>
        </w:rPr>
      </w:pPr>
    </w:p>
    <w:p w:rsidR="000F7F77" w:rsidRDefault="000F7F77" w:rsidP="000F7F77">
      <w:pPr>
        <w:autoSpaceDE w:val="0"/>
        <w:rPr>
          <w:rFonts w:ascii="Arial" w:eastAsia="MinionPro-Regular" w:hAnsi="Arial" w:cs="Arial"/>
        </w:rPr>
      </w:pPr>
      <w:r w:rsidRPr="00F02392">
        <w:rPr>
          <w:rFonts w:ascii="Arial" w:eastAsia="MinionPro-Regular" w:hAnsi="Arial" w:cs="Arial"/>
        </w:rPr>
        <w:t>Informationen zu</w:t>
      </w:r>
      <w:r>
        <w:rPr>
          <w:rFonts w:ascii="Arial" w:eastAsia="MinionPro-Regular" w:hAnsi="Arial" w:cs="Arial"/>
        </w:rPr>
        <w:t xml:space="preserve"> den</w:t>
      </w:r>
      <w:r w:rsidRPr="00F02392">
        <w:rPr>
          <w:rFonts w:ascii="Arial" w:eastAsia="MinionPro-Regular" w:hAnsi="Arial" w:cs="Arial"/>
        </w:rPr>
        <w:t xml:space="preserve"> </w:t>
      </w:r>
      <w:r w:rsidRPr="001C1446">
        <w:rPr>
          <w:rFonts w:ascii="Arial" w:eastAsia="MinionPro-Regular" w:hAnsi="Arial" w:cs="Arial"/>
          <w:b/>
        </w:rPr>
        <w:t>Haupthandelsströme</w:t>
      </w:r>
      <w:r>
        <w:rPr>
          <w:rFonts w:ascii="Arial" w:eastAsia="MinionPro-Regular" w:hAnsi="Arial" w:cs="Arial"/>
          <w:b/>
        </w:rPr>
        <w:t xml:space="preserve">n </w:t>
      </w:r>
      <w:r w:rsidRPr="001C1446">
        <w:rPr>
          <w:rFonts w:ascii="Arial" w:eastAsia="MinionPro-Regular" w:hAnsi="Arial" w:cs="Arial"/>
          <w:b/>
        </w:rPr>
        <w:t>– Erdöl und Erdgas</w:t>
      </w:r>
      <w:r>
        <w:rPr>
          <w:rFonts w:ascii="Arial" w:eastAsia="MinionPro-Regular" w:hAnsi="Arial" w:cs="Arial"/>
          <w:b/>
        </w:rPr>
        <w:t xml:space="preserve"> </w:t>
      </w:r>
      <w:r w:rsidRPr="00F97C94">
        <w:rPr>
          <w:rFonts w:ascii="Arial" w:eastAsia="MinionPro-Regular" w:hAnsi="Arial" w:cs="Arial"/>
        </w:rPr>
        <w:t>(Europa und Welt)</w:t>
      </w:r>
      <w:r>
        <w:rPr>
          <w:rFonts w:ascii="Arial" w:eastAsia="MinionPro-Regular" w:hAnsi="Arial" w:cs="Arial"/>
          <w:b/>
        </w:rPr>
        <w:t xml:space="preserve"> </w:t>
      </w:r>
      <w:r w:rsidRPr="00F02392">
        <w:rPr>
          <w:rFonts w:ascii="Arial" w:eastAsia="MinionPro-Regular" w:hAnsi="Arial" w:cs="Arial"/>
        </w:rPr>
        <w:t>erhalten Sie hier</w:t>
      </w:r>
      <w:r>
        <w:rPr>
          <w:rFonts w:ascii="Arial" w:eastAsia="MinionPro-Regular" w:hAnsi="Arial" w:cs="Arial"/>
        </w:rPr>
        <w:t xml:space="preserve">: </w:t>
      </w:r>
      <w:hyperlink r:id="rId8" w:history="1">
        <w:r w:rsidRPr="00C7236F">
          <w:rPr>
            <w:rStyle w:val="Hyperlink"/>
            <w:rFonts w:ascii="Arial" w:eastAsia="MinionPro-Regular" w:hAnsi="Arial" w:cs="Arial"/>
          </w:rPr>
          <w:t>http://www.bpb.de/239756</w:t>
        </w:r>
      </w:hyperlink>
    </w:p>
    <w:p w:rsidR="001C1446" w:rsidRDefault="001C1446" w:rsidP="00F02392">
      <w:pPr>
        <w:autoSpaceDE w:val="0"/>
        <w:rPr>
          <w:rFonts w:ascii="Arial" w:eastAsia="MinionPro-Regular" w:hAnsi="Arial" w:cs="Arial"/>
        </w:rPr>
      </w:pPr>
    </w:p>
    <w:p w:rsidR="000F7F77" w:rsidRDefault="000F7F77" w:rsidP="000F7F77">
      <w:pPr>
        <w:autoSpaceDE w:val="0"/>
        <w:rPr>
          <w:rFonts w:ascii="Arial" w:eastAsia="MinionPro-Regular" w:hAnsi="Arial" w:cs="Arial"/>
        </w:rPr>
      </w:pPr>
      <w:r w:rsidRPr="00090442">
        <w:rPr>
          <w:rFonts w:ascii="Arial" w:eastAsia="MinionPro-Regular" w:hAnsi="Arial" w:cs="Arial"/>
        </w:rPr>
        <w:t xml:space="preserve">Als </w:t>
      </w:r>
      <w:r w:rsidRPr="00090442">
        <w:rPr>
          <w:rFonts w:ascii="Arial" w:eastAsia="MinionPro-Regular" w:hAnsi="Arial" w:cs="Arial"/>
          <w:b/>
        </w:rPr>
        <w:t>Primärenergieerzeugung</w:t>
      </w:r>
      <w:r w:rsidRPr="00090442">
        <w:rPr>
          <w:rFonts w:ascii="Arial" w:eastAsia="MinionPro-Regular" w:hAnsi="Arial" w:cs="Arial"/>
        </w:rPr>
        <w:t xml:space="preserve"> wird jede Gewinnung von Energie in nutzbarer Form aus natürlichen Quellen bezeichnet, also die Ausbeutung natürlicher Quellen wie Kohleminen, Rohölfelder und Wasserkraftanlagen bzw. die Erzeugung von Biokraftstoffen. Die Umwandlung der Energie von einer Form in eine andere, z. B. die Strom- bzw. Wärmeerzeugung in Wärmekraftwerken (durch Verbrennung von primären Energiequellen) oder die Koksproduktion in Koksöfen, ist keine Primärerzeugung.</w:t>
      </w:r>
    </w:p>
    <w:p w:rsidR="000F7F77" w:rsidRDefault="000F7F77" w:rsidP="000F7F77">
      <w:pPr>
        <w:autoSpaceDE w:val="0"/>
        <w:rPr>
          <w:rFonts w:ascii="Arial" w:eastAsia="MinionPro-Regular" w:hAnsi="Arial" w:cs="Arial"/>
        </w:rPr>
      </w:pPr>
    </w:p>
    <w:p w:rsidR="000F7F77" w:rsidRDefault="000F7F77" w:rsidP="000F7F77">
      <w:pPr>
        <w:autoSpaceDE w:val="0"/>
        <w:rPr>
          <w:rFonts w:ascii="Arial" w:eastAsia="MinionPro-Regular" w:hAnsi="Arial" w:cs="Arial"/>
        </w:rPr>
      </w:pPr>
      <w:r w:rsidRPr="00867F40">
        <w:rPr>
          <w:rFonts w:ascii="Arial" w:eastAsia="MinionPro-Regular" w:hAnsi="Arial" w:cs="Arial"/>
        </w:rPr>
        <w:t xml:space="preserve">Die </w:t>
      </w:r>
      <w:r w:rsidRPr="00867F40">
        <w:rPr>
          <w:rFonts w:ascii="Arial" w:eastAsia="MinionPro-Regular" w:hAnsi="Arial" w:cs="Arial"/>
          <w:b/>
        </w:rPr>
        <w:t>Energieabhängigkeitsquote</w:t>
      </w:r>
      <w:r w:rsidRPr="00867F40">
        <w:rPr>
          <w:rFonts w:ascii="Arial" w:eastAsia="MinionPro-Regular" w:hAnsi="Arial" w:cs="Arial"/>
        </w:rPr>
        <w:t xml:space="preserve"> gibt den Anteil der Energie an, den eine Volkswirtschaft einführen muss. Die Energieabhängigkeitsquote entspricht den Nettoenergieeinfuhren </w:t>
      </w:r>
      <w:r>
        <w:rPr>
          <w:rFonts w:ascii="Arial" w:eastAsia="MinionPro-Regular" w:hAnsi="Arial" w:cs="Arial"/>
        </w:rPr>
        <w:t>(Gesamteinfuhren minus Gesamtausfuhren)</w:t>
      </w:r>
      <w:r w:rsidRPr="00867F40">
        <w:rPr>
          <w:rFonts w:ascii="Arial" w:eastAsia="MinionPro-Regular" w:hAnsi="Arial" w:cs="Arial"/>
        </w:rPr>
        <w:t xml:space="preserve"> dividiert durch den Bruttoinlandsenergieverbrauch zuzüglich der Energie für de</w:t>
      </w:r>
      <w:r>
        <w:rPr>
          <w:rFonts w:ascii="Arial" w:eastAsia="MinionPro-Regular" w:hAnsi="Arial" w:cs="Arial"/>
        </w:rPr>
        <w:t>n</w:t>
      </w:r>
      <w:r w:rsidRPr="00867F40">
        <w:rPr>
          <w:rFonts w:ascii="Arial" w:eastAsia="MinionPro-Regular" w:hAnsi="Arial" w:cs="Arial"/>
        </w:rPr>
        <w:t xml:space="preserve"> grenzüberschreitende</w:t>
      </w:r>
      <w:r>
        <w:rPr>
          <w:rFonts w:ascii="Arial" w:eastAsia="MinionPro-Regular" w:hAnsi="Arial" w:cs="Arial"/>
        </w:rPr>
        <w:t>n</w:t>
      </w:r>
      <w:r w:rsidRPr="00867F40">
        <w:rPr>
          <w:rFonts w:ascii="Arial" w:eastAsia="MinionPro-Regular" w:hAnsi="Arial" w:cs="Arial"/>
        </w:rPr>
        <w:t xml:space="preserve"> Seeverkehr (Bunker), ausgedrückt in Prozent. Eine negative Abhängigkeitsquote bedeutet, dass das Land Nettoexporteur von E</w:t>
      </w:r>
      <w:r>
        <w:rPr>
          <w:rFonts w:ascii="Arial" w:eastAsia="MinionPro-Regular" w:hAnsi="Arial" w:cs="Arial"/>
        </w:rPr>
        <w:t>nergie ist; Werte von über 100 Prozent</w:t>
      </w:r>
      <w:r w:rsidRPr="00867F40">
        <w:rPr>
          <w:rFonts w:ascii="Arial" w:eastAsia="MinionPro-Regular" w:hAnsi="Arial" w:cs="Arial"/>
        </w:rPr>
        <w:t xml:space="preserve"> ergeben sich, wenn Energieerzeugnisse bevorratet werden.</w:t>
      </w:r>
    </w:p>
    <w:p w:rsidR="000F7F77" w:rsidRDefault="000F7F77" w:rsidP="000F7F77">
      <w:pPr>
        <w:autoSpaceDE w:val="0"/>
        <w:rPr>
          <w:rFonts w:ascii="Arial" w:eastAsia="MinionPro-Regular" w:hAnsi="Arial" w:cs="Arial"/>
        </w:rPr>
      </w:pPr>
    </w:p>
    <w:p w:rsidR="007957B3" w:rsidRDefault="000F7F77" w:rsidP="000F7F77">
      <w:pPr>
        <w:autoSpaceDE w:val="0"/>
        <w:rPr>
          <w:rFonts w:ascii="Arial" w:eastAsia="MinionPro-Regular" w:hAnsi="Arial" w:cs="Arial"/>
        </w:rPr>
      </w:pPr>
      <w:r w:rsidRPr="00074439">
        <w:rPr>
          <w:rFonts w:ascii="Arial" w:eastAsia="MinionPro-Regular" w:hAnsi="Arial" w:cs="Arial"/>
        </w:rPr>
        <w:t>Der </w:t>
      </w:r>
      <w:r w:rsidRPr="00074439">
        <w:rPr>
          <w:rFonts w:ascii="Arial" w:eastAsia="MinionPro-Regular" w:hAnsi="Arial" w:cs="Arial"/>
          <w:b/>
        </w:rPr>
        <w:t>Bruttoinlandsverbrauch an Energie</w:t>
      </w:r>
      <w:r w:rsidR="007C64FC">
        <w:rPr>
          <w:rFonts w:ascii="Arial" w:eastAsia="MinionPro-Regular" w:hAnsi="Arial" w:cs="Arial"/>
          <w:b/>
        </w:rPr>
        <w:t xml:space="preserve"> </w:t>
      </w:r>
      <w:r w:rsidR="007C64FC" w:rsidRPr="007C64FC">
        <w:rPr>
          <w:rFonts w:ascii="Arial" w:eastAsia="MinionPro-Regular" w:hAnsi="Arial" w:cs="Arial"/>
        </w:rPr>
        <w:t>(</w:t>
      </w:r>
      <w:r w:rsidRPr="007C64FC">
        <w:rPr>
          <w:rFonts w:ascii="Arial" w:eastAsia="MinionPro-Regular" w:hAnsi="Arial" w:cs="Arial"/>
        </w:rPr>
        <w:t>verkürzt</w:t>
      </w:r>
      <w:r w:rsidR="006E3B4D">
        <w:rPr>
          <w:rFonts w:ascii="Arial" w:eastAsia="MinionPro-Regular" w:hAnsi="Arial" w:cs="Arial"/>
        </w:rPr>
        <w:t xml:space="preserve">: </w:t>
      </w:r>
      <w:r w:rsidRPr="007C64FC">
        <w:rPr>
          <w:rFonts w:ascii="Arial" w:eastAsia="MinionPro-Regular" w:hAnsi="Arial" w:cs="Arial"/>
        </w:rPr>
        <w:t>Bruttoinlandsverbrauch</w:t>
      </w:r>
      <w:r w:rsidR="007C64FC" w:rsidRPr="007C64FC">
        <w:rPr>
          <w:rFonts w:ascii="Arial" w:eastAsia="MinionPro-Regular" w:hAnsi="Arial" w:cs="Arial"/>
        </w:rPr>
        <w:t xml:space="preserve">) </w:t>
      </w:r>
      <w:r w:rsidRPr="007C64FC">
        <w:rPr>
          <w:rFonts w:ascii="Arial" w:eastAsia="MinionPro-Regular" w:hAnsi="Arial" w:cs="Arial"/>
        </w:rPr>
        <w:t>ist der ge</w:t>
      </w:r>
      <w:r w:rsidRPr="00074439">
        <w:rPr>
          <w:rFonts w:ascii="Arial" w:eastAsia="MinionPro-Regular" w:hAnsi="Arial" w:cs="Arial"/>
        </w:rPr>
        <w:t>samte Energiebedarf eines Landes oder einer Region. Der Wert entspricht der Menge an Energie, die notwendig ist, um den Inlandsverbrauch der betrachteten geografischen Einheit zu decken.</w:t>
      </w:r>
    </w:p>
    <w:p w:rsidR="000F7F77" w:rsidRDefault="000F7F77" w:rsidP="000F7F77">
      <w:pPr>
        <w:autoSpaceDE w:val="0"/>
        <w:rPr>
          <w:rFonts w:ascii="Arial" w:eastAsia="MinionPro-Regular" w:hAnsi="Arial" w:cs="Arial"/>
        </w:rPr>
      </w:pPr>
    </w:p>
    <w:p w:rsidR="00074439" w:rsidRDefault="00074439" w:rsidP="00074439">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5272CD" w:rsidRDefault="00074439" w:rsidP="007957B3">
      <w:r>
        <w:rPr>
          <w:rFonts w:ascii="Arial" w:hAnsi="Arial"/>
          <w:sz w:val="20"/>
          <w:szCs w:val="20"/>
        </w:rPr>
        <w:t xml:space="preserve">Bundeszentrale für politische Bildung 2019 | </w:t>
      </w:r>
      <w:hyperlink r:id="rId10" w:history="1">
        <w:r w:rsidRPr="00595F8B">
          <w:rPr>
            <w:rFonts w:ascii="Arial" w:hAnsi="Arial"/>
            <w:sz w:val="20"/>
            <w:szCs w:val="20"/>
          </w:rPr>
          <w:t>www.bpb.de</w:t>
        </w:r>
      </w:hyperlink>
    </w:p>
    <w:sectPr w:rsidR="005272CD">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PNDJK O+ Demos EF">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nionPro-Regular">
    <w:altName w:val="MS Mincho"/>
    <w:charset w:val="80"/>
    <w:family w:val="roman"/>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81607D"/>
    <w:multiLevelType w:val="multilevel"/>
    <w:tmpl w:val="B41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62D6A"/>
    <w:multiLevelType w:val="multilevel"/>
    <w:tmpl w:val="046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10"/>
    <w:rsid w:val="00016FC1"/>
    <w:rsid w:val="000259EA"/>
    <w:rsid w:val="00074439"/>
    <w:rsid w:val="00087241"/>
    <w:rsid w:val="00090442"/>
    <w:rsid w:val="000D2BE1"/>
    <w:rsid w:val="000E1521"/>
    <w:rsid w:val="000F3A7F"/>
    <w:rsid w:val="000F6870"/>
    <w:rsid w:val="000F7F77"/>
    <w:rsid w:val="00102D7F"/>
    <w:rsid w:val="00154392"/>
    <w:rsid w:val="0016024D"/>
    <w:rsid w:val="00184F63"/>
    <w:rsid w:val="001A7C50"/>
    <w:rsid w:val="001C1446"/>
    <w:rsid w:val="001D1C0A"/>
    <w:rsid w:val="001D3040"/>
    <w:rsid w:val="001E385E"/>
    <w:rsid w:val="00233653"/>
    <w:rsid w:val="00287E9E"/>
    <w:rsid w:val="0029551A"/>
    <w:rsid w:val="002F270B"/>
    <w:rsid w:val="003D0B54"/>
    <w:rsid w:val="003E7010"/>
    <w:rsid w:val="003F2636"/>
    <w:rsid w:val="00400040"/>
    <w:rsid w:val="0046311D"/>
    <w:rsid w:val="00487A4B"/>
    <w:rsid w:val="004A797E"/>
    <w:rsid w:val="004D27AF"/>
    <w:rsid w:val="004D43AF"/>
    <w:rsid w:val="004F6064"/>
    <w:rsid w:val="00526A99"/>
    <w:rsid w:val="005272CD"/>
    <w:rsid w:val="00543E50"/>
    <w:rsid w:val="00567CD4"/>
    <w:rsid w:val="005C1DF9"/>
    <w:rsid w:val="005C3526"/>
    <w:rsid w:val="00615663"/>
    <w:rsid w:val="006248B1"/>
    <w:rsid w:val="0062537D"/>
    <w:rsid w:val="00646B62"/>
    <w:rsid w:val="00662B35"/>
    <w:rsid w:val="0068410B"/>
    <w:rsid w:val="00690C62"/>
    <w:rsid w:val="006B5DFE"/>
    <w:rsid w:val="006C1830"/>
    <w:rsid w:val="006D6581"/>
    <w:rsid w:val="006D7134"/>
    <w:rsid w:val="006E3B4D"/>
    <w:rsid w:val="006E43DE"/>
    <w:rsid w:val="00701F67"/>
    <w:rsid w:val="00721175"/>
    <w:rsid w:val="007253C0"/>
    <w:rsid w:val="00736CB0"/>
    <w:rsid w:val="00742F2A"/>
    <w:rsid w:val="00746D14"/>
    <w:rsid w:val="007957B3"/>
    <w:rsid w:val="007959C5"/>
    <w:rsid w:val="007C64FC"/>
    <w:rsid w:val="007F56D3"/>
    <w:rsid w:val="0084590B"/>
    <w:rsid w:val="00867F40"/>
    <w:rsid w:val="00923BBD"/>
    <w:rsid w:val="009275CF"/>
    <w:rsid w:val="009376F0"/>
    <w:rsid w:val="0094447B"/>
    <w:rsid w:val="009F041F"/>
    <w:rsid w:val="00A02407"/>
    <w:rsid w:val="00A1235F"/>
    <w:rsid w:val="00A1799C"/>
    <w:rsid w:val="00A963CB"/>
    <w:rsid w:val="00AC38E7"/>
    <w:rsid w:val="00B11F81"/>
    <w:rsid w:val="00B47262"/>
    <w:rsid w:val="00B56EFB"/>
    <w:rsid w:val="00B759D9"/>
    <w:rsid w:val="00BA33EA"/>
    <w:rsid w:val="00BA5C92"/>
    <w:rsid w:val="00BC5C72"/>
    <w:rsid w:val="00BC70D6"/>
    <w:rsid w:val="00BD5BDA"/>
    <w:rsid w:val="00BE3DA6"/>
    <w:rsid w:val="00C0112C"/>
    <w:rsid w:val="00C14B53"/>
    <w:rsid w:val="00C2484C"/>
    <w:rsid w:val="00C4536D"/>
    <w:rsid w:val="00C56E85"/>
    <w:rsid w:val="00C82B64"/>
    <w:rsid w:val="00CA6812"/>
    <w:rsid w:val="00CC129C"/>
    <w:rsid w:val="00CD2D0F"/>
    <w:rsid w:val="00CD32D9"/>
    <w:rsid w:val="00D0369B"/>
    <w:rsid w:val="00D23A26"/>
    <w:rsid w:val="00D60202"/>
    <w:rsid w:val="00D742BB"/>
    <w:rsid w:val="00D82048"/>
    <w:rsid w:val="00D9171E"/>
    <w:rsid w:val="00DE0B7A"/>
    <w:rsid w:val="00E63F20"/>
    <w:rsid w:val="00E71D12"/>
    <w:rsid w:val="00EE2801"/>
    <w:rsid w:val="00F02392"/>
    <w:rsid w:val="00F4298A"/>
    <w:rsid w:val="00F653DE"/>
    <w:rsid w:val="00FC19FD"/>
    <w:rsid w:val="00FE1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Standard"/>
    <w:link w:val="berschrift3Zchn"/>
    <w:uiPriority w:val="9"/>
    <w:unhideWhenUsed/>
    <w:qFormat/>
    <w:rsid w:val="003D0B5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customStyle="1" w:styleId="Default">
    <w:name w:val="Default"/>
    <w:pPr>
      <w:suppressAutoHyphens/>
      <w:autoSpaceDE w:val="0"/>
    </w:pPr>
    <w:rPr>
      <w:rFonts w:ascii="PNDJK O+ Demos EF" w:eastAsia="Arial" w:hAnsi="PNDJK O+ Demos EF" w:cs="PNDJK O+ Demos EF"/>
      <w:color w:val="000000"/>
      <w:sz w:val="24"/>
      <w:szCs w:val="24"/>
      <w:lang w:eastAsia="ar-SA"/>
    </w:rPr>
  </w:style>
  <w:style w:type="paragraph" w:styleId="Sprechblasentext">
    <w:name w:val="Balloon Text"/>
    <w:basedOn w:val="Standard"/>
    <w:rPr>
      <w:rFonts w:ascii="Tahoma" w:hAnsi="Tahoma" w:cs="Tahoma"/>
      <w:sz w:val="16"/>
      <w:szCs w:val="16"/>
    </w:rPr>
  </w:style>
  <w:style w:type="character" w:customStyle="1" w:styleId="berschrift3Zchn">
    <w:name w:val="Überschrift 3 Zchn"/>
    <w:basedOn w:val="Absatz-Standardschriftart"/>
    <w:link w:val="berschrift3"/>
    <w:uiPriority w:val="9"/>
    <w:rsid w:val="003D0B54"/>
    <w:rPr>
      <w:rFonts w:asciiTheme="majorHAnsi" w:eastAsiaTheme="majorEastAsia" w:hAnsiTheme="majorHAnsi" w:cstheme="majorBidi"/>
      <w:b/>
      <w:bCs/>
      <w:color w:val="4F81BD" w:themeColor="accent1"/>
      <w:sz w:val="24"/>
      <w:szCs w:val="24"/>
      <w:lang w:eastAsia="ar-SA"/>
    </w:rPr>
  </w:style>
  <w:style w:type="character" w:customStyle="1" w:styleId="mw-headline">
    <w:name w:val="mw-headline"/>
    <w:basedOn w:val="Absatz-Standardschriftart"/>
    <w:rsid w:val="003D0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3">
    <w:name w:val="heading 3"/>
    <w:basedOn w:val="Standard"/>
    <w:next w:val="Standard"/>
    <w:link w:val="berschrift3Zchn"/>
    <w:uiPriority w:val="9"/>
    <w:unhideWhenUsed/>
    <w:qFormat/>
    <w:rsid w:val="003D0B5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customStyle="1" w:styleId="Default">
    <w:name w:val="Default"/>
    <w:pPr>
      <w:suppressAutoHyphens/>
      <w:autoSpaceDE w:val="0"/>
    </w:pPr>
    <w:rPr>
      <w:rFonts w:ascii="PNDJK O+ Demos EF" w:eastAsia="Arial" w:hAnsi="PNDJK O+ Demos EF" w:cs="PNDJK O+ Demos EF"/>
      <w:color w:val="000000"/>
      <w:sz w:val="24"/>
      <w:szCs w:val="24"/>
      <w:lang w:eastAsia="ar-SA"/>
    </w:rPr>
  </w:style>
  <w:style w:type="paragraph" w:styleId="Sprechblasentext">
    <w:name w:val="Balloon Text"/>
    <w:basedOn w:val="Standard"/>
    <w:rPr>
      <w:rFonts w:ascii="Tahoma" w:hAnsi="Tahoma" w:cs="Tahoma"/>
      <w:sz w:val="16"/>
      <w:szCs w:val="16"/>
    </w:rPr>
  </w:style>
  <w:style w:type="character" w:customStyle="1" w:styleId="berschrift3Zchn">
    <w:name w:val="Überschrift 3 Zchn"/>
    <w:basedOn w:val="Absatz-Standardschriftart"/>
    <w:link w:val="berschrift3"/>
    <w:uiPriority w:val="9"/>
    <w:rsid w:val="003D0B54"/>
    <w:rPr>
      <w:rFonts w:asciiTheme="majorHAnsi" w:eastAsiaTheme="majorEastAsia" w:hAnsiTheme="majorHAnsi" w:cstheme="majorBidi"/>
      <w:b/>
      <w:bCs/>
      <w:color w:val="4F81BD" w:themeColor="accent1"/>
      <w:sz w:val="24"/>
      <w:szCs w:val="24"/>
      <w:lang w:eastAsia="ar-SA"/>
    </w:rPr>
  </w:style>
  <w:style w:type="character" w:customStyle="1" w:styleId="mw-headline">
    <w:name w:val="mw-headline"/>
    <w:basedOn w:val="Absatz-Standardschriftart"/>
    <w:rsid w:val="003D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8044">
      <w:bodyDiv w:val="1"/>
      <w:marLeft w:val="0"/>
      <w:marRight w:val="0"/>
      <w:marTop w:val="0"/>
      <w:marBottom w:val="0"/>
      <w:divBdr>
        <w:top w:val="none" w:sz="0" w:space="0" w:color="auto"/>
        <w:left w:val="none" w:sz="0" w:space="0" w:color="auto"/>
        <w:bottom w:val="none" w:sz="0" w:space="0" w:color="auto"/>
        <w:right w:val="none" w:sz="0" w:space="0" w:color="auto"/>
      </w:divBdr>
    </w:div>
    <w:div w:id="716785994">
      <w:bodyDiv w:val="1"/>
      <w:marLeft w:val="0"/>
      <w:marRight w:val="0"/>
      <w:marTop w:val="0"/>
      <w:marBottom w:val="0"/>
      <w:divBdr>
        <w:top w:val="none" w:sz="0" w:space="0" w:color="auto"/>
        <w:left w:val="none" w:sz="0" w:space="0" w:color="auto"/>
        <w:bottom w:val="none" w:sz="0" w:space="0" w:color="auto"/>
        <w:right w:val="none" w:sz="0" w:space="0" w:color="auto"/>
      </w:divBdr>
    </w:div>
    <w:div w:id="717389376">
      <w:bodyDiv w:val="1"/>
      <w:marLeft w:val="0"/>
      <w:marRight w:val="0"/>
      <w:marTop w:val="0"/>
      <w:marBottom w:val="0"/>
      <w:divBdr>
        <w:top w:val="none" w:sz="0" w:space="0" w:color="auto"/>
        <w:left w:val="none" w:sz="0" w:space="0" w:color="auto"/>
        <w:bottom w:val="none" w:sz="0" w:space="0" w:color="auto"/>
        <w:right w:val="none" w:sz="0" w:space="0" w:color="auto"/>
      </w:divBdr>
    </w:div>
    <w:div w:id="868493678">
      <w:bodyDiv w:val="1"/>
      <w:marLeft w:val="0"/>
      <w:marRight w:val="0"/>
      <w:marTop w:val="0"/>
      <w:marBottom w:val="0"/>
      <w:divBdr>
        <w:top w:val="none" w:sz="0" w:space="0" w:color="auto"/>
        <w:left w:val="none" w:sz="0" w:space="0" w:color="auto"/>
        <w:bottom w:val="none" w:sz="0" w:space="0" w:color="auto"/>
        <w:right w:val="none" w:sz="0" w:space="0" w:color="auto"/>
      </w:divBdr>
    </w:div>
    <w:div w:id="1019090984">
      <w:bodyDiv w:val="1"/>
      <w:marLeft w:val="0"/>
      <w:marRight w:val="0"/>
      <w:marTop w:val="0"/>
      <w:marBottom w:val="0"/>
      <w:divBdr>
        <w:top w:val="none" w:sz="0" w:space="0" w:color="auto"/>
        <w:left w:val="none" w:sz="0" w:space="0" w:color="auto"/>
        <w:bottom w:val="none" w:sz="0" w:space="0" w:color="auto"/>
        <w:right w:val="none" w:sz="0" w:space="0" w:color="auto"/>
      </w:divBdr>
    </w:div>
    <w:div w:id="1186556889">
      <w:bodyDiv w:val="1"/>
      <w:marLeft w:val="0"/>
      <w:marRight w:val="0"/>
      <w:marTop w:val="0"/>
      <w:marBottom w:val="0"/>
      <w:divBdr>
        <w:top w:val="none" w:sz="0" w:space="0" w:color="auto"/>
        <w:left w:val="none" w:sz="0" w:space="0" w:color="auto"/>
        <w:bottom w:val="none" w:sz="0" w:space="0" w:color="auto"/>
        <w:right w:val="none" w:sz="0" w:space="0" w:color="auto"/>
      </w:divBdr>
    </w:div>
    <w:div w:id="14635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239756"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bpb.de/1358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pb.de" TargetMode="External"/><Relationship Id="rId4" Type="http://schemas.microsoft.com/office/2007/relationships/stylesWithEffects" Target="stylesWithEffect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97D3-D356-42B6-86F0-251DE808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6134</CharactersWithSpaces>
  <SharedDoc>false</SharedDoc>
  <HLinks>
    <vt:vector size="6" baseType="variant">
      <vt:variant>
        <vt:i4>4849787</vt:i4>
      </vt:variant>
      <vt:variant>
        <vt:i4>0</vt:i4>
      </vt:variant>
      <vt:variant>
        <vt:i4>0</vt:i4>
      </vt:variant>
      <vt:variant>
        <vt:i4>5</vt:i4>
      </vt:variant>
      <vt:variant>
        <vt:lpwstr>https://ec.europa.eu/eurostat/tgm/table.do?tab=table&amp;init=1&amp;language=de&amp;pcode=t2020_rd320&amp;plugin=1&amp;tableSelection=1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11</cp:revision>
  <cp:lastPrinted>1900-12-31T22:00:00Z</cp:lastPrinted>
  <dcterms:created xsi:type="dcterms:W3CDTF">2019-05-03T21:40:00Z</dcterms:created>
  <dcterms:modified xsi:type="dcterms:W3CDTF">2019-06-24T12:24:00Z</dcterms:modified>
</cp:coreProperties>
</file>