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038D2" w14:textId="77777777" w:rsidR="00BB19AF" w:rsidRPr="00F9654E" w:rsidRDefault="00BB19AF" w:rsidP="00F9654E">
      <w:pPr>
        <w:pStyle w:val="Listenabsatz"/>
        <w:numPr>
          <w:ilvl w:val="0"/>
          <w:numId w:val="2"/>
        </w:numPr>
        <w:rPr>
          <w:rFonts w:ascii="Arial" w:hAnsi="Arial"/>
          <w:b/>
        </w:rPr>
      </w:pPr>
      <w:bookmarkStart w:id="0" w:name="_GoBack"/>
      <w:bookmarkEnd w:id="0"/>
      <w:r>
        <w:rPr>
          <w:rFonts w:ascii="Arial" w:hAnsi="Arial"/>
          <w:b/>
        </w:rPr>
        <w:t xml:space="preserve">Nach wie vor ist </w:t>
      </w:r>
      <w:r w:rsidR="002C39F5" w:rsidRPr="00BB19AF">
        <w:rPr>
          <w:rFonts w:ascii="Arial" w:hAnsi="Arial"/>
          <w:b/>
        </w:rPr>
        <w:t>Öl der wichtigste Energieträger, Transport und Transportkosten</w:t>
      </w:r>
      <w:r w:rsidR="000357D8" w:rsidRPr="00BB19AF">
        <w:rPr>
          <w:rFonts w:ascii="Arial" w:hAnsi="Arial"/>
          <w:b/>
        </w:rPr>
        <w:t xml:space="preserve"> </w:t>
      </w:r>
      <w:r w:rsidR="002C39F5" w:rsidRPr="00BB19AF">
        <w:rPr>
          <w:rFonts w:ascii="Arial" w:hAnsi="Arial"/>
          <w:b/>
        </w:rPr>
        <w:t>hängen vom Rohöl bzw. Rohölpreis ab</w:t>
      </w:r>
      <w:r>
        <w:rPr>
          <w:rFonts w:ascii="Arial" w:hAnsi="Arial"/>
          <w:b/>
        </w:rPr>
        <w:t>.</w:t>
      </w:r>
    </w:p>
    <w:p w14:paraId="50B0A8A1" w14:textId="77777777" w:rsidR="00F9654E" w:rsidRPr="00F9654E" w:rsidRDefault="00F9654E" w:rsidP="00F9654E">
      <w:pPr>
        <w:pStyle w:val="Listenabsatz"/>
        <w:rPr>
          <w:rFonts w:ascii="Arial" w:hAnsi="Arial"/>
          <w:b/>
        </w:rPr>
      </w:pPr>
    </w:p>
    <w:p w14:paraId="24420840" w14:textId="77777777" w:rsidR="00BB19AF" w:rsidRPr="00F9654E" w:rsidRDefault="00BB19AF" w:rsidP="00F9654E">
      <w:pPr>
        <w:pStyle w:val="Listenabsatz"/>
        <w:numPr>
          <w:ilvl w:val="0"/>
          <w:numId w:val="2"/>
        </w:numPr>
        <w:rPr>
          <w:rFonts w:ascii="Arial" w:hAnsi="Arial"/>
          <w:b/>
        </w:rPr>
      </w:pPr>
      <w:r>
        <w:rPr>
          <w:rFonts w:ascii="Arial" w:hAnsi="Arial"/>
          <w:b/>
        </w:rPr>
        <w:t>D</w:t>
      </w:r>
      <w:r w:rsidR="002C39F5" w:rsidRPr="00BB19AF">
        <w:rPr>
          <w:rFonts w:ascii="Arial" w:hAnsi="Arial"/>
          <w:b/>
        </w:rPr>
        <w:t xml:space="preserve">ie Preise für Kohle und Erdgas haben sich lange parallel zum </w:t>
      </w:r>
      <w:r w:rsidR="009B12DE" w:rsidRPr="00BB19AF">
        <w:rPr>
          <w:rFonts w:ascii="Arial" w:hAnsi="Arial"/>
          <w:b/>
        </w:rPr>
        <w:t>Ö</w:t>
      </w:r>
      <w:r w:rsidR="002C39F5" w:rsidRPr="00BB19AF">
        <w:rPr>
          <w:rFonts w:ascii="Arial" w:hAnsi="Arial"/>
          <w:b/>
        </w:rPr>
        <w:t>lpreis entwickelt.</w:t>
      </w:r>
    </w:p>
    <w:p w14:paraId="144337F9" w14:textId="77777777" w:rsidR="00F9654E" w:rsidRPr="00F9654E" w:rsidRDefault="00F9654E" w:rsidP="00F9654E">
      <w:pPr>
        <w:pStyle w:val="Listenabsatz"/>
        <w:rPr>
          <w:rFonts w:ascii="Arial" w:hAnsi="Arial"/>
          <w:b/>
        </w:rPr>
      </w:pPr>
    </w:p>
    <w:p w14:paraId="71C71230" w14:textId="77777777" w:rsidR="002C39F5" w:rsidRPr="00BB19AF" w:rsidRDefault="00FD4B3E" w:rsidP="00F9654E">
      <w:pPr>
        <w:pStyle w:val="Listenabsatz"/>
        <w:numPr>
          <w:ilvl w:val="0"/>
          <w:numId w:val="2"/>
        </w:numPr>
        <w:rPr>
          <w:rFonts w:ascii="Arial" w:hAnsi="Arial"/>
          <w:b/>
          <w:i/>
        </w:rPr>
      </w:pPr>
      <w:r w:rsidRPr="00BB19AF">
        <w:rPr>
          <w:rFonts w:ascii="Arial" w:hAnsi="Arial"/>
          <w:b/>
        </w:rPr>
        <w:t>D</w:t>
      </w:r>
      <w:r w:rsidR="002C39F5" w:rsidRPr="00BB19AF">
        <w:rPr>
          <w:rFonts w:ascii="Arial" w:hAnsi="Arial"/>
          <w:b/>
        </w:rPr>
        <w:t>ie Phase real sinkender Rohölpreise von 1980 bis 1998 hat den Prozess der Globalisierung beschleunigt. Denn niedrige Energie</w:t>
      </w:r>
      <w:r w:rsidRPr="00BB19AF">
        <w:rPr>
          <w:rFonts w:ascii="Arial" w:hAnsi="Arial"/>
          <w:b/>
        </w:rPr>
        <w:t>- und Transportkosten sorgen für steigende Wachstumsraten, begünstigen den Warenhandel und sind somit eine wichtige Vor</w:t>
      </w:r>
      <w:r w:rsidR="002C39F5" w:rsidRPr="00BB19AF">
        <w:rPr>
          <w:rFonts w:ascii="Arial" w:hAnsi="Arial"/>
          <w:b/>
        </w:rPr>
        <w:t xml:space="preserve">aussetzung für die Umsetzung </w:t>
      </w:r>
      <w:r w:rsidRPr="00BB19AF">
        <w:rPr>
          <w:rFonts w:ascii="Arial" w:hAnsi="Arial"/>
          <w:b/>
        </w:rPr>
        <w:t xml:space="preserve">globaler </w:t>
      </w:r>
      <w:r w:rsidR="002C39F5" w:rsidRPr="00BB19AF">
        <w:rPr>
          <w:rFonts w:ascii="Arial" w:hAnsi="Arial"/>
          <w:b/>
        </w:rPr>
        <w:t>Unternehmensstrategie</w:t>
      </w:r>
      <w:r w:rsidRPr="00BB19AF">
        <w:rPr>
          <w:rFonts w:ascii="Arial" w:hAnsi="Arial"/>
          <w:b/>
        </w:rPr>
        <w:t>n.</w:t>
      </w:r>
    </w:p>
    <w:p w14:paraId="7D11A742" w14:textId="77777777" w:rsidR="004053F0" w:rsidRDefault="004053F0">
      <w:pPr>
        <w:rPr>
          <w:rFonts w:ascii="Arial" w:hAnsi="Arial"/>
          <w:b/>
        </w:rPr>
      </w:pPr>
    </w:p>
    <w:p w14:paraId="294A7781" w14:textId="77777777" w:rsidR="00711D81" w:rsidRDefault="00711D81">
      <w:pPr>
        <w:rPr>
          <w:rFonts w:ascii="Arial" w:hAnsi="Arial"/>
          <w:color w:val="FF0000"/>
        </w:rPr>
      </w:pPr>
      <w:r>
        <w:rPr>
          <w:rFonts w:ascii="Arial" w:hAnsi="Arial"/>
          <w:color w:val="FF0000"/>
        </w:rPr>
        <w:t>Fakten</w:t>
      </w:r>
    </w:p>
    <w:p w14:paraId="28D75254" w14:textId="77777777" w:rsidR="00711D81" w:rsidRPr="00332B90" w:rsidRDefault="00711D81">
      <w:pPr>
        <w:rPr>
          <w:rFonts w:ascii="Arial" w:hAnsi="Arial"/>
        </w:rPr>
      </w:pPr>
    </w:p>
    <w:p w14:paraId="677E1869" w14:textId="77777777" w:rsidR="00711D81" w:rsidRDefault="00711D81">
      <w:pPr>
        <w:rPr>
          <w:rFonts w:ascii="Arial" w:hAnsi="Arial"/>
        </w:rPr>
      </w:pPr>
      <w:r w:rsidRPr="00332B90">
        <w:rPr>
          <w:rFonts w:ascii="Arial" w:hAnsi="Arial"/>
        </w:rPr>
        <w:t xml:space="preserve">Um die Entwicklung der Energiekosten zu erfassen, bietet sich eine Betrachtung des Rohölpreises an. </w:t>
      </w:r>
      <w:r w:rsidR="00DA398E" w:rsidRPr="00332B90">
        <w:rPr>
          <w:rFonts w:ascii="Arial" w:hAnsi="Arial"/>
        </w:rPr>
        <w:t>Ö</w:t>
      </w:r>
      <w:r w:rsidRPr="00332B90">
        <w:rPr>
          <w:rFonts w:ascii="Arial" w:hAnsi="Arial"/>
        </w:rPr>
        <w:t xml:space="preserve">l </w:t>
      </w:r>
      <w:r w:rsidR="009211AF" w:rsidRPr="00332B90">
        <w:rPr>
          <w:rFonts w:ascii="Arial" w:hAnsi="Arial"/>
        </w:rPr>
        <w:t xml:space="preserve">ist </w:t>
      </w:r>
      <w:r w:rsidR="00F54EF4" w:rsidRPr="00332B90">
        <w:rPr>
          <w:rFonts w:ascii="Arial" w:hAnsi="Arial"/>
        </w:rPr>
        <w:t xml:space="preserve">immer noch </w:t>
      </w:r>
      <w:r w:rsidR="009211AF" w:rsidRPr="00332B90">
        <w:rPr>
          <w:rFonts w:ascii="Arial" w:hAnsi="Arial"/>
        </w:rPr>
        <w:t>der wichtigste Energieträger (bezogen auf den Anteil an der Primärenergie-Versorgung)</w:t>
      </w:r>
      <w:r w:rsidRPr="00332B90">
        <w:rPr>
          <w:rFonts w:ascii="Arial" w:hAnsi="Arial"/>
        </w:rPr>
        <w:t>, Transport und Transportkosten hängen</w:t>
      </w:r>
      <w:r w:rsidR="006A46F4">
        <w:rPr>
          <w:rFonts w:ascii="Arial" w:hAnsi="Arial"/>
        </w:rPr>
        <w:t xml:space="preserve"> unter anderem</w:t>
      </w:r>
      <w:r w:rsidRPr="00332B90">
        <w:rPr>
          <w:rFonts w:ascii="Arial" w:hAnsi="Arial"/>
        </w:rPr>
        <w:t xml:space="preserve"> vom Rohöl bzw. Rohölpreis ab und der Erdgaspreis </w:t>
      </w:r>
      <w:r w:rsidR="005D2290" w:rsidRPr="00332B90">
        <w:rPr>
          <w:rFonts w:ascii="Arial" w:hAnsi="Arial"/>
        </w:rPr>
        <w:t xml:space="preserve">war lange Zeit </w:t>
      </w:r>
      <w:r w:rsidRPr="00332B90">
        <w:rPr>
          <w:rFonts w:ascii="Arial" w:hAnsi="Arial"/>
        </w:rPr>
        <w:t xml:space="preserve">an den Erdölpreis gekoppelt. Zudem hat sich der Preis für Kohle, weltweit der zweitwichtigste Energieträger, </w:t>
      </w:r>
      <w:r w:rsidR="006B3CD5" w:rsidRPr="00332B90">
        <w:rPr>
          <w:rFonts w:ascii="Arial" w:hAnsi="Arial"/>
        </w:rPr>
        <w:t xml:space="preserve">über </w:t>
      </w:r>
      <w:r w:rsidR="009211AF" w:rsidRPr="00332B90">
        <w:rPr>
          <w:rFonts w:ascii="Arial" w:hAnsi="Arial"/>
        </w:rPr>
        <w:t xml:space="preserve">Jahrzehnte </w:t>
      </w:r>
      <w:r w:rsidRPr="00332B90">
        <w:rPr>
          <w:rFonts w:ascii="Arial" w:hAnsi="Arial"/>
        </w:rPr>
        <w:t>weitgehend parallel zum Rohölpreis entwickelt.</w:t>
      </w:r>
    </w:p>
    <w:p w14:paraId="6B7B6150" w14:textId="77777777" w:rsidR="00E06186" w:rsidRDefault="00E06186">
      <w:pPr>
        <w:rPr>
          <w:rFonts w:ascii="Arial" w:hAnsi="Arial"/>
        </w:rPr>
      </w:pPr>
    </w:p>
    <w:p w14:paraId="77512CD9" w14:textId="77777777" w:rsidR="00D701F9" w:rsidRDefault="00E06186">
      <w:pPr>
        <w:rPr>
          <w:rFonts w:ascii="Arial" w:hAnsi="Arial"/>
        </w:rPr>
      </w:pPr>
      <w:r>
        <w:rPr>
          <w:rFonts w:ascii="Arial" w:hAnsi="Arial"/>
        </w:rPr>
        <w:t>D</w:t>
      </w:r>
      <w:r w:rsidR="00711D81" w:rsidRPr="00E119DE">
        <w:rPr>
          <w:rFonts w:ascii="Arial" w:hAnsi="Arial"/>
        </w:rPr>
        <w:t>er Rohölpreis schwankte in den vergangenen 1</w:t>
      </w:r>
      <w:r w:rsidR="007F14BC">
        <w:rPr>
          <w:rFonts w:ascii="Arial" w:hAnsi="Arial"/>
        </w:rPr>
        <w:t>60</w:t>
      </w:r>
      <w:r w:rsidR="00711D81" w:rsidRPr="00E119DE">
        <w:rPr>
          <w:rFonts w:ascii="Arial" w:hAnsi="Arial"/>
        </w:rPr>
        <w:t xml:space="preserve"> Jahren erheblich. Die</w:t>
      </w:r>
      <w:r w:rsidR="00DA398E" w:rsidRPr="00E119DE">
        <w:rPr>
          <w:rFonts w:ascii="Arial" w:hAnsi="Arial"/>
        </w:rPr>
        <w:t xml:space="preserve"> Schwankungen hatten sowohl ökonomische als auch </w:t>
      </w:r>
      <w:r w:rsidR="00711D81" w:rsidRPr="00E119DE">
        <w:rPr>
          <w:rFonts w:ascii="Arial" w:hAnsi="Arial"/>
        </w:rPr>
        <w:t xml:space="preserve">politische Ursachen. Von </w:t>
      </w:r>
      <w:r w:rsidR="007F14BC">
        <w:rPr>
          <w:rFonts w:ascii="Arial" w:hAnsi="Arial"/>
        </w:rPr>
        <w:t xml:space="preserve">Anfang der </w:t>
      </w:r>
      <w:r w:rsidR="00711D81" w:rsidRPr="00E119DE">
        <w:rPr>
          <w:rFonts w:ascii="Arial" w:hAnsi="Arial"/>
        </w:rPr>
        <w:t>1860</w:t>
      </w:r>
      <w:r w:rsidR="007F14BC">
        <w:rPr>
          <w:rFonts w:ascii="Arial" w:hAnsi="Arial"/>
        </w:rPr>
        <w:t>er-Jahre</w:t>
      </w:r>
      <w:r w:rsidR="00711D81" w:rsidRPr="00E119DE">
        <w:rPr>
          <w:rFonts w:ascii="Arial" w:hAnsi="Arial"/>
        </w:rPr>
        <w:t xml:space="preserve"> bis </w:t>
      </w:r>
      <w:r w:rsidR="007F14BC">
        <w:rPr>
          <w:rFonts w:ascii="Arial" w:hAnsi="Arial"/>
        </w:rPr>
        <w:t xml:space="preserve">Ende der </w:t>
      </w:r>
      <w:r w:rsidR="00711D81" w:rsidRPr="00E119DE">
        <w:rPr>
          <w:rFonts w:ascii="Arial" w:hAnsi="Arial"/>
        </w:rPr>
        <w:t>19</w:t>
      </w:r>
      <w:r w:rsidR="007F14BC">
        <w:rPr>
          <w:rFonts w:ascii="Arial" w:hAnsi="Arial"/>
        </w:rPr>
        <w:t>6</w:t>
      </w:r>
      <w:r w:rsidR="00711D81" w:rsidRPr="00E119DE">
        <w:rPr>
          <w:rFonts w:ascii="Arial" w:hAnsi="Arial"/>
        </w:rPr>
        <w:t>0</w:t>
      </w:r>
      <w:r w:rsidR="007F14BC">
        <w:rPr>
          <w:rFonts w:ascii="Arial" w:hAnsi="Arial"/>
        </w:rPr>
        <w:t>er-Jahre</w:t>
      </w:r>
      <w:r w:rsidR="00711D81" w:rsidRPr="00E119DE">
        <w:rPr>
          <w:rFonts w:ascii="Arial" w:hAnsi="Arial"/>
        </w:rPr>
        <w:t xml:space="preserve"> ist der Rohölpreis (US-Dollar pro Barrel) tendenziell gefallen.</w:t>
      </w:r>
      <w:r>
        <w:rPr>
          <w:rFonts w:ascii="Arial" w:hAnsi="Arial"/>
        </w:rPr>
        <w:t xml:space="preserve"> </w:t>
      </w:r>
      <w:r w:rsidR="00711D81" w:rsidRPr="008125BD">
        <w:rPr>
          <w:rFonts w:ascii="Arial" w:hAnsi="Arial"/>
        </w:rPr>
        <w:t xml:space="preserve">Erst </w:t>
      </w:r>
      <w:r w:rsidR="001F73EA" w:rsidRPr="008125BD">
        <w:rPr>
          <w:rFonts w:ascii="Arial" w:hAnsi="Arial"/>
        </w:rPr>
        <w:t xml:space="preserve">mit dem </w:t>
      </w:r>
      <w:r w:rsidR="00711D81" w:rsidRPr="008125BD">
        <w:rPr>
          <w:rFonts w:ascii="Arial" w:hAnsi="Arial"/>
        </w:rPr>
        <w:t xml:space="preserve">Ölpreisschock in den 1970er-Jahren kehrte </w:t>
      </w:r>
      <w:r w:rsidR="001F73EA" w:rsidRPr="008125BD">
        <w:rPr>
          <w:rFonts w:ascii="Arial" w:hAnsi="Arial"/>
        </w:rPr>
        <w:t xml:space="preserve">sich dieser </w:t>
      </w:r>
      <w:r w:rsidR="00711D81" w:rsidRPr="008125BD">
        <w:rPr>
          <w:rFonts w:ascii="Arial" w:hAnsi="Arial"/>
        </w:rPr>
        <w:t>Trend massiv um</w:t>
      </w:r>
      <w:r w:rsidR="00CA76D1" w:rsidRPr="008125BD">
        <w:rPr>
          <w:rFonts w:ascii="Arial" w:hAnsi="Arial"/>
        </w:rPr>
        <w:t>:</w:t>
      </w:r>
      <w:r w:rsidR="00D701F9" w:rsidRPr="008125BD">
        <w:rPr>
          <w:rFonts w:ascii="Arial" w:hAnsi="Arial"/>
        </w:rPr>
        <w:t xml:space="preserve"> </w:t>
      </w:r>
      <w:r w:rsidR="00711D81" w:rsidRPr="008125BD">
        <w:rPr>
          <w:rFonts w:ascii="Arial" w:hAnsi="Arial"/>
        </w:rPr>
        <w:t xml:space="preserve">Von 1970 bis 1980 stieg der Ölpreis um rund </w:t>
      </w:r>
      <w:r w:rsidR="007F14BC" w:rsidRPr="008125BD">
        <w:rPr>
          <w:rFonts w:ascii="Arial" w:hAnsi="Arial"/>
        </w:rPr>
        <w:t>1.80</w:t>
      </w:r>
      <w:r w:rsidR="00711D81" w:rsidRPr="008125BD">
        <w:rPr>
          <w:rFonts w:ascii="Arial" w:hAnsi="Arial"/>
        </w:rPr>
        <w:t>0 Prozent</w:t>
      </w:r>
      <w:r w:rsidR="008125BD" w:rsidRPr="008125BD">
        <w:rPr>
          <w:rFonts w:ascii="Arial" w:hAnsi="Arial"/>
        </w:rPr>
        <w:t>. Die reale Preissteigerung lag bei rund 780 Prozent.</w:t>
      </w:r>
    </w:p>
    <w:p w14:paraId="00328B87" w14:textId="77777777" w:rsidR="00E06186" w:rsidRDefault="00E06186">
      <w:pPr>
        <w:rPr>
          <w:rFonts w:ascii="Arial" w:hAnsi="Arial"/>
        </w:rPr>
      </w:pPr>
    </w:p>
    <w:p w14:paraId="2E1F75E9" w14:textId="43AA1257" w:rsidR="001A053B" w:rsidRDefault="00711D81">
      <w:pPr>
        <w:rPr>
          <w:rFonts w:ascii="Arial" w:hAnsi="Arial"/>
        </w:rPr>
      </w:pPr>
      <w:r w:rsidRPr="00D25C61">
        <w:rPr>
          <w:rFonts w:ascii="Arial" w:hAnsi="Arial"/>
        </w:rPr>
        <w:t>Die sich anschließende Phase real sinkender Rohölpreise von 1980 bis 1998 hat den Prozess der Globalisierung beschleunigt. Denn</w:t>
      </w:r>
      <w:r w:rsidR="00EE5ECB">
        <w:rPr>
          <w:rFonts w:ascii="Arial" w:hAnsi="Arial"/>
        </w:rPr>
        <w:t xml:space="preserve"> erst mit</w:t>
      </w:r>
      <w:r w:rsidRPr="00D25C61">
        <w:rPr>
          <w:rFonts w:ascii="Arial" w:hAnsi="Arial"/>
        </w:rPr>
        <w:t xml:space="preserve"> niedrige</w:t>
      </w:r>
      <w:r w:rsidR="00A1769E">
        <w:rPr>
          <w:rFonts w:ascii="Arial" w:hAnsi="Arial"/>
        </w:rPr>
        <w:t>n</w:t>
      </w:r>
      <w:r w:rsidRPr="00D25C61">
        <w:rPr>
          <w:rFonts w:ascii="Arial" w:hAnsi="Arial"/>
        </w:rPr>
        <w:t xml:space="preserve"> Energiepreise</w:t>
      </w:r>
      <w:r w:rsidR="00A1769E">
        <w:rPr>
          <w:rFonts w:ascii="Arial" w:hAnsi="Arial"/>
        </w:rPr>
        <w:t>n</w:t>
      </w:r>
      <w:r w:rsidRPr="00D25C61">
        <w:rPr>
          <w:rFonts w:ascii="Arial" w:hAnsi="Arial"/>
        </w:rPr>
        <w:t xml:space="preserve"> kann die theoretische Annahme, dass alle Regionen der Welt als potenzielle Orte der Produktion und des Absatzes in Betracht gezogen werden, in die Praxis umgesetzt werden. </w:t>
      </w:r>
      <w:r w:rsidR="001324A5" w:rsidRPr="00D25C61">
        <w:rPr>
          <w:rFonts w:ascii="Arial" w:hAnsi="Arial"/>
        </w:rPr>
        <w:t xml:space="preserve">Anders formuliert sind niedrige </w:t>
      </w:r>
      <w:r w:rsidR="001A053B">
        <w:rPr>
          <w:rFonts w:ascii="Arial" w:hAnsi="Arial"/>
        </w:rPr>
        <w:t xml:space="preserve">Produktions- und </w:t>
      </w:r>
      <w:r w:rsidR="001324A5" w:rsidRPr="00D25C61">
        <w:rPr>
          <w:rFonts w:ascii="Arial" w:hAnsi="Arial"/>
        </w:rPr>
        <w:t xml:space="preserve">Transportkosten eine wichtige Voraussetzung für die Umsetzung der </w:t>
      </w:r>
      <w:r w:rsidRPr="00D25C61">
        <w:rPr>
          <w:rFonts w:ascii="Arial" w:hAnsi="Arial"/>
        </w:rPr>
        <w:t xml:space="preserve">Unternehmensstrategie des "global </w:t>
      </w:r>
      <w:proofErr w:type="spellStart"/>
      <w:r w:rsidRPr="00D25C61">
        <w:rPr>
          <w:rFonts w:ascii="Arial" w:hAnsi="Arial"/>
        </w:rPr>
        <w:t>sourcing</w:t>
      </w:r>
      <w:proofErr w:type="spellEnd"/>
      <w:r w:rsidRPr="00D25C61">
        <w:rPr>
          <w:rFonts w:ascii="Arial" w:hAnsi="Arial"/>
        </w:rPr>
        <w:t>"</w:t>
      </w:r>
      <w:r w:rsidR="001324A5" w:rsidRPr="00D25C61">
        <w:rPr>
          <w:rFonts w:ascii="Arial" w:hAnsi="Arial"/>
        </w:rPr>
        <w:t>.</w:t>
      </w:r>
    </w:p>
    <w:p w14:paraId="07FB4A82" w14:textId="77777777" w:rsidR="001A053B" w:rsidRDefault="001A053B">
      <w:pPr>
        <w:rPr>
          <w:rFonts w:ascii="Arial" w:hAnsi="Arial"/>
        </w:rPr>
      </w:pPr>
    </w:p>
    <w:p w14:paraId="4E661D71" w14:textId="77777777" w:rsidR="00D1440D" w:rsidRDefault="00711D81">
      <w:pPr>
        <w:rPr>
          <w:rFonts w:ascii="Arial" w:hAnsi="Arial"/>
        </w:rPr>
      </w:pPr>
      <w:r w:rsidRPr="002A7E4E">
        <w:rPr>
          <w:rFonts w:ascii="Arial" w:hAnsi="Arial"/>
        </w:rPr>
        <w:t xml:space="preserve">Indirekt ist auch der niedrige Rohölpreis der Vergangenheit für den </w:t>
      </w:r>
      <w:r w:rsidR="001324A5" w:rsidRPr="002A7E4E">
        <w:rPr>
          <w:rFonts w:ascii="Arial" w:hAnsi="Arial"/>
        </w:rPr>
        <w:t>insgesamt gestiegen</w:t>
      </w:r>
      <w:r w:rsidRPr="002A7E4E">
        <w:rPr>
          <w:rFonts w:ascii="Arial" w:hAnsi="Arial"/>
        </w:rPr>
        <w:t>en Preis seit 1998 verantwortlich. Denn relativ niedrige Rohölpreise begünstigten den Warenhandel, sorgten für steigende Wachstumsraten und trugen so dazu bei, dass mehr Öl nachgefragt wurde.</w:t>
      </w:r>
      <w:r w:rsidR="00E06186">
        <w:rPr>
          <w:rFonts w:ascii="Arial" w:hAnsi="Arial"/>
        </w:rPr>
        <w:t xml:space="preserve"> </w:t>
      </w:r>
      <w:r w:rsidR="00D1440D" w:rsidRPr="00270455">
        <w:rPr>
          <w:rFonts w:ascii="Arial" w:hAnsi="Arial"/>
        </w:rPr>
        <w:t xml:space="preserve">Nach Angaben der Internationalen Energie Agentur (International Energy Agency, IEA) nahm die Versorgung mit Primärenergie </w:t>
      </w:r>
      <w:r w:rsidR="00E57FC3" w:rsidRPr="00270455">
        <w:rPr>
          <w:rFonts w:ascii="Arial" w:hAnsi="Arial"/>
        </w:rPr>
        <w:t xml:space="preserve">allein </w:t>
      </w:r>
      <w:r w:rsidR="00D1440D" w:rsidRPr="00270455">
        <w:rPr>
          <w:rFonts w:ascii="Arial" w:hAnsi="Arial"/>
        </w:rPr>
        <w:t xml:space="preserve">zwischen </w:t>
      </w:r>
      <w:r w:rsidR="00E57FC3" w:rsidRPr="00270455">
        <w:rPr>
          <w:rFonts w:ascii="Arial" w:hAnsi="Arial"/>
        </w:rPr>
        <w:t>2002</w:t>
      </w:r>
      <w:r w:rsidR="00D1440D" w:rsidRPr="00270455">
        <w:rPr>
          <w:rFonts w:ascii="Arial" w:hAnsi="Arial"/>
        </w:rPr>
        <w:t xml:space="preserve"> und 2014 von </w:t>
      </w:r>
      <w:r w:rsidR="00270455" w:rsidRPr="00270455">
        <w:rPr>
          <w:rFonts w:ascii="Arial" w:hAnsi="Arial"/>
        </w:rPr>
        <w:t xml:space="preserve">rund </w:t>
      </w:r>
      <w:r w:rsidR="00E57FC3" w:rsidRPr="00270455">
        <w:rPr>
          <w:rFonts w:ascii="Arial" w:hAnsi="Arial"/>
        </w:rPr>
        <w:t>10</w:t>
      </w:r>
      <w:r w:rsidR="00D1440D" w:rsidRPr="00270455">
        <w:rPr>
          <w:rFonts w:ascii="Arial" w:hAnsi="Arial"/>
        </w:rPr>
        <w:t>.</w:t>
      </w:r>
      <w:r w:rsidR="00E57FC3" w:rsidRPr="00270455">
        <w:rPr>
          <w:rFonts w:ascii="Arial" w:hAnsi="Arial"/>
        </w:rPr>
        <w:t>2</w:t>
      </w:r>
      <w:r w:rsidR="00270455" w:rsidRPr="00270455">
        <w:rPr>
          <w:rFonts w:ascii="Arial" w:hAnsi="Arial"/>
        </w:rPr>
        <w:t>0</w:t>
      </w:r>
      <w:r w:rsidR="00E57FC3" w:rsidRPr="00270455">
        <w:rPr>
          <w:rFonts w:ascii="Arial" w:hAnsi="Arial"/>
        </w:rPr>
        <w:t>0</w:t>
      </w:r>
      <w:r w:rsidR="00D1440D" w:rsidRPr="00270455">
        <w:rPr>
          <w:rFonts w:ascii="Arial" w:hAnsi="Arial"/>
        </w:rPr>
        <w:t xml:space="preserve"> auf 13.6</w:t>
      </w:r>
      <w:r w:rsidR="00270455" w:rsidRPr="00270455">
        <w:rPr>
          <w:rFonts w:ascii="Arial" w:hAnsi="Arial"/>
        </w:rPr>
        <w:t>00</w:t>
      </w:r>
      <w:r w:rsidR="00D1440D" w:rsidRPr="00270455">
        <w:rPr>
          <w:rFonts w:ascii="Arial" w:hAnsi="Arial"/>
        </w:rPr>
        <w:t xml:space="preserve"> Millionen Tonnen Öläquivalent zu. Das </w:t>
      </w:r>
      <w:r w:rsidR="00270455" w:rsidRPr="00270455">
        <w:rPr>
          <w:rFonts w:ascii="Arial" w:hAnsi="Arial"/>
        </w:rPr>
        <w:t xml:space="preserve">ist eine Zunahme von einem Drittel </w:t>
      </w:r>
      <w:r w:rsidR="00E57FC3" w:rsidRPr="00270455">
        <w:rPr>
          <w:rFonts w:ascii="Arial" w:hAnsi="Arial"/>
        </w:rPr>
        <w:t>in nur zwölf Jahren</w:t>
      </w:r>
      <w:r w:rsidR="00D1440D" w:rsidRPr="00270455">
        <w:rPr>
          <w:rFonts w:ascii="Arial" w:hAnsi="Arial"/>
        </w:rPr>
        <w:t>.</w:t>
      </w:r>
    </w:p>
    <w:p w14:paraId="3E844514" w14:textId="77777777" w:rsidR="00E06186" w:rsidRDefault="00E06186">
      <w:pPr>
        <w:rPr>
          <w:rFonts w:ascii="Arial" w:hAnsi="Arial"/>
        </w:rPr>
      </w:pPr>
    </w:p>
    <w:p w14:paraId="735ADF9D" w14:textId="77777777" w:rsidR="00D701F9" w:rsidRDefault="00BB6777" w:rsidP="00D701F9">
      <w:pPr>
        <w:rPr>
          <w:rFonts w:ascii="Arial" w:hAnsi="Arial"/>
        </w:rPr>
      </w:pPr>
      <w:r w:rsidRPr="006F2332">
        <w:rPr>
          <w:rFonts w:ascii="Arial" w:hAnsi="Arial"/>
        </w:rPr>
        <w:t>Allerdings ist der Roh</w:t>
      </w:r>
      <w:r w:rsidR="00D8162B" w:rsidRPr="006F2332">
        <w:rPr>
          <w:rFonts w:ascii="Arial" w:hAnsi="Arial"/>
        </w:rPr>
        <w:t>ö</w:t>
      </w:r>
      <w:r w:rsidRPr="006F2332">
        <w:rPr>
          <w:rFonts w:ascii="Arial" w:hAnsi="Arial"/>
        </w:rPr>
        <w:t xml:space="preserve">lpreis seit 1998 nicht durchgehend gestiegen. </w:t>
      </w:r>
      <w:r w:rsidR="00A01B46" w:rsidRPr="006F2332">
        <w:rPr>
          <w:rFonts w:ascii="Arial" w:hAnsi="Arial"/>
        </w:rPr>
        <w:t>D</w:t>
      </w:r>
      <w:r w:rsidRPr="006F2332">
        <w:rPr>
          <w:rFonts w:ascii="Arial" w:hAnsi="Arial"/>
        </w:rPr>
        <w:t xml:space="preserve">ie globale Finanz- und Wirtschaftskrise 2008/2009 </w:t>
      </w:r>
      <w:r w:rsidR="00A01B46" w:rsidRPr="006F2332">
        <w:rPr>
          <w:rFonts w:ascii="Arial" w:hAnsi="Arial"/>
        </w:rPr>
        <w:t xml:space="preserve">sowie </w:t>
      </w:r>
      <w:r w:rsidR="00DC6000">
        <w:rPr>
          <w:rFonts w:ascii="Arial" w:hAnsi="Arial"/>
        </w:rPr>
        <w:t xml:space="preserve">die </w:t>
      </w:r>
      <w:r w:rsidR="00A01B46" w:rsidRPr="006F2332">
        <w:rPr>
          <w:rFonts w:ascii="Arial" w:hAnsi="Arial"/>
        </w:rPr>
        <w:t>Corona-Pandemie</w:t>
      </w:r>
      <w:r w:rsidR="00DC6000">
        <w:rPr>
          <w:rFonts w:ascii="Arial" w:hAnsi="Arial"/>
        </w:rPr>
        <w:t xml:space="preserve"> </w:t>
      </w:r>
      <w:r w:rsidRPr="006F2332">
        <w:rPr>
          <w:rFonts w:ascii="Arial" w:hAnsi="Arial"/>
        </w:rPr>
        <w:t>führte</w:t>
      </w:r>
      <w:r w:rsidR="00A01B46" w:rsidRPr="006F2332">
        <w:rPr>
          <w:rFonts w:ascii="Arial" w:hAnsi="Arial"/>
        </w:rPr>
        <w:t xml:space="preserve">n zum </w:t>
      </w:r>
      <w:r w:rsidRPr="006F2332">
        <w:rPr>
          <w:rFonts w:ascii="Arial" w:hAnsi="Arial"/>
        </w:rPr>
        <w:t xml:space="preserve">stärksten </w:t>
      </w:r>
      <w:r w:rsidR="00A01B46" w:rsidRPr="006F2332">
        <w:rPr>
          <w:rFonts w:ascii="Arial" w:hAnsi="Arial"/>
        </w:rPr>
        <w:t xml:space="preserve">bzw. drittstärksten </w:t>
      </w:r>
      <w:r w:rsidR="003C72C2">
        <w:rPr>
          <w:rFonts w:ascii="Arial" w:hAnsi="Arial"/>
        </w:rPr>
        <w:t xml:space="preserve">realen </w:t>
      </w:r>
      <w:r w:rsidRPr="006F2332">
        <w:rPr>
          <w:rFonts w:ascii="Arial" w:hAnsi="Arial"/>
        </w:rPr>
        <w:t>Rückg</w:t>
      </w:r>
      <w:r w:rsidR="00A01B46" w:rsidRPr="006F2332">
        <w:rPr>
          <w:rFonts w:ascii="Arial" w:hAnsi="Arial"/>
        </w:rPr>
        <w:t>a</w:t>
      </w:r>
      <w:r w:rsidRPr="006F2332">
        <w:rPr>
          <w:rFonts w:ascii="Arial" w:hAnsi="Arial"/>
        </w:rPr>
        <w:t>ng des Warenhandels seit 1950</w:t>
      </w:r>
      <w:r w:rsidR="00A01B46" w:rsidRPr="006F2332">
        <w:rPr>
          <w:rFonts w:ascii="Arial" w:hAnsi="Arial"/>
        </w:rPr>
        <w:t xml:space="preserve"> (</w:t>
      </w:r>
      <w:r w:rsidR="00DC6000">
        <w:rPr>
          <w:rFonts w:ascii="Arial" w:hAnsi="Arial"/>
        </w:rPr>
        <w:t xml:space="preserve">2008/2009: </w:t>
      </w:r>
      <w:r w:rsidR="00A01B46" w:rsidRPr="006F2332">
        <w:rPr>
          <w:rFonts w:ascii="Arial" w:hAnsi="Arial"/>
        </w:rPr>
        <w:t xml:space="preserve">-12,0 </w:t>
      </w:r>
      <w:r w:rsidR="00DC6000">
        <w:rPr>
          <w:rFonts w:ascii="Arial" w:hAnsi="Arial"/>
        </w:rPr>
        <w:t>Prozent /</w:t>
      </w:r>
      <w:r w:rsidR="00A01B46" w:rsidRPr="006F2332">
        <w:rPr>
          <w:rFonts w:ascii="Arial" w:hAnsi="Arial"/>
        </w:rPr>
        <w:t xml:space="preserve"> </w:t>
      </w:r>
      <w:r w:rsidR="00DC6000">
        <w:rPr>
          <w:rFonts w:ascii="Arial" w:hAnsi="Arial"/>
        </w:rPr>
        <w:t xml:space="preserve">2019/2020: </w:t>
      </w:r>
      <w:r w:rsidR="00A01B46" w:rsidRPr="006F2332">
        <w:rPr>
          <w:rFonts w:ascii="Arial" w:hAnsi="Arial"/>
        </w:rPr>
        <w:t>-4,9 Prozent)</w:t>
      </w:r>
      <w:r w:rsidRPr="006F2332">
        <w:rPr>
          <w:rFonts w:ascii="Arial" w:hAnsi="Arial"/>
        </w:rPr>
        <w:t>.</w:t>
      </w:r>
      <w:r w:rsidR="00E06186">
        <w:rPr>
          <w:rFonts w:ascii="Arial" w:hAnsi="Arial"/>
        </w:rPr>
        <w:t xml:space="preserve"> </w:t>
      </w:r>
      <w:r w:rsidR="00A01B46" w:rsidRPr="003C72C2">
        <w:rPr>
          <w:rFonts w:ascii="Arial" w:hAnsi="Arial"/>
        </w:rPr>
        <w:t xml:space="preserve">Verbunden mit einem </w:t>
      </w:r>
      <w:r w:rsidR="003C72C2" w:rsidRPr="003C72C2">
        <w:rPr>
          <w:rFonts w:ascii="Arial" w:hAnsi="Arial"/>
        </w:rPr>
        <w:t xml:space="preserve">realen </w:t>
      </w:r>
      <w:r w:rsidR="00A01B46" w:rsidRPr="003C72C2">
        <w:rPr>
          <w:rFonts w:ascii="Arial" w:hAnsi="Arial"/>
        </w:rPr>
        <w:t>Rückgang der Weltwarenproduktion</w:t>
      </w:r>
      <w:r w:rsidR="00E06186">
        <w:rPr>
          <w:rFonts w:ascii="Arial" w:hAnsi="Arial"/>
        </w:rPr>
        <w:t xml:space="preserve"> </w:t>
      </w:r>
      <w:r w:rsidRPr="002C63AE">
        <w:rPr>
          <w:rFonts w:ascii="Arial" w:hAnsi="Arial"/>
        </w:rPr>
        <w:t>sank auch d</w:t>
      </w:r>
      <w:r w:rsidR="00AE43B6" w:rsidRPr="002C63AE">
        <w:rPr>
          <w:rFonts w:ascii="Arial" w:hAnsi="Arial"/>
        </w:rPr>
        <w:t>e</w:t>
      </w:r>
      <w:r w:rsidR="00A01B46" w:rsidRPr="002C63AE">
        <w:rPr>
          <w:rFonts w:ascii="Arial" w:hAnsi="Arial"/>
        </w:rPr>
        <w:t xml:space="preserve">r Energieverbrauch </w:t>
      </w:r>
      <w:r w:rsidR="00736432">
        <w:rPr>
          <w:rFonts w:ascii="Arial" w:hAnsi="Arial"/>
        </w:rPr>
        <w:t xml:space="preserve">um </w:t>
      </w:r>
      <w:r w:rsidR="003C72C2" w:rsidRPr="002C63AE">
        <w:rPr>
          <w:rFonts w:ascii="Arial" w:hAnsi="Arial"/>
        </w:rPr>
        <w:t xml:space="preserve">rund ein </w:t>
      </w:r>
      <w:r w:rsidR="003C72C2" w:rsidRPr="002C63AE">
        <w:rPr>
          <w:rFonts w:ascii="Arial" w:hAnsi="Arial"/>
        </w:rPr>
        <w:lastRenderedPageBreak/>
        <w:t>Prozent 2008/2009 bzw. um knapp 4 Prozent 2019/2020.</w:t>
      </w:r>
      <w:r w:rsidR="00E06186">
        <w:rPr>
          <w:rFonts w:ascii="Arial" w:hAnsi="Arial"/>
        </w:rPr>
        <w:t xml:space="preserve"> </w:t>
      </w:r>
      <w:r w:rsidR="00736432">
        <w:rPr>
          <w:rFonts w:ascii="Arial" w:hAnsi="Arial"/>
        </w:rPr>
        <w:t xml:space="preserve">Der </w:t>
      </w:r>
      <w:r w:rsidR="00E71760" w:rsidRPr="00736432">
        <w:rPr>
          <w:rFonts w:ascii="Arial" w:hAnsi="Arial"/>
        </w:rPr>
        <w:t xml:space="preserve">Rohölpreis reduzierte sich </w:t>
      </w:r>
      <w:r w:rsidR="00736432" w:rsidRPr="00736432">
        <w:rPr>
          <w:rFonts w:ascii="Arial" w:hAnsi="Arial"/>
        </w:rPr>
        <w:t xml:space="preserve">real </w:t>
      </w:r>
      <w:r w:rsidR="00E71760" w:rsidRPr="00736432">
        <w:rPr>
          <w:rFonts w:ascii="Arial" w:hAnsi="Arial"/>
        </w:rPr>
        <w:t xml:space="preserve">um 36,4 </w:t>
      </w:r>
      <w:r w:rsidR="00E341A8" w:rsidRPr="00736432">
        <w:rPr>
          <w:rFonts w:ascii="Arial" w:hAnsi="Arial"/>
        </w:rPr>
        <w:t>Prozent</w:t>
      </w:r>
      <w:r w:rsidR="00E341A8">
        <w:rPr>
          <w:rFonts w:ascii="Arial" w:hAnsi="Arial"/>
        </w:rPr>
        <w:t xml:space="preserve"> (</w:t>
      </w:r>
      <w:r w:rsidR="00E341A8" w:rsidRPr="00736432">
        <w:rPr>
          <w:rFonts w:ascii="Arial" w:hAnsi="Arial"/>
        </w:rPr>
        <w:t>2008/2009</w:t>
      </w:r>
      <w:r w:rsidR="00E341A8">
        <w:rPr>
          <w:rFonts w:ascii="Arial" w:hAnsi="Arial"/>
        </w:rPr>
        <w:t xml:space="preserve">) </w:t>
      </w:r>
      <w:r w:rsidR="00736432" w:rsidRPr="00736432">
        <w:rPr>
          <w:rFonts w:ascii="Arial" w:hAnsi="Arial"/>
        </w:rPr>
        <w:t xml:space="preserve">bzw. 32,8 </w:t>
      </w:r>
      <w:r w:rsidR="00E71760" w:rsidRPr="00736432">
        <w:rPr>
          <w:rFonts w:ascii="Arial" w:hAnsi="Arial"/>
        </w:rPr>
        <w:t>Prozent</w:t>
      </w:r>
      <w:r w:rsidR="00E341A8">
        <w:rPr>
          <w:rFonts w:ascii="Arial" w:hAnsi="Arial"/>
        </w:rPr>
        <w:t xml:space="preserve"> (</w:t>
      </w:r>
      <w:r w:rsidR="00E341A8" w:rsidRPr="00736432">
        <w:rPr>
          <w:rFonts w:ascii="Arial" w:hAnsi="Arial"/>
        </w:rPr>
        <w:t>20</w:t>
      </w:r>
      <w:r w:rsidR="00E341A8">
        <w:rPr>
          <w:rFonts w:ascii="Arial" w:hAnsi="Arial"/>
        </w:rPr>
        <w:t>19</w:t>
      </w:r>
      <w:r w:rsidR="00E341A8" w:rsidRPr="00736432">
        <w:rPr>
          <w:rFonts w:ascii="Arial" w:hAnsi="Arial"/>
        </w:rPr>
        <w:t>/20</w:t>
      </w:r>
      <w:r w:rsidR="00E341A8">
        <w:rPr>
          <w:rFonts w:ascii="Arial" w:hAnsi="Arial"/>
        </w:rPr>
        <w:t>20)</w:t>
      </w:r>
      <w:r w:rsidR="00E71760" w:rsidRPr="00736432">
        <w:rPr>
          <w:rFonts w:ascii="Arial" w:hAnsi="Arial"/>
        </w:rPr>
        <w:t>.</w:t>
      </w:r>
    </w:p>
    <w:p w14:paraId="00417197" w14:textId="77777777" w:rsidR="00E06186" w:rsidRDefault="00E06186" w:rsidP="00D701F9">
      <w:pPr>
        <w:rPr>
          <w:rFonts w:ascii="Arial" w:hAnsi="Arial"/>
        </w:rPr>
      </w:pPr>
    </w:p>
    <w:p w14:paraId="69AF6287" w14:textId="77777777" w:rsidR="00EC1C5A" w:rsidRDefault="00E44176" w:rsidP="00EC1C5A">
      <w:pPr>
        <w:rPr>
          <w:rFonts w:ascii="Arial" w:hAnsi="Arial"/>
        </w:rPr>
      </w:pPr>
      <w:r w:rsidRPr="0071406B">
        <w:rPr>
          <w:rFonts w:ascii="Arial" w:hAnsi="Arial"/>
        </w:rPr>
        <w:t xml:space="preserve">Einen noch größeren realen Preisrückgang gab es von 2014 auf 2015: Ausgehend von einem sehr hohen </w:t>
      </w:r>
      <w:r w:rsidR="00486870" w:rsidRPr="0071406B">
        <w:rPr>
          <w:rFonts w:ascii="Arial" w:hAnsi="Arial"/>
        </w:rPr>
        <w:t>N</w:t>
      </w:r>
      <w:r w:rsidRPr="0071406B">
        <w:rPr>
          <w:rFonts w:ascii="Arial" w:hAnsi="Arial"/>
        </w:rPr>
        <w:t xml:space="preserve">iveau </w:t>
      </w:r>
      <w:r w:rsidR="00486870" w:rsidRPr="0071406B">
        <w:rPr>
          <w:rFonts w:ascii="Arial" w:hAnsi="Arial"/>
        </w:rPr>
        <w:t>ha</w:t>
      </w:r>
      <w:r w:rsidR="0071406B" w:rsidRPr="0071406B">
        <w:rPr>
          <w:rFonts w:ascii="Arial" w:hAnsi="Arial"/>
        </w:rPr>
        <w:t>t</w:t>
      </w:r>
      <w:r w:rsidR="00486870" w:rsidRPr="0071406B">
        <w:rPr>
          <w:rFonts w:ascii="Arial" w:hAnsi="Arial"/>
        </w:rPr>
        <w:t xml:space="preserve"> </w:t>
      </w:r>
      <w:r w:rsidRPr="0071406B">
        <w:rPr>
          <w:rFonts w:ascii="Arial" w:hAnsi="Arial"/>
        </w:rPr>
        <w:t xml:space="preserve">sich der Ölpreis innerhalb </w:t>
      </w:r>
      <w:r w:rsidR="00486870" w:rsidRPr="0071406B">
        <w:rPr>
          <w:rFonts w:ascii="Arial" w:hAnsi="Arial"/>
        </w:rPr>
        <w:t xml:space="preserve">nur </w:t>
      </w:r>
      <w:r w:rsidRPr="0071406B">
        <w:rPr>
          <w:rFonts w:ascii="Arial" w:hAnsi="Arial"/>
        </w:rPr>
        <w:t>eines Jahres</w:t>
      </w:r>
      <w:r w:rsidR="00486870" w:rsidRPr="0071406B">
        <w:rPr>
          <w:rFonts w:ascii="Arial" w:hAnsi="Arial"/>
        </w:rPr>
        <w:t xml:space="preserve"> halbiert </w:t>
      </w:r>
      <w:r w:rsidRPr="0071406B">
        <w:rPr>
          <w:rFonts w:ascii="Arial" w:hAnsi="Arial"/>
        </w:rPr>
        <w:t>(minus 47,0 Prozent).</w:t>
      </w:r>
      <w:r w:rsidR="00E06186">
        <w:rPr>
          <w:rFonts w:ascii="Arial" w:hAnsi="Arial"/>
        </w:rPr>
        <w:t xml:space="preserve"> </w:t>
      </w:r>
      <w:r w:rsidR="007F4420" w:rsidRPr="0071406B">
        <w:rPr>
          <w:rFonts w:ascii="Arial" w:hAnsi="Arial"/>
        </w:rPr>
        <w:t xml:space="preserve">Die Hauptgründe für diesen Preisrückgang waren der </w:t>
      </w:r>
      <w:r w:rsidR="00CC3D13">
        <w:rPr>
          <w:rFonts w:ascii="Arial" w:hAnsi="Arial"/>
        </w:rPr>
        <w:t>mehrjährige</w:t>
      </w:r>
      <w:r w:rsidR="0006157D">
        <w:rPr>
          <w:rFonts w:ascii="Arial" w:hAnsi="Arial"/>
        </w:rPr>
        <w:t xml:space="preserve"> </w:t>
      </w:r>
      <w:r w:rsidR="007F4420" w:rsidRPr="0071406B">
        <w:rPr>
          <w:rFonts w:ascii="Arial" w:hAnsi="Arial"/>
        </w:rPr>
        <w:t xml:space="preserve">Öl-Boom in den USA und die Ausweitung der Ölproduktion </w:t>
      </w:r>
      <w:r w:rsidR="00723655">
        <w:rPr>
          <w:rFonts w:ascii="Arial" w:hAnsi="Arial"/>
        </w:rPr>
        <w:t xml:space="preserve">von 2014 auf 2015 durch </w:t>
      </w:r>
      <w:r w:rsidR="0006157D">
        <w:rPr>
          <w:rFonts w:ascii="Arial" w:hAnsi="Arial"/>
        </w:rPr>
        <w:t>einzelne</w:t>
      </w:r>
      <w:r w:rsidR="00723655">
        <w:rPr>
          <w:rFonts w:ascii="Arial" w:hAnsi="Arial"/>
        </w:rPr>
        <w:t xml:space="preserve"> </w:t>
      </w:r>
      <w:r w:rsidR="007F4420" w:rsidRPr="0071406B">
        <w:rPr>
          <w:rFonts w:ascii="Arial" w:hAnsi="Arial"/>
        </w:rPr>
        <w:t>Mitglieder der Organisation der Erdöl exportierenden Länder (OPEC).</w:t>
      </w:r>
      <w:r w:rsidR="00E06186">
        <w:rPr>
          <w:rFonts w:ascii="Arial" w:hAnsi="Arial"/>
        </w:rPr>
        <w:t xml:space="preserve"> </w:t>
      </w:r>
      <w:r w:rsidR="00EC1C5A" w:rsidRPr="006B7EF2">
        <w:rPr>
          <w:rFonts w:ascii="Arial" w:hAnsi="Arial"/>
        </w:rPr>
        <w:t xml:space="preserve">Insbesondere durch das sogenannte Fracking haben die USA ihre </w:t>
      </w:r>
      <w:r w:rsidR="00F03490" w:rsidRPr="006B7EF2">
        <w:rPr>
          <w:rFonts w:ascii="Arial" w:hAnsi="Arial"/>
        </w:rPr>
        <w:t>Ölp</w:t>
      </w:r>
      <w:r w:rsidR="00EC1C5A" w:rsidRPr="006B7EF2">
        <w:rPr>
          <w:rFonts w:ascii="Arial" w:hAnsi="Arial"/>
        </w:rPr>
        <w:t>roduktion</w:t>
      </w:r>
      <w:r w:rsidR="00F03490" w:rsidRPr="006B7EF2">
        <w:rPr>
          <w:rFonts w:ascii="Arial" w:hAnsi="Arial"/>
        </w:rPr>
        <w:t xml:space="preserve">, die seit Anfang der 1970er-Jahre rückläufig war, </w:t>
      </w:r>
      <w:r w:rsidR="00EC1C5A" w:rsidRPr="006B7EF2">
        <w:rPr>
          <w:rFonts w:ascii="Arial" w:hAnsi="Arial"/>
        </w:rPr>
        <w:t>zwischen 2008 und 201</w:t>
      </w:r>
      <w:r w:rsidR="00F03490" w:rsidRPr="006B7EF2">
        <w:rPr>
          <w:rFonts w:ascii="Arial" w:hAnsi="Arial"/>
        </w:rPr>
        <w:t>9</w:t>
      </w:r>
      <w:r w:rsidR="00EC1C5A" w:rsidRPr="006B7EF2">
        <w:rPr>
          <w:rFonts w:ascii="Arial" w:hAnsi="Arial"/>
        </w:rPr>
        <w:t xml:space="preserve"> von 6,8 auf 1</w:t>
      </w:r>
      <w:r w:rsidR="007F4420" w:rsidRPr="006B7EF2">
        <w:rPr>
          <w:rFonts w:ascii="Arial" w:hAnsi="Arial"/>
        </w:rPr>
        <w:t>7</w:t>
      </w:r>
      <w:r w:rsidR="00EC1C5A" w:rsidRPr="006B7EF2">
        <w:rPr>
          <w:rFonts w:ascii="Arial" w:hAnsi="Arial"/>
        </w:rPr>
        <w:t>,</w:t>
      </w:r>
      <w:r w:rsidR="007F4420" w:rsidRPr="006B7EF2">
        <w:rPr>
          <w:rFonts w:ascii="Arial" w:hAnsi="Arial"/>
        </w:rPr>
        <w:t>1</w:t>
      </w:r>
      <w:r w:rsidR="00EC1C5A" w:rsidRPr="006B7EF2">
        <w:rPr>
          <w:rFonts w:ascii="Arial" w:hAnsi="Arial"/>
        </w:rPr>
        <w:t xml:space="preserve"> Millionen Barrel pro Tag erhöhen können</w:t>
      </w:r>
      <w:r w:rsidR="007F4420" w:rsidRPr="006B7EF2">
        <w:rPr>
          <w:rFonts w:ascii="Arial" w:hAnsi="Arial"/>
        </w:rPr>
        <w:t xml:space="preserve"> (2021: 16,6 Mio. Barrel)</w:t>
      </w:r>
      <w:r w:rsidR="00EC1C5A" w:rsidRPr="006B7EF2">
        <w:rPr>
          <w:rFonts w:ascii="Arial" w:hAnsi="Arial"/>
        </w:rPr>
        <w:t xml:space="preserve">. </w:t>
      </w:r>
      <w:r w:rsidR="00C254D9">
        <w:rPr>
          <w:rFonts w:ascii="Arial" w:hAnsi="Arial"/>
        </w:rPr>
        <w:t xml:space="preserve">Seit </w:t>
      </w:r>
      <w:r w:rsidR="007F4420" w:rsidRPr="006B7EF2">
        <w:rPr>
          <w:rFonts w:ascii="Arial" w:hAnsi="Arial"/>
        </w:rPr>
        <w:t>2017</w:t>
      </w:r>
      <w:r w:rsidR="00C254D9">
        <w:rPr>
          <w:rFonts w:ascii="Arial" w:hAnsi="Arial"/>
        </w:rPr>
        <w:t xml:space="preserve"> s</w:t>
      </w:r>
      <w:r w:rsidR="007F4420" w:rsidRPr="006B7EF2">
        <w:rPr>
          <w:rFonts w:ascii="Arial" w:hAnsi="Arial"/>
        </w:rPr>
        <w:t xml:space="preserve">ind die </w:t>
      </w:r>
      <w:r w:rsidR="00EC1C5A" w:rsidRPr="006B7EF2">
        <w:rPr>
          <w:rFonts w:ascii="Arial" w:hAnsi="Arial"/>
        </w:rPr>
        <w:t>USA der größte Ölproduzent der Welt.</w:t>
      </w:r>
      <w:r w:rsidR="00EC1C5A" w:rsidRPr="00DE17FF">
        <w:rPr>
          <w:rFonts w:ascii="Arial" w:hAnsi="Arial"/>
        </w:rPr>
        <w:t xml:space="preserve"> </w:t>
      </w:r>
      <w:r w:rsidR="007F4420" w:rsidRPr="00DE17FF">
        <w:rPr>
          <w:rFonts w:ascii="Arial" w:hAnsi="Arial"/>
        </w:rPr>
        <w:t>Im Jahr 2021 lag d</w:t>
      </w:r>
      <w:r w:rsidR="007F4420" w:rsidRPr="00FA1149">
        <w:rPr>
          <w:rFonts w:ascii="Arial" w:hAnsi="Arial"/>
        </w:rPr>
        <w:t xml:space="preserve">er Anteil der USA an der weltweiten </w:t>
      </w:r>
      <w:r w:rsidR="00EC1C5A" w:rsidRPr="00FA1149">
        <w:rPr>
          <w:rFonts w:ascii="Arial" w:hAnsi="Arial"/>
        </w:rPr>
        <w:t xml:space="preserve">Ölproduktion </w:t>
      </w:r>
      <w:r w:rsidR="007F4420" w:rsidRPr="00FA1149">
        <w:rPr>
          <w:rFonts w:ascii="Arial" w:hAnsi="Arial"/>
        </w:rPr>
        <w:t>bei 18,5 Prozent, die Anteile von Saudi-Arabien und Russland lagen jeweils bei 12,2 Prozent</w:t>
      </w:r>
      <w:r w:rsidR="00EC1C5A" w:rsidRPr="00FA1149">
        <w:rPr>
          <w:rFonts w:ascii="Arial" w:hAnsi="Arial"/>
        </w:rPr>
        <w:t>.</w:t>
      </w:r>
    </w:p>
    <w:p w14:paraId="0863C97D" w14:textId="77777777" w:rsidR="00E06186" w:rsidRDefault="00E06186" w:rsidP="00EC1C5A">
      <w:pPr>
        <w:rPr>
          <w:rFonts w:ascii="Arial" w:hAnsi="Arial"/>
        </w:rPr>
      </w:pPr>
    </w:p>
    <w:p w14:paraId="7735663F" w14:textId="77777777" w:rsidR="003900C8" w:rsidRDefault="003900C8" w:rsidP="00D701F9">
      <w:pPr>
        <w:rPr>
          <w:rFonts w:ascii="Arial" w:hAnsi="Arial"/>
        </w:rPr>
      </w:pPr>
      <w:r>
        <w:rPr>
          <w:rFonts w:ascii="Arial" w:hAnsi="Arial"/>
        </w:rPr>
        <w:t xml:space="preserve">Trotz der krisen- bzw. produktionsbedingten </w:t>
      </w:r>
      <w:r w:rsidR="00A523F4">
        <w:rPr>
          <w:rFonts w:ascii="Arial" w:hAnsi="Arial"/>
        </w:rPr>
        <w:t>Preisr</w:t>
      </w:r>
      <w:r>
        <w:rPr>
          <w:rFonts w:ascii="Arial" w:hAnsi="Arial"/>
        </w:rPr>
        <w:t xml:space="preserve">ückgänge lag der reale Ölpreis im Durchschnitt der Jahre 2015 bis 2021 etwa doppelt so hoch wie im Durchschnitt der Jahre 1993 bis 1999. </w:t>
      </w:r>
      <w:r w:rsidR="00A523F4">
        <w:rPr>
          <w:rFonts w:ascii="Arial" w:hAnsi="Arial"/>
        </w:rPr>
        <w:t>Von 2021 auf 2022 ist der reale Ölpreis um 28,6 Prozent gestiegen.</w:t>
      </w:r>
      <w:r w:rsidR="00DE42B3">
        <w:rPr>
          <w:rFonts w:ascii="Arial" w:hAnsi="Arial"/>
        </w:rPr>
        <w:t xml:space="preserve"> Allerdings </w:t>
      </w:r>
      <w:r w:rsidR="00C64FAA">
        <w:rPr>
          <w:rFonts w:ascii="Arial" w:hAnsi="Arial"/>
        </w:rPr>
        <w:t>h</w:t>
      </w:r>
      <w:r w:rsidR="00DE42B3">
        <w:rPr>
          <w:rFonts w:ascii="Arial" w:hAnsi="Arial"/>
        </w:rPr>
        <w:t xml:space="preserve">aben </w:t>
      </w:r>
      <w:r w:rsidR="00DE42B3" w:rsidRPr="00C64FAA">
        <w:rPr>
          <w:rFonts w:ascii="Arial" w:hAnsi="Arial"/>
        </w:rPr>
        <w:t xml:space="preserve">die Transportkosten </w:t>
      </w:r>
      <w:r w:rsidR="00C64FAA" w:rsidRPr="00C64FAA">
        <w:rPr>
          <w:rFonts w:ascii="Arial" w:hAnsi="Arial"/>
        </w:rPr>
        <w:t xml:space="preserve">trotz der seit Ende </w:t>
      </w:r>
      <w:r w:rsidR="00366CF2">
        <w:rPr>
          <w:rFonts w:ascii="Arial" w:hAnsi="Arial"/>
        </w:rPr>
        <w:t xml:space="preserve">der </w:t>
      </w:r>
      <w:r w:rsidR="00C64FAA" w:rsidRPr="00C64FAA">
        <w:rPr>
          <w:rFonts w:ascii="Arial" w:hAnsi="Arial"/>
        </w:rPr>
        <w:t>1990er-Jahre ge</w:t>
      </w:r>
      <w:r w:rsidR="00DE42B3" w:rsidRPr="00C64FAA">
        <w:rPr>
          <w:rFonts w:ascii="Arial" w:hAnsi="Arial"/>
        </w:rPr>
        <w:t>sti</w:t>
      </w:r>
      <w:r w:rsidR="00C64FAA" w:rsidRPr="00C64FAA">
        <w:rPr>
          <w:rFonts w:ascii="Arial" w:hAnsi="Arial"/>
        </w:rPr>
        <w:t>e</w:t>
      </w:r>
      <w:r w:rsidR="00DE42B3" w:rsidRPr="00C64FAA">
        <w:rPr>
          <w:rFonts w:ascii="Arial" w:hAnsi="Arial"/>
        </w:rPr>
        <w:t>genen Energiepreise</w:t>
      </w:r>
      <w:r w:rsidR="00C64FAA" w:rsidRPr="00C64FAA">
        <w:rPr>
          <w:rFonts w:ascii="Arial" w:hAnsi="Arial"/>
        </w:rPr>
        <w:t xml:space="preserve"> noch</w:t>
      </w:r>
      <w:r w:rsidR="00DE42B3" w:rsidRPr="00C64FAA">
        <w:rPr>
          <w:rFonts w:ascii="Arial" w:hAnsi="Arial"/>
        </w:rPr>
        <w:t xml:space="preserve"> immer einen </w:t>
      </w:r>
      <w:r w:rsidR="00C64FAA" w:rsidRPr="00C64FAA">
        <w:rPr>
          <w:rFonts w:ascii="Arial" w:hAnsi="Arial"/>
        </w:rPr>
        <w:t xml:space="preserve">relativ </w:t>
      </w:r>
      <w:r w:rsidR="00DE42B3" w:rsidRPr="00C64FAA">
        <w:rPr>
          <w:rFonts w:ascii="Arial" w:hAnsi="Arial"/>
        </w:rPr>
        <w:t xml:space="preserve">geringen Anteil an den Endverbraucherpreisen. </w:t>
      </w:r>
      <w:r w:rsidR="00002A91">
        <w:rPr>
          <w:rFonts w:ascii="Arial" w:hAnsi="Arial"/>
        </w:rPr>
        <w:t xml:space="preserve">Um </w:t>
      </w:r>
      <w:r w:rsidR="00056823">
        <w:rPr>
          <w:rFonts w:ascii="Arial" w:hAnsi="Arial"/>
        </w:rPr>
        <w:t>dauerhafte</w:t>
      </w:r>
      <w:r w:rsidR="00C64FAA" w:rsidRPr="00C64FAA">
        <w:rPr>
          <w:rFonts w:ascii="Arial" w:hAnsi="Arial"/>
        </w:rPr>
        <w:t xml:space="preserve"> Auswirkungen auf den </w:t>
      </w:r>
      <w:r w:rsidR="00DE42B3" w:rsidRPr="00C64FAA">
        <w:rPr>
          <w:rFonts w:ascii="Arial" w:hAnsi="Arial"/>
        </w:rPr>
        <w:t>grenzüberschreitenden Handel</w:t>
      </w:r>
      <w:r w:rsidR="00C64FAA" w:rsidRPr="00C64FAA">
        <w:rPr>
          <w:rFonts w:ascii="Arial" w:hAnsi="Arial"/>
        </w:rPr>
        <w:t xml:space="preserve"> zu </w:t>
      </w:r>
      <w:r w:rsidR="00002A91">
        <w:rPr>
          <w:rFonts w:ascii="Arial" w:hAnsi="Arial"/>
        </w:rPr>
        <w:t>haben</w:t>
      </w:r>
      <w:r w:rsidR="00C64FAA" w:rsidRPr="00C64FAA">
        <w:rPr>
          <w:rFonts w:ascii="Arial" w:hAnsi="Arial"/>
        </w:rPr>
        <w:t xml:space="preserve">, </w:t>
      </w:r>
      <w:r w:rsidR="00002A91">
        <w:rPr>
          <w:rFonts w:ascii="Arial" w:hAnsi="Arial"/>
        </w:rPr>
        <w:t xml:space="preserve">müssten </w:t>
      </w:r>
      <w:r w:rsidR="00DE42B3" w:rsidRPr="00C64FAA">
        <w:rPr>
          <w:rFonts w:ascii="Arial" w:hAnsi="Arial"/>
        </w:rPr>
        <w:t xml:space="preserve">die </w:t>
      </w:r>
      <w:r w:rsidR="00366CF2" w:rsidRPr="00C64FAA">
        <w:rPr>
          <w:rFonts w:ascii="Arial" w:hAnsi="Arial"/>
        </w:rPr>
        <w:t xml:space="preserve">Energiepreise </w:t>
      </w:r>
      <w:r w:rsidR="00366CF2">
        <w:rPr>
          <w:rFonts w:ascii="Arial" w:hAnsi="Arial"/>
        </w:rPr>
        <w:t xml:space="preserve">als Teil der </w:t>
      </w:r>
      <w:r w:rsidR="00DE42B3" w:rsidRPr="00C64FAA">
        <w:rPr>
          <w:rFonts w:ascii="Arial" w:hAnsi="Arial"/>
        </w:rPr>
        <w:t xml:space="preserve">Transportkosten </w:t>
      </w:r>
      <w:r w:rsidR="00C64FAA" w:rsidRPr="00C64FAA">
        <w:rPr>
          <w:rFonts w:ascii="Arial" w:hAnsi="Arial"/>
        </w:rPr>
        <w:t xml:space="preserve">noch </w:t>
      </w:r>
      <w:r w:rsidR="00DE42B3" w:rsidRPr="00C64FAA">
        <w:rPr>
          <w:rFonts w:ascii="Arial" w:hAnsi="Arial"/>
        </w:rPr>
        <w:t>sehr viel stärker steigen.</w:t>
      </w:r>
    </w:p>
    <w:p w14:paraId="56A074AC" w14:textId="77777777" w:rsidR="00DE42B3" w:rsidRDefault="00DE42B3" w:rsidP="00D701F9">
      <w:pPr>
        <w:rPr>
          <w:rFonts w:ascii="Arial" w:hAnsi="Arial"/>
        </w:rPr>
      </w:pPr>
    </w:p>
    <w:p w14:paraId="64A8D900" w14:textId="77777777" w:rsidR="00711D81" w:rsidRPr="00EE5ECB" w:rsidRDefault="00711D81">
      <w:pPr>
        <w:rPr>
          <w:rFonts w:ascii="Arial" w:hAnsi="Arial"/>
          <w:color w:val="FF0000"/>
          <w:lang w:val="en-US"/>
        </w:rPr>
      </w:pPr>
      <w:proofErr w:type="spellStart"/>
      <w:r w:rsidRPr="00EE5ECB">
        <w:rPr>
          <w:rFonts w:ascii="Arial" w:hAnsi="Arial"/>
          <w:color w:val="FF0000"/>
          <w:lang w:val="en-US"/>
        </w:rPr>
        <w:t>Datenquelle</w:t>
      </w:r>
      <w:proofErr w:type="spellEnd"/>
    </w:p>
    <w:p w14:paraId="3C99D221" w14:textId="77777777" w:rsidR="00711D81" w:rsidRPr="00EE5ECB" w:rsidRDefault="00711D81">
      <w:pPr>
        <w:rPr>
          <w:rFonts w:ascii="Arial" w:hAnsi="Arial"/>
          <w:lang w:val="en-US"/>
        </w:rPr>
      </w:pPr>
    </w:p>
    <w:p w14:paraId="741F22DD" w14:textId="77777777" w:rsidR="00D701F9" w:rsidRPr="00EE5ECB" w:rsidRDefault="00711D81">
      <w:pPr>
        <w:rPr>
          <w:rFonts w:ascii="Arial" w:hAnsi="Arial"/>
          <w:lang w:val="en-US"/>
        </w:rPr>
      </w:pPr>
      <w:proofErr w:type="spellStart"/>
      <w:r w:rsidRPr="00EE5ECB">
        <w:rPr>
          <w:rFonts w:ascii="Arial" w:hAnsi="Arial"/>
          <w:lang w:val="en-US"/>
        </w:rPr>
        <w:t>Hamburgisches</w:t>
      </w:r>
      <w:proofErr w:type="spellEnd"/>
      <w:r w:rsidRPr="00EE5ECB">
        <w:rPr>
          <w:rFonts w:ascii="Arial" w:hAnsi="Arial"/>
          <w:lang w:val="en-US"/>
        </w:rPr>
        <w:t xml:space="preserve"> </w:t>
      </w:r>
      <w:proofErr w:type="spellStart"/>
      <w:r w:rsidRPr="00EE5ECB">
        <w:rPr>
          <w:rFonts w:ascii="Arial" w:hAnsi="Arial"/>
          <w:lang w:val="en-US"/>
        </w:rPr>
        <w:t>WeltWirtschaftsInstitut</w:t>
      </w:r>
      <w:proofErr w:type="spellEnd"/>
      <w:r w:rsidRPr="00EE5ECB">
        <w:rPr>
          <w:rFonts w:ascii="Arial" w:hAnsi="Arial"/>
          <w:lang w:val="en-US"/>
        </w:rPr>
        <w:t xml:space="preserve"> (HWWI): </w:t>
      </w:r>
      <w:proofErr w:type="spellStart"/>
      <w:r w:rsidRPr="00EE5ECB">
        <w:rPr>
          <w:rFonts w:ascii="Arial" w:hAnsi="Arial"/>
          <w:lang w:val="en-US"/>
        </w:rPr>
        <w:t>Rohstoffpreisindex</w:t>
      </w:r>
      <w:proofErr w:type="spellEnd"/>
      <w:r w:rsidR="00E57FC3" w:rsidRPr="00EE5ECB">
        <w:rPr>
          <w:rFonts w:ascii="Arial" w:hAnsi="Arial"/>
          <w:lang w:val="en-US"/>
        </w:rPr>
        <w:t>;</w:t>
      </w:r>
      <w:r w:rsidR="00A523F4" w:rsidRPr="00EE5ECB">
        <w:rPr>
          <w:rFonts w:ascii="Arial" w:hAnsi="Arial"/>
          <w:lang w:val="en-US"/>
        </w:rPr>
        <w:t xml:space="preserve"> </w:t>
      </w:r>
      <w:r w:rsidR="00944AE9" w:rsidRPr="00EE5ECB">
        <w:rPr>
          <w:rFonts w:ascii="Arial" w:hAnsi="Arial"/>
          <w:lang w:val="en-US"/>
        </w:rPr>
        <w:t>IEA World Energy Balances database © OECD/IEA 2022,</w:t>
      </w:r>
      <w:r w:rsidR="004B22A5" w:rsidRPr="00EE5ECB">
        <w:rPr>
          <w:rFonts w:ascii="Arial" w:hAnsi="Arial"/>
          <w:lang w:val="en-US"/>
        </w:rPr>
        <w:t xml:space="preserve"> </w:t>
      </w:r>
      <w:r w:rsidR="00611123" w:rsidRPr="00EE5ECB">
        <w:rPr>
          <w:rFonts w:ascii="Arial" w:hAnsi="Arial"/>
          <w:lang w:val="en-US"/>
        </w:rPr>
        <w:t>www.iea.org/statistics; International Energy Agency (IEA): Key World Energy Statistics 2004, © OECD/IEA</w:t>
      </w:r>
      <w:r w:rsidR="00A523F4" w:rsidRPr="00EE5ECB">
        <w:rPr>
          <w:rFonts w:ascii="Arial" w:hAnsi="Arial"/>
          <w:lang w:val="en-US"/>
        </w:rPr>
        <w:t xml:space="preserve">; </w:t>
      </w:r>
      <w:r w:rsidR="00847E52" w:rsidRPr="00EE5ECB">
        <w:rPr>
          <w:rFonts w:ascii="Arial" w:hAnsi="Arial"/>
          <w:lang w:val="en-US"/>
        </w:rPr>
        <w:t>British Petroleum (BP): Statistical Review of World Energy</w:t>
      </w:r>
      <w:r w:rsidR="00A523F4" w:rsidRPr="00EE5ECB">
        <w:rPr>
          <w:rFonts w:ascii="Arial" w:hAnsi="Arial"/>
          <w:lang w:val="en-US"/>
        </w:rPr>
        <w:t xml:space="preserve">, </w:t>
      </w:r>
      <w:proofErr w:type="spellStart"/>
      <w:r w:rsidR="00A523F4" w:rsidRPr="00EE5ECB">
        <w:rPr>
          <w:rFonts w:ascii="Arial" w:hAnsi="Arial"/>
          <w:lang w:val="en-US"/>
        </w:rPr>
        <w:t>verschiedene</w:t>
      </w:r>
      <w:proofErr w:type="spellEnd"/>
      <w:r w:rsidR="00A523F4" w:rsidRPr="00EE5ECB">
        <w:rPr>
          <w:rFonts w:ascii="Arial" w:hAnsi="Arial"/>
          <w:lang w:val="en-US"/>
        </w:rPr>
        <w:t xml:space="preserve"> </w:t>
      </w:r>
      <w:proofErr w:type="spellStart"/>
      <w:r w:rsidR="00A523F4" w:rsidRPr="00EE5ECB">
        <w:rPr>
          <w:rFonts w:ascii="Arial" w:hAnsi="Arial"/>
          <w:lang w:val="en-US"/>
        </w:rPr>
        <w:t>Jahrgänge</w:t>
      </w:r>
      <w:proofErr w:type="spellEnd"/>
    </w:p>
    <w:p w14:paraId="6989612F" w14:textId="77777777" w:rsidR="00847E52" w:rsidRPr="00EE5ECB" w:rsidRDefault="00847E52">
      <w:pPr>
        <w:rPr>
          <w:rFonts w:ascii="Arial" w:hAnsi="Arial"/>
          <w:lang w:val="en-US"/>
        </w:rPr>
      </w:pPr>
    </w:p>
    <w:p w14:paraId="56622D4D" w14:textId="77777777" w:rsidR="00711D81" w:rsidRDefault="00711D81">
      <w:pPr>
        <w:rPr>
          <w:rFonts w:ascii="Arial" w:hAnsi="Arial"/>
          <w:color w:val="FF0000"/>
        </w:rPr>
      </w:pPr>
      <w:r>
        <w:rPr>
          <w:rFonts w:ascii="Arial" w:hAnsi="Arial"/>
          <w:color w:val="FF0000"/>
        </w:rPr>
        <w:t>Begriffe, methodische Anmerkungen oder Lesehilfen</w:t>
      </w:r>
    </w:p>
    <w:p w14:paraId="0F70CC07" w14:textId="77777777" w:rsidR="00711D81" w:rsidRPr="008671E4" w:rsidRDefault="00711D81">
      <w:pPr>
        <w:rPr>
          <w:rFonts w:ascii="Arial" w:hAnsi="Arial"/>
        </w:rPr>
      </w:pPr>
    </w:p>
    <w:p w14:paraId="754FCEFA" w14:textId="77777777" w:rsidR="00711D81" w:rsidRDefault="00711D81">
      <w:pPr>
        <w:rPr>
          <w:rFonts w:ascii="Arial" w:hAnsi="Arial"/>
        </w:rPr>
      </w:pPr>
      <w:r w:rsidRPr="00594DD2">
        <w:rPr>
          <w:rFonts w:ascii="Arial" w:hAnsi="Arial"/>
        </w:rPr>
        <w:t xml:space="preserve">Bei der Darstellung der realen, das heißt inflationsbereinigten, Preisentwicklung des Rohöls können verschiedene </w:t>
      </w:r>
      <w:proofErr w:type="spellStart"/>
      <w:r w:rsidRPr="00594DD2">
        <w:rPr>
          <w:rFonts w:ascii="Arial" w:hAnsi="Arial"/>
        </w:rPr>
        <w:t>Deflatoren</w:t>
      </w:r>
      <w:proofErr w:type="spellEnd"/>
      <w:r w:rsidRPr="00594DD2">
        <w:rPr>
          <w:rFonts w:ascii="Arial" w:hAnsi="Arial"/>
        </w:rPr>
        <w:t xml:space="preserve"> genutzt werden. </w:t>
      </w:r>
      <w:r w:rsidR="008671E4" w:rsidRPr="00594DD2">
        <w:rPr>
          <w:rFonts w:ascii="Arial" w:hAnsi="Arial"/>
        </w:rPr>
        <w:t>Häufig</w:t>
      </w:r>
      <w:r w:rsidRPr="00594DD2">
        <w:rPr>
          <w:rFonts w:ascii="Arial" w:hAnsi="Arial"/>
        </w:rPr>
        <w:t>, so auch hier, wird der Verbraucherpreisindex der USA gewählt (</w:t>
      </w:r>
      <w:r w:rsidR="008671E4" w:rsidRPr="00594DD2">
        <w:rPr>
          <w:rFonts w:ascii="Arial" w:hAnsi="Arial"/>
          <w:b/>
        </w:rPr>
        <w:t>C</w:t>
      </w:r>
      <w:r w:rsidR="008671E4" w:rsidRPr="00594DD2">
        <w:rPr>
          <w:rFonts w:ascii="Arial" w:hAnsi="Arial"/>
        </w:rPr>
        <w:t xml:space="preserve">onsumer </w:t>
      </w:r>
      <w:r w:rsidR="008671E4" w:rsidRPr="00594DD2">
        <w:rPr>
          <w:rFonts w:ascii="Arial" w:hAnsi="Arial"/>
          <w:b/>
        </w:rPr>
        <w:t>P</w:t>
      </w:r>
      <w:r w:rsidR="008671E4" w:rsidRPr="00594DD2">
        <w:rPr>
          <w:rFonts w:ascii="Arial" w:hAnsi="Arial"/>
        </w:rPr>
        <w:t xml:space="preserve">rice </w:t>
      </w:r>
      <w:r w:rsidR="008671E4" w:rsidRPr="00594DD2">
        <w:rPr>
          <w:rFonts w:ascii="Arial" w:hAnsi="Arial"/>
          <w:b/>
        </w:rPr>
        <w:t>I</w:t>
      </w:r>
      <w:r w:rsidR="008671E4" w:rsidRPr="00594DD2">
        <w:rPr>
          <w:rFonts w:ascii="Arial" w:hAnsi="Arial"/>
        </w:rPr>
        <w:t>ndex</w:t>
      </w:r>
      <w:r w:rsidR="008F3336" w:rsidRPr="00594DD2">
        <w:rPr>
          <w:rFonts w:ascii="Arial" w:hAnsi="Arial"/>
        </w:rPr>
        <w:t>-</w:t>
      </w:r>
      <w:r w:rsidR="008671E4" w:rsidRPr="00594DD2">
        <w:rPr>
          <w:rFonts w:ascii="Arial" w:hAnsi="Arial"/>
        </w:rPr>
        <w:t xml:space="preserve">All </w:t>
      </w:r>
      <w:r w:rsidR="008671E4" w:rsidRPr="00594DD2">
        <w:rPr>
          <w:rFonts w:ascii="Arial" w:hAnsi="Arial"/>
          <w:b/>
        </w:rPr>
        <w:t>U</w:t>
      </w:r>
      <w:r w:rsidR="008671E4" w:rsidRPr="00594DD2">
        <w:rPr>
          <w:rFonts w:ascii="Arial" w:hAnsi="Arial"/>
        </w:rPr>
        <w:t xml:space="preserve">rban </w:t>
      </w:r>
      <w:proofErr w:type="spellStart"/>
      <w:r w:rsidR="008671E4" w:rsidRPr="00594DD2">
        <w:rPr>
          <w:rFonts w:ascii="Arial" w:hAnsi="Arial"/>
        </w:rPr>
        <w:t>Consumers</w:t>
      </w:r>
      <w:proofErr w:type="spellEnd"/>
      <w:r w:rsidRPr="00594DD2">
        <w:rPr>
          <w:rFonts w:ascii="Arial" w:hAnsi="Arial"/>
        </w:rPr>
        <w:t>).</w:t>
      </w:r>
      <w:r w:rsidR="00E06186">
        <w:rPr>
          <w:rFonts w:ascii="Arial" w:hAnsi="Arial"/>
        </w:rPr>
        <w:t xml:space="preserve"> </w:t>
      </w:r>
      <w:r w:rsidRPr="00594DD2">
        <w:rPr>
          <w:rFonts w:ascii="Arial" w:hAnsi="Arial"/>
        </w:rPr>
        <w:t xml:space="preserve">Alternativ kann </w:t>
      </w:r>
      <w:r w:rsidR="008671E4" w:rsidRPr="00594DD2">
        <w:rPr>
          <w:rFonts w:ascii="Arial" w:hAnsi="Arial"/>
        </w:rPr>
        <w:t xml:space="preserve">zum Beispiel </w:t>
      </w:r>
      <w:r w:rsidRPr="00594DD2">
        <w:rPr>
          <w:rFonts w:ascii="Arial" w:hAnsi="Arial"/>
        </w:rPr>
        <w:t xml:space="preserve">auch der Exportpreis für verarbeitete Waren aus ökonomisch entwickelten Staaten als </w:t>
      </w:r>
      <w:proofErr w:type="spellStart"/>
      <w:r w:rsidRPr="00594DD2">
        <w:rPr>
          <w:rFonts w:ascii="Arial" w:hAnsi="Arial"/>
        </w:rPr>
        <w:t>Deflator</w:t>
      </w:r>
      <w:proofErr w:type="spellEnd"/>
      <w:r w:rsidRPr="00594DD2">
        <w:rPr>
          <w:rFonts w:ascii="Arial" w:hAnsi="Arial"/>
        </w:rPr>
        <w:t xml:space="preserve"> verwendet werden. Die Unterschiede </w:t>
      </w:r>
      <w:r w:rsidR="008F3336" w:rsidRPr="00594DD2">
        <w:rPr>
          <w:rFonts w:ascii="Arial" w:hAnsi="Arial"/>
        </w:rPr>
        <w:t xml:space="preserve">können </w:t>
      </w:r>
      <w:r w:rsidRPr="00594DD2">
        <w:rPr>
          <w:rFonts w:ascii="Arial" w:hAnsi="Arial"/>
        </w:rPr>
        <w:t>beträchtlich</w:t>
      </w:r>
      <w:r w:rsidR="008F3336" w:rsidRPr="00594DD2">
        <w:rPr>
          <w:rFonts w:ascii="Arial" w:hAnsi="Arial"/>
        </w:rPr>
        <w:t xml:space="preserve"> sein</w:t>
      </w:r>
      <w:r w:rsidRPr="00594DD2">
        <w:rPr>
          <w:rFonts w:ascii="Arial" w:hAnsi="Arial"/>
        </w:rPr>
        <w:t xml:space="preserve">: </w:t>
      </w:r>
      <w:r w:rsidRPr="002C3DED">
        <w:rPr>
          <w:rFonts w:ascii="Arial" w:hAnsi="Arial"/>
        </w:rPr>
        <w:t>Nach Angaben des HWWI war im ersten Fall Rohöl im Jahresdurchschnitt 2008 noch leicht billiger als 1980, im zweiten Fall ist der Preis seitdem um fast die Hälfte gestiegen.</w:t>
      </w:r>
      <w:r w:rsidR="008F3336" w:rsidRPr="00840F0D">
        <w:rPr>
          <w:rFonts w:ascii="Arial" w:hAnsi="Arial"/>
        </w:rPr>
        <w:t xml:space="preserve"> Wird hingegen der Preisanstieg zwischen 1998 und 2008 betrachtet, </w:t>
      </w:r>
      <w:r w:rsidR="00F71A18">
        <w:rPr>
          <w:rFonts w:ascii="Arial" w:hAnsi="Arial"/>
        </w:rPr>
        <w:t xml:space="preserve">ist der Unterschied zwischen den </w:t>
      </w:r>
      <w:proofErr w:type="spellStart"/>
      <w:r w:rsidR="00F71A18" w:rsidRPr="00594DD2">
        <w:rPr>
          <w:rFonts w:ascii="Arial" w:hAnsi="Arial"/>
        </w:rPr>
        <w:t>Deflatoren</w:t>
      </w:r>
      <w:proofErr w:type="spellEnd"/>
      <w:r w:rsidR="00F71A18" w:rsidRPr="00594DD2">
        <w:rPr>
          <w:rFonts w:ascii="Arial" w:hAnsi="Arial"/>
        </w:rPr>
        <w:t xml:space="preserve"> </w:t>
      </w:r>
      <w:r w:rsidR="00F71A18">
        <w:rPr>
          <w:rFonts w:ascii="Arial" w:hAnsi="Arial"/>
        </w:rPr>
        <w:t>unbedeutend</w:t>
      </w:r>
      <w:r w:rsidR="008F3336" w:rsidRPr="00840F0D">
        <w:rPr>
          <w:rFonts w:ascii="Arial" w:hAnsi="Arial"/>
        </w:rPr>
        <w:t>.</w:t>
      </w:r>
    </w:p>
    <w:p w14:paraId="11C453FE" w14:textId="77777777" w:rsidR="00E06186" w:rsidRDefault="00E06186">
      <w:pPr>
        <w:rPr>
          <w:rFonts w:ascii="Arial" w:hAnsi="Arial"/>
        </w:rPr>
      </w:pPr>
    </w:p>
    <w:p w14:paraId="33D704D3" w14:textId="77777777" w:rsidR="001E2C5D" w:rsidRDefault="001E2C5D" w:rsidP="000F57D5">
      <w:pPr>
        <w:tabs>
          <w:tab w:val="left" w:pos="5855"/>
        </w:tabs>
        <w:rPr>
          <w:rFonts w:ascii="Arial" w:hAnsi="Arial"/>
        </w:rPr>
      </w:pPr>
      <w:r w:rsidRPr="00E43331">
        <w:rPr>
          <w:rFonts w:ascii="Arial" w:hAnsi="Arial"/>
        </w:rPr>
        <w:t xml:space="preserve">Informationen zur </w:t>
      </w:r>
      <w:r w:rsidRPr="00E43331">
        <w:rPr>
          <w:rFonts w:ascii="Arial" w:hAnsi="Arial"/>
          <w:b/>
          <w:bCs/>
        </w:rPr>
        <w:t xml:space="preserve">Entwicklung </w:t>
      </w:r>
      <w:r>
        <w:rPr>
          <w:rFonts w:ascii="Arial" w:hAnsi="Arial"/>
          <w:b/>
          <w:bCs/>
        </w:rPr>
        <w:t xml:space="preserve">der Rohstoffpreise </w:t>
      </w:r>
      <w:r w:rsidRPr="00E43331">
        <w:rPr>
          <w:rFonts w:ascii="Arial" w:hAnsi="Arial"/>
          <w:bCs/>
        </w:rPr>
        <w:t>erhalten Sie hier</w:t>
      </w:r>
      <w:r w:rsidR="002F33E3">
        <w:rPr>
          <w:rFonts w:ascii="Arial" w:hAnsi="Arial"/>
          <w:bCs/>
        </w:rPr>
        <w:t>:</w:t>
      </w:r>
      <w:r w:rsidR="00EE0C1A">
        <w:rPr>
          <w:rFonts w:ascii="Arial" w:hAnsi="Arial"/>
          <w:bCs/>
        </w:rPr>
        <w:t xml:space="preserve"> </w:t>
      </w:r>
      <w:hyperlink r:id="rId8" w:history="1">
        <w:r w:rsidR="002F33E3" w:rsidRPr="00CF1C41">
          <w:rPr>
            <w:rStyle w:val="Hyperlink"/>
            <w:rFonts w:ascii="Arial" w:hAnsi="Arial"/>
          </w:rPr>
          <w:t>http://www.bpb.de/52664</w:t>
        </w:r>
      </w:hyperlink>
    </w:p>
    <w:p w14:paraId="5AE0EC6A" w14:textId="77777777" w:rsidR="001E2C5D" w:rsidRDefault="001E2C5D" w:rsidP="000F57D5">
      <w:pPr>
        <w:tabs>
          <w:tab w:val="left" w:pos="5855"/>
        </w:tabs>
        <w:rPr>
          <w:rFonts w:ascii="Arial" w:hAnsi="Arial"/>
        </w:rPr>
      </w:pPr>
    </w:p>
    <w:p w14:paraId="01DA8F94" w14:textId="77777777" w:rsidR="000F57D5" w:rsidRPr="00E43331" w:rsidRDefault="000F57D5" w:rsidP="000F57D5">
      <w:pPr>
        <w:tabs>
          <w:tab w:val="left" w:pos="5855"/>
        </w:tabs>
        <w:rPr>
          <w:rFonts w:ascii="Arial" w:hAnsi="Arial"/>
        </w:rPr>
      </w:pPr>
      <w:r w:rsidRPr="00E43331">
        <w:rPr>
          <w:rFonts w:ascii="Arial" w:hAnsi="Arial"/>
        </w:rPr>
        <w:t xml:space="preserve">Weitere Informationen zur </w:t>
      </w:r>
      <w:r w:rsidRPr="00E43331">
        <w:rPr>
          <w:rFonts w:ascii="Arial" w:hAnsi="Arial"/>
          <w:b/>
          <w:bCs/>
        </w:rPr>
        <w:t xml:space="preserve">weltweiten Primärenergie-Versorgung </w:t>
      </w:r>
      <w:r w:rsidRPr="00E43331">
        <w:rPr>
          <w:rFonts w:ascii="Arial" w:hAnsi="Arial"/>
          <w:bCs/>
        </w:rPr>
        <w:t>erhalten Sie hier</w:t>
      </w:r>
      <w:r w:rsidR="002F33E3">
        <w:rPr>
          <w:rFonts w:ascii="Arial" w:hAnsi="Arial"/>
          <w:bCs/>
        </w:rPr>
        <w:t>:</w:t>
      </w:r>
      <w:r w:rsidR="00EE0C1A">
        <w:rPr>
          <w:rFonts w:ascii="Arial" w:hAnsi="Arial"/>
          <w:bCs/>
        </w:rPr>
        <w:t xml:space="preserve"> </w:t>
      </w:r>
      <w:hyperlink r:id="rId9" w:history="1">
        <w:r w:rsidR="002F33E3" w:rsidRPr="00CF1C41">
          <w:rPr>
            <w:rStyle w:val="Hyperlink"/>
            <w:rFonts w:ascii="Arial" w:hAnsi="Arial"/>
          </w:rPr>
          <w:t>http://www.bpb.de/52741</w:t>
        </w:r>
      </w:hyperlink>
    </w:p>
    <w:p w14:paraId="38C2D7EA" w14:textId="77777777" w:rsidR="000F57D5" w:rsidRPr="00E43331" w:rsidRDefault="000F57D5" w:rsidP="000F57D5">
      <w:pPr>
        <w:rPr>
          <w:rFonts w:ascii="Arial" w:hAnsi="Arial"/>
        </w:rPr>
      </w:pPr>
    </w:p>
    <w:p w14:paraId="25E1F9DD" w14:textId="77777777" w:rsidR="000F57D5" w:rsidRPr="00E43331" w:rsidRDefault="000F57D5" w:rsidP="000F57D5">
      <w:pPr>
        <w:tabs>
          <w:tab w:val="left" w:pos="5855"/>
        </w:tabs>
        <w:rPr>
          <w:rFonts w:ascii="Arial" w:hAnsi="Arial"/>
          <w:bCs/>
        </w:rPr>
      </w:pPr>
      <w:r w:rsidRPr="00E43331">
        <w:rPr>
          <w:rFonts w:ascii="Arial" w:hAnsi="Arial"/>
        </w:rPr>
        <w:lastRenderedPageBreak/>
        <w:t xml:space="preserve">Weitere Informationen zur </w:t>
      </w:r>
      <w:r w:rsidRPr="00E43331">
        <w:rPr>
          <w:rFonts w:ascii="Arial" w:hAnsi="Arial"/>
          <w:b/>
          <w:bCs/>
        </w:rPr>
        <w:t xml:space="preserve">Entwicklung des grenzüberschreitenden Warenhandels </w:t>
      </w:r>
      <w:r w:rsidRPr="00E43331">
        <w:rPr>
          <w:rFonts w:ascii="Arial" w:hAnsi="Arial"/>
          <w:bCs/>
        </w:rPr>
        <w:t>erhalten Sie hier</w:t>
      </w:r>
      <w:r w:rsidR="002F33E3">
        <w:rPr>
          <w:rFonts w:ascii="Arial" w:hAnsi="Arial"/>
          <w:bCs/>
        </w:rPr>
        <w:t>:</w:t>
      </w:r>
      <w:r w:rsidR="00EE0C1A">
        <w:rPr>
          <w:rFonts w:ascii="Arial" w:hAnsi="Arial"/>
          <w:bCs/>
        </w:rPr>
        <w:t xml:space="preserve"> </w:t>
      </w:r>
      <w:hyperlink r:id="rId10" w:history="1">
        <w:r w:rsidR="00CD6B6C" w:rsidRPr="00CF1C41">
          <w:rPr>
            <w:rStyle w:val="Hyperlink"/>
            <w:rFonts w:ascii="Arial" w:hAnsi="Arial"/>
            <w:bCs/>
          </w:rPr>
          <w:t>http://www.bpb.de/52543</w:t>
        </w:r>
      </w:hyperlink>
    </w:p>
    <w:p w14:paraId="693B5332" w14:textId="77777777" w:rsidR="000F57D5" w:rsidRPr="00E43331" w:rsidRDefault="000F57D5" w:rsidP="000F57D5">
      <w:pPr>
        <w:rPr>
          <w:rFonts w:ascii="Arial" w:hAnsi="Arial"/>
        </w:rPr>
      </w:pPr>
    </w:p>
    <w:p w14:paraId="23F3A30C" w14:textId="77777777" w:rsidR="00D83506" w:rsidRDefault="00E71760" w:rsidP="00D83506">
      <w:pPr>
        <w:rPr>
          <w:rFonts w:ascii="Arial" w:hAnsi="Arial"/>
        </w:rPr>
      </w:pPr>
      <w:r>
        <w:rPr>
          <w:rFonts w:ascii="Arial" w:hAnsi="Arial"/>
        </w:rPr>
        <w:t>Um die Energieträger vergleichbar zu machen, werden sie mithilfe einzelner Umrechnungsfaktoren auf das Öl bezogen (</w:t>
      </w:r>
      <w:r w:rsidRPr="00E71181">
        <w:rPr>
          <w:rFonts w:ascii="Arial" w:hAnsi="Arial"/>
          <w:b/>
        </w:rPr>
        <w:t>Öläquivalent</w:t>
      </w:r>
      <w:r>
        <w:rPr>
          <w:rFonts w:ascii="Arial" w:hAnsi="Arial"/>
        </w:rPr>
        <w:t xml:space="preserve">). </w:t>
      </w:r>
      <w:r w:rsidR="00D83506" w:rsidRPr="00561DCA">
        <w:rPr>
          <w:rFonts w:ascii="Arial" w:hAnsi="Arial"/>
        </w:rPr>
        <w:t xml:space="preserve">Nach Angaben des Statistical Review </w:t>
      </w:r>
      <w:proofErr w:type="spellStart"/>
      <w:r w:rsidR="00D83506" w:rsidRPr="00561DCA">
        <w:rPr>
          <w:rFonts w:ascii="Arial" w:hAnsi="Arial"/>
        </w:rPr>
        <w:t>of</w:t>
      </w:r>
      <w:proofErr w:type="spellEnd"/>
      <w:r w:rsidR="00D83506" w:rsidRPr="00561DCA">
        <w:rPr>
          <w:rFonts w:ascii="Arial" w:hAnsi="Arial"/>
        </w:rPr>
        <w:t xml:space="preserve"> World </w:t>
      </w:r>
      <w:proofErr w:type="spellStart"/>
      <w:r w:rsidR="00D83506" w:rsidRPr="00561DCA">
        <w:rPr>
          <w:rFonts w:ascii="Arial" w:hAnsi="Arial"/>
        </w:rPr>
        <w:t>Energy</w:t>
      </w:r>
      <w:proofErr w:type="spellEnd"/>
      <w:r w:rsidR="00D83506" w:rsidRPr="00561DCA">
        <w:rPr>
          <w:rFonts w:ascii="Arial" w:hAnsi="Arial"/>
        </w:rPr>
        <w:t xml:space="preserve"> 2019 des Energiekonzerns British Petroleum (BP) entspricht eine Tonne Öläquivalent beispielsweise in etwa 1,5 Tonnen Steinkohle, 1.163 Kubikmeter Erdgas oder auch 12 Megawattstunden (Primärenergie).</w:t>
      </w:r>
    </w:p>
    <w:p w14:paraId="54C2BCD4" w14:textId="77777777" w:rsidR="00E06186" w:rsidRDefault="00E06186" w:rsidP="00D83506">
      <w:pPr>
        <w:rPr>
          <w:rFonts w:ascii="Arial" w:hAnsi="Arial"/>
        </w:rPr>
      </w:pPr>
    </w:p>
    <w:p w14:paraId="4DD2F711" w14:textId="77777777" w:rsidR="005D10D2" w:rsidRDefault="00E06186" w:rsidP="00E71760">
      <w:pPr>
        <w:rPr>
          <w:rFonts w:ascii="Arial" w:hAnsi="Arial"/>
        </w:rPr>
      </w:pPr>
      <w:r>
        <w:rPr>
          <w:rFonts w:ascii="Arial" w:hAnsi="Arial"/>
        </w:rPr>
        <w:t>M</w:t>
      </w:r>
      <w:r w:rsidR="005D10D2" w:rsidRPr="004A6838">
        <w:rPr>
          <w:rFonts w:ascii="Arial" w:hAnsi="Arial"/>
        </w:rPr>
        <w:t xml:space="preserve">itglieder der Organisation der Erdöl exportierenden Länder – </w:t>
      </w:r>
      <w:r w:rsidR="005D10D2" w:rsidRPr="004A6838">
        <w:rPr>
          <w:rFonts w:ascii="Arial" w:hAnsi="Arial"/>
          <w:b/>
        </w:rPr>
        <w:t>OPEC</w:t>
      </w:r>
      <w:r w:rsidR="005D10D2" w:rsidRPr="004A6838">
        <w:rPr>
          <w:rFonts w:ascii="Arial" w:hAnsi="Arial"/>
        </w:rPr>
        <w:t xml:space="preserve"> (</w:t>
      </w:r>
      <w:proofErr w:type="spellStart"/>
      <w:r w:rsidR="005D10D2" w:rsidRPr="004A6838">
        <w:rPr>
          <w:rFonts w:ascii="Arial" w:hAnsi="Arial"/>
        </w:rPr>
        <w:t>Organization</w:t>
      </w:r>
      <w:proofErr w:type="spellEnd"/>
      <w:r w:rsidR="005D10D2" w:rsidRPr="004A6838">
        <w:rPr>
          <w:rFonts w:ascii="Arial" w:hAnsi="Arial"/>
        </w:rPr>
        <w:t xml:space="preserve"> </w:t>
      </w:r>
      <w:proofErr w:type="spellStart"/>
      <w:r w:rsidR="005D10D2" w:rsidRPr="004A6838">
        <w:rPr>
          <w:rFonts w:ascii="Arial" w:hAnsi="Arial"/>
        </w:rPr>
        <w:t>of</w:t>
      </w:r>
      <w:proofErr w:type="spellEnd"/>
      <w:r w:rsidR="005D10D2" w:rsidRPr="004A6838">
        <w:rPr>
          <w:rFonts w:ascii="Arial" w:hAnsi="Arial"/>
        </w:rPr>
        <w:t xml:space="preserve"> </w:t>
      </w:r>
      <w:proofErr w:type="spellStart"/>
      <w:r w:rsidR="005D10D2" w:rsidRPr="004A6838">
        <w:rPr>
          <w:rFonts w:ascii="Arial" w:hAnsi="Arial"/>
        </w:rPr>
        <w:t>the</w:t>
      </w:r>
      <w:proofErr w:type="spellEnd"/>
      <w:r w:rsidR="005D10D2" w:rsidRPr="004A6838">
        <w:rPr>
          <w:rFonts w:ascii="Arial" w:hAnsi="Arial"/>
        </w:rPr>
        <w:t xml:space="preserve"> Petroleum </w:t>
      </w:r>
      <w:proofErr w:type="spellStart"/>
      <w:r w:rsidR="005D10D2" w:rsidRPr="004A6838">
        <w:rPr>
          <w:rFonts w:ascii="Arial" w:hAnsi="Arial"/>
        </w:rPr>
        <w:t>Exporting</w:t>
      </w:r>
      <w:proofErr w:type="spellEnd"/>
      <w:r w:rsidR="005D10D2" w:rsidRPr="004A6838">
        <w:rPr>
          <w:rFonts w:ascii="Arial" w:hAnsi="Arial"/>
        </w:rPr>
        <w:t xml:space="preserve"> Countries):</w:t>
      </w:r>
      <w:r w:rsidR="004519E1" w:rsidRPr="00A542BC">
        <w:rPr>
          <w:rFonts w:ascii="Arial" w:hAnsi="Arial"/>
        </w:rPr>
        <w:t xml:space="preserve"> Algerien, Angola, Äquatorialguinea, Gabun, Irak, Iran, Kongo, Kuwait, Libyen, Nigeria, Saudi-Arabien, Venezuela sowie die Vereinigten Arabischen Emirate.</w:t>
      </w:r>
    </w:p>
    <w:p w14:paraId="315D3027" w14:textId="77777777" w:rsidR="00E06186" w:rsidRDefault="00E06186" w:rsidP="00E71760">
      <w:pPr>
        <w:rPr>
          <w:rFonts w:ascii="Arial" w:hAnsi="Arial"/>
        </w:rPr>
      </w:pPr>
    </w:p>
    <w:p w14:paraId="5F0D0E00" w14:textId="77777777" w:rsidR="00556CB7" w:rsidRDefault="005D10D2" w:rsidP="00E71760">
      <w:pPr>
        <w:rPr>
          <w:rFonts w:ascii="Arial" w:hAnsi="Arial"/>
        </w:rPr>
      </w:pPr>
      <w:r w:rsidRPr="005D10D2">
        <w:rPr>
          <w:rFonts w:ascii="Arial" w:hAnsi="Arial"/>
        </w:rPr>
        <w:t>1 Barrel</w:t>
      </w:r>
      <w:r w:rsidR="00B21CFE">
        <w:rPr>
          <w:rFonts w:ascii="Arial" w:hAnsi="Arial"/>
        </w:rPr>
        <w:t xml:space="preserve"> entspricht rund 159 Litern Öl.</w:t>
      </w:r>
    </w:p>
    <w:p w14:paraId="12DEFAEE" w14:textId="77777777" w:rsidR="00E06186" w:rsidRDefault="00E06186" w:rsidP="00E71760">
      <w:pPr>
        <w:rPr>
          <w:rFonts w:ascii="Arial" w:hAnsi="Arial"/>
        </w:rPr>
      </w:pPr>
    </w:p>
    <w:p w14:paraId="0F4D49A4" w14:textId="77777777" w:rsidR="005D10D2" w:rsidRDefault="005D10D2" w:rsidP="00E71760">
      <w:pPr>
        <w:rPr>
          <w:rFonts w:ascii="Arial" w:hAnsi="Arial"/>
        </w:rPr>
      </w:pPr>
      <w:r w:rsidRPr="005D10D2">
        <w:rPr>
          <w:rFonts w:ascii="Arial" w:hAnsi="Arial"/>
        </w:rPr>
        <w:t>1.000 Liter entsprechen 6,2898 Barrel Öl.</w:t>
      </w:r>
    </w:p>
    <w:p w14:paraId="230ECF81" w14:textId="77777777" w:rsidR="00556CB7" w:rsidRDefault="00556CB7" w:rsidP="00E71760">
      <w:pPr>
        <w:rPr>
          <w:rFonts w:ascii="Arial" w:hAnsi="Arial"/>
        </w:rPr>
      </w:pPr>
    </w:p>
    <w:p w14:paraId="0A3B40D0" w14:textId="77777777" w:rsidR="00B66D93" w:rsidRDefault="00B66D93" w:rsidP="00E71760">
      <w:pPr>
        <w:rPr>
          <w:rFonts w:ascii="Arial" w:hAnsi="Arial"/>
        </w:rPr>
      </w:pPr>
      <w:proofErr w:type="spellStart"/>
      <w:r w:rsidRPr="00B66D93">
        <w:rPr>
          <w:rFonts w:ascii="Arial" w:hAnsi="Arial"/>
        </w:rPr>
        <w:t>Hydraulic</w:t>
      </w:r>
      <w:proofErr w:type="spellEnd"/>
      <w:r w:rsidRPr="00B66D93">
        <w:rPr>
          <w:rFonts w:ascii="Arial" w:hAnsi="Arial"/>
        </w:rPr>
        <w:t xml:space="preserve"> </w:t>
      </w:r>
      <w:proofErr w:type="spellStart"/>
      <w:r w:rsidRPr="00B66D93">
        <w:rPr>
          <w:rFonts w:ascii="Arial" w:hAnsi="Arial"/>
        </w:rPr>
        <w:t>Fracturing</w:t>
      </w:r>
      <w:proofErr w:type="spellEnd"/>
      <w:r w:rsidRPr="00B66D93">
        <w:rPr>
          <w:rFonts w:ascii="Arial" w:hAnsi="Arial"/>
        </w:rPr>
        <w:t xml:space="preserve"> (deutsch: hydraulische Risserzeugung), kurz auch </w:t>
      </w:r>
      <w:r w:rsidRPr="00B66D93">
        <w:rPr>
          <w:rFonts w:ascii="Arial" w:hAnsi="Arial"/>
          <w:b/>
          <w:bCs/>
        </w:rPr>
        <w:t xml:space="preserve">Fracking </w:t>
      </w:r>
      <w:r w:rsidRPr="00B66D93">
        <w:rPr>
          <w:rFonts w:ascii="Arial" w:hAnsi="Arial"/>
        </w:rPr>
        <w:t xml:space="preserve">genannt, ist eine seit </w:t>
      </w:r>
      <w:r w:rsidR="00362BC5">
        <w:rPr>
          <w:rFonts w:ascii="Arial" w:hAnsi="Arial"/>
        </w:rPr>
        <w:t xml:space="preserve">vielen </w:t>
      </w:r>
      <w:r w:rsidRPr="00B66D93">
        <w:rPr>
          <w:rFonts w:ascii="Arial" w:hAnsi="Arial"/>
        </w:rPr>
        <w:t>Jahrzehnten bekannte</w:t>
      </w:r>
      <w:r w:rsidR="00362BC5">
        <w:rPr>
          <w:rFonts w:ascii="Arial" w:hAnsi="Arial"/>
        </w:rPr>
        <w:t xml:space="preserve"> </w:t>
      </w:r>
      <w:r w:rsidRPr="00B66D93">
        <w:rPr>
          <w:rFonts w:ascii="Arial" w:hAnsi="Arial"/>
        </w:rPr>
        <w:t xml:space="preserve">Technik zur Erschließung unterirdischer Lagerstätten. Sie wird angewendet, um die Durchlässigkeit von Gesteinen zu steigern und dadurch die Förderung von Erdgas, Erdöl und geothermischer Energie zu verbessern oder in manchen Fällen überhaupt erst zu ermöglichen. Dazu wird das Gestein durch </w:t>
      </w:r>
      <w:r w:rsidRPr="00D83506">
        <w:rPr>
          <w:rFonts w:ascii="Arial" w:hAnsi="Arial"/>
        </w:rPr>
        <w:t>Einpressen einer Flüssigkeit unter hohem Druck aufgebrochen. Die durch Fracking technisch förderbaren nicht-konventionellen Öl- und Gasressourcen sind regional anders verteilt als konventionelle Öl- und Gasressourcen.</w:t>
      </w:r>
    </w:p>
    <w:p w14:paraId="1E3220D7" w14:textId="77777777" w:rsidR="00E06186" w:rsidRDefault="00E06186" w:rsidP="00E71760">
      <w:pPr>
        <w:rPr>
          <w:rFonts w:ascii="Arial" w:hAnsi="Arial"/>
        </w:rPr>
      </w:pPr>
    </w:p>
    <w:p w14:paraId="04229134" w14:textId="77777777" w:rsidR="00D02D35" w:rsidRPr="00D83506" w:rsidRDefault="00D83506" w:rsidP="00D83506">
      <w:pPr>
        <w:rPr>
          <w:rFonts w:ascii="Arial" w:hAnsi="Arial"/>
          <w:sz w:val="20"/>
          <w:szCs w:val="20"/>
        </w:rPr>
      </w:pPr>
      <w:r w:rsidRPr="00D83506">
        <w:rPr>
          <w:rFonts w:ascii="Arial" w:hAnsi="Arial"/>
          <w:sz w:val="20"/>
          <w:szCs w:val="20"/>
        </w:rPr>
        <w:t>Dieser Text ist unter der Creative Commons Lizenz CC BY-NC-ND 4.0 veröffentlicht.</w:t>
      </w:r>
      <w:r w:rsidR="00D02D35" w:rsidRPr="00D83506">
        <w:rPr>
          <w:rFonts w:ascii="Arial" w:hAnsi="Arial"/>
          <w:sz w:val="20"/>
          <w:szCs w:val="20"/>
        </w:rPr>
        <w:t xml:space="preserve"> </w:t>
      </w:r>
    </w:p>
    <w:p w14:paraId="3D293B1A" w14:textId="77777777" w:rsidR="00711D81" w:rsidRPr="00D83506" w:rsidRDefault="00D83506" w:rsidP="00D83506">
      <w:pPr>
        <w:rPr>
          <w:rFonts w:ascii="Arial" w:hAnsi="Arial"/>
          <w:sz w:val="20"/>
          <w:szCs w:val="20"/>
        </w:rPr>
      </w:pPr>
      <w:r w:rsidRPr="00D83506">
        <w:rPr>
          <w:rFonts w:ascii="Arial" w:hAnsi="Arial"/>
          <w:sz w:val="20"/>
          <w:szCs w:val="20"/>
        </w:rPr>
        <w:t xml:space="preserve">Bundeszentrale für politische Bildung 2023 | </w:t>
      </w:r>
      <w:hyperlink r:id="rId11" w:history="1">
        <w:r w:rsidRPr="00D83506">
          <w:rPr>
            <w:rFonts w:ascii="Arial" w:hAnsi="Arial"/>
            <w:sz w:val="20"/>
            <w:szCs w:val="20"/>
          </w:rPr>
          <w:t>www.bpb.de</w:t>
        </w:r>
      </w:hyperlink>
    </w:p>
    <w:sectPr w:rsidR="00711D81" w:rsidRPr="00D8350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0DC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0DCB7" w16cid:durableId="295114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89A67" w14:textId="77777777" w:rsidR="00604E62" w:rsidRDefault="00604E62" w:rsidP="008E424F">
      <w:r>
        <w:separator/>
      </w:r>
    </w:p>
  </w:endnote>
  <w:endnote w:type="continuationSeparator" w:id="0">
    <w:p w14:paraId="49A694CD" w14:textId="77777777" w:rsidR="00604E62" w:rsidRDefault="00604E62" w:rsidP="008E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69F1A" w14:textId="77777777" w:rsidR="008E424F" w:rsidRDefault="008E424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05431" w14:textId="77777777" w:rsidR="008E424F" w:rsidRDefault="008E424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68B29" w14:textId="77777777" w:rsidR="008E424F" w:rsidRDefault="008E42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8A3A2" w14:textId="77777777" w:rsidR="00604E62" w:rsidRDefault="00604E62" w:rsidP="008E424F">
      <w:r>
        <w:separator/>
      </w:r>
    </w:p>
  </w:footnote>
  <w:footnote w:type="continuationSeparator" w:id="0">
    <w:p w14:paraId="240F715E" w14:textId="77777777" w:rsidR="00604E62" w:rsidRDefault="00604E62" w:rsidP="008E4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93BBF" w14:textId="77777777" w:rsidR="008E424F" w:rsidRDefault="008E424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9525" w14:textId="77777777" w:rsidR="008E424F" w:rsidRDefault="008E424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36360" w14:textId="77777777" w:rsidR="008E424F" w:rsidRDefault="008E424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20460"/>
    <w:multiLevelType w:val="hybridMultilevel"/>
    <w:tmpl w:val="142E8950"/>
    <w:lvl w:ilvl="0" w:tplc="04070001">
      <w:start w:val="1"/>
      <w:numFmt w:val="bullet"/>
      <w:lvlText w:val=""/>
      <w:lvlJc w:val="left"/>
      <w:pPr>
        <w:ind w:left="720" w:hanging="360"/>
      </w:pPr>
      <w:rPr>
        <w:rFonts w:ascii="Symbol" w:hAnsi="Symbo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A612314"/>
    <w:multiLevelType w:val="hybridMultilevel"/>
    <w:tmpl w:val="B3987A34"/>
    <w:lvl w:ilvl="0" w:tplc="6BA034B6">
      <w:numFmt w:val="bullet"/>
      <w:lvlText w:val="-"/>
      <w:lvlJc w:val="left"/>
      <w:pPr>
        <w:ind w:left="720" w:hanging="360"/>
      </w:pPr>
      <w:rPr>
        <w:rFonts w:ascii="Arial" w:eastAsia="Times New Roman"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47"/>
    <w:rsid w:val="00002A91"/>
    <w:rsid w:val="000357D8"/>
    <w:rsid w:val="00045F27"/>
    <w:rsid w:val="00056823"/>
    <w:rsid w:val="000569AF"/>
    <w:rsid w:val="0006157D"/>
    <w:rsid w:val="00081D67"/>
    <w:rsid w:val="000C4AA6"/>
    <w:rsid w:val="000E2997"/>
    <w:rsid w:val="000F57D5"/>
    <w:rsid w:val="001014BE"/>
    <w:rsid w:val="0012524B"/>
    <w:rsid w:val="001324A5"/>
    <w:rsid w:val="00164391"/>
    <w:rsid w:val="001A053B"/>
    <w:rsid w:val="001C09FE"/>
    <w:rsid w:val="001E2C5D"/>
    <w:rsid w:val="001F496D"/>
    <w:rsid w:val="001F73EA"/>
    <w:rsid w:val="00220322"/>
    <w:rsid w:val="00270455"/>
    <w:rsid w:val="002A7E4E"/>
    <w:rsid w:val="002B1A76"/>
    <w:rsid w:val="002B6710"/>
    <w:rsid w:val="002C39F5"/>
    <w:rsid w:val="002C3DED"/>
    <w:rsid w:val="002C63AE"/>
    <w:rsid w:val="002D09D3"/>
    <w:rsid w:val="002F33E3"/>
    <w:rsid w:val="00332B90"/>
    <w:rsid w:val="00352474"/>
    <w:rsid w:val="00362BC5"/>
    <w:rsid w:val="00366AF4"/>
    <w:rsid w:val="00366CF2"/>
    <w:rsid w:val="003900C8"/>
    <w:rsid w:val="003C72C2"/>
    <w:rsid w:val="003E7DB9"/>
    <w:rsid w:val="003F4F02"/>
    <w:rsid w:val="004053F0"/>
    <w:rsid w:val="004519E1"/>
    <w:rsid w:val="00477F47"/>
    <w:rsid w:val="00486870"/>
    <w:rsid w:val="004972AD"/>
    <w:rsid w:val="004A6838"/>
    <w:rsid w:val="004B22A5"/>
    <w:rsid w:val="004C4F57"/>
    <w:rsid w:val="005478BD"/>
    <w:rsid w:val="00556CB7"/>
    <w:rsid w:val="00594DD2"/>
    <w:rsid w:val="005D10D2"/>
    <w:rsid w:val="005D2290"/>
    <w:rsid w:val="005E5D31"/>
    <w:rsid w:val="00604E62"/>
    <w:rsid w:val="00611123"/>
    <w:rsid w:val="00633FB1"/>
    <w:rsid w:val="00662210"/>
    <w:rsid w:val="006A46F4"/>
    <w:rsid w:val="006B3CD5"/>
    <w:rsid w:val="006B7EF2"/>
    <w:rsid w:val="006F2332"/>
    <w:rsid w:val="00711D81"/>
    <w:rsid w:val="0071406B"/>
    <w:rsid w:val="00723655"/>
    <w:rsid w:val="00736432"/>
    <w:rsid w:val="00791AF2"/>
    <w:rsid w:val="007C4D25"/>
    <w:rsid w:val="007D4594"/>
    <w:rsid w:val="007E67F9"/>
    <w:rsid w:val="007F14BC"/>
    <w:rsid w:val="007F4420"/>
    <w:rsid w:val="008125BD"/>
    <w:rsid w:val="00840F0D"/>
    <w:rsid w:val="00847E52"/>
    <w:rsid w:val="008671E4"/>
    <w:rsid w:val="00895A1A"/>
    <w:rsid w:val="008963BC"/>
    <w:rsid w:val="008A1154"/>
    <w:rsid w:val="008C2685"/>
    <w:rsid w:val="008D11FE"/>
    <w:rsid w:val="008D2818"/>
    <w:rsid w:val="008E424F"/>
    <w:rsid w:val="008F3336"/>
    <w:rsid w:val="009016F0"/>
    <w:rsid w:val="00902AD2"/>
    <w:rsid w:val="009211AF"/>
    <w:rsid w:val="0092369D"/>
    <w:rsid w:val="00944AE9"/>
    <w:rsid w:val="00957347"/>
    <w:rsid w:val="009B12DE"/>
    <w:rsid w:val="009B6F59"/>
    <w:rsid w:val="009F6195"/>
    <w:rsid w:val="00A01B46"/>
    <w:rsid w:val="00A160ED"/>
    <w:rsid w:val="00A1769E"/>
    <w:rsid w:val="00A451FA"/>
    <w:rsid w:val="00A523F4"/>
    <w:rsid w:val="00A542BC"/>
    <w:rsid w:val="00A84C1B"/>
    <w:rsid w:val="00AA21BC"/>
    <w:rsid w:val="00AE43B6"/>
    <w:rsid w:val="00B024D5"/>
    <w:rsid w:val="00B21CFE"/>
    <w:rsid w:val="00B52202"/>
    <w:rsid w:val="00B66D93"/>
    <w:rsid w:val="00BA1D2E"/>
    <w:rsid w:val="00BB0806"/>
    <w:rsid w:val="00BB19AF"/>
    <w:rsid w:val="00BB6777"/>
    <w:rsid w:val="00C0657C"/>
    <w:rsid w:val="00C153A6"/>
    <w:rsid w:val="00C15E68"/>
    <w:rsid w:val="00C254D9"/>
    <w:rsid w:val="00C64FAA"/>
    <w:rsid w:val="00C65AEF"/>
    <w:rsid w:val="00C877C6"/>
    <w:rsid w:val="00CA76D1"/>
    <w:rsid w:val="00CB05A4"/>
    <w:rsid w:val="00CC3D13"/>
    <w:rsid w:val="00CD6B6C"/>
    <w:rsid w:val="00D02D35"/>
    <w:rsid w:val="00D1440D"/>
    <w:rsid w:val="00D2352A"/>
    <w:rsid w:val="00D25C61"/>
    <w:rsid w:val="00D464EC"/>
    <w:rsid w:val="00D701F9"/>
    <w:rsid w:val="00D8162B"/>
    <w:rsid w:val="00D83506"/>
    <w:rsid w:val="00DA398E"/>
    <w:rsid w:val="00DC6000"/>
    <w:rsid w:val="00DE17FF"/>
    <w:rsid w:val="00DE42B3"/>
    <w:rsid w:val="00DF7080"/>
    <w:rsid w:val="00E06186"/>
    <w:rsid w:val="00E119DE"/>
    <w:rsid w:val="00E341A8"/>
    <w:rsid w:val="00E43331"/>
    <w:rsid w:val="00E44176"/>
    <w:rsid w:val="00E57FC3"/>
    <w:rsid w:val="00E71760"/>
    <w:rsid w:val="00E84CF3"/>
    <w:rsid w:val="00E915FD"/>
    <w:rsid w:val="00EC1C5A"/>
    <w:rsid w:val="00EE0C1A"/>
    <w:rsid w:val="00EE5ECB"/>
    <w:rsid w:val="00F01D49"/>
    <w:rsid w:val="00F03490"/>
    <w:rsid w:val="00F16D01"/>
    <w:rsid w:val="00F54EF4"/>
    <w:rsid w:val="00F71A18"/>
    <w:rsid w:val="00F76421"/>
    <w:rsid w:val="00F9654E"/>
    <w:rsid w:val="00FA00E7"/>
    <w:rsid w:val="00FA1149"/>
    <w:rsid w:val="00FC3C0F"/>
    <w:rsid w:val="00FD4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A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23F4"/>
    <w:rPr>
      <w:sz w:val="24"/>
      <w:szCs w:val="24"/>
    </w:rPr>
  </w:style>
  <w:style w:type="paragraph" w:styleId="berschrift1">
    <w:name w:val="heading 1"/>
    <w:basedOn w:val="Standard"/>
    <w:next w:val="Standard"/>
    <w:link w:val="berschrift1Zchn"/>
    <w:uiPriority w:val="9"/>
    <w:qFormat/>
    <w:rsid w:val="008671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11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basedOn w:val="Absatz-Standardschriftart"/>
    <w:rPr>
      <w:color w:val="0000FF"/>
      <w:u w:val="single"/>
    </w:rPr>
  </w:style>
  <w:style w:type="paragraph" w:styleId="Textkrper">
    <w:name w:val="Body Text"/>
    <w:basedOn w:val="Standard"/>
    <w:rPr>
      <w:rFonts w:ascii="Arial" w:hAnsi="Arial"/>
      <w:i/>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berschrift2Zchn">
    <w:name w:val="Überschrift 2 Zchn"/>
    <w:basedOn w:val="Absatz-Standardschriftart"/>
    <w:link w:val="berschrift2"/>
    <w:uiPriority w:val="9"/>
    <w:semiHidden/>
    <w:rsid w:val="009211AF"/>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E57FC3"/>
    <w:rPr>
      <w:b/>
      <w:bCs/>
    </w:rPr>
  </w:style>
  <w:style w:type="character" w:customStyle="1" w:styleId="berschrift1Zchn">
    <w:name w:val="Überschrift 1 Zchn"/>
    <w:basedOn w:val="Absatz-Standardschriftart"/>
    <w:link w:val="berschrift1"/>
    <w:uiPriority w:val="9"/>
    <w:rsid w:val="008671E4"/>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8E424F"/>
    <w:pPr>
      <w:tabs>
        <w:tab w:val="center" w:pos="4536"/>
        <w:tab w:val="right" w:pos="9072"/>
      </w:tabs>
    </w:pPr>
  </w:style>
  <w:style w:type="character" w:customStyle="1" w:styleId="KopfzeileZchn">
    <w:name w:val="Kopfzeile Zchn"/>
    <w:basedOn w:val="Absatz-Standardschriftart"/>
    <w:link w:val="Kopfzeile"/>
    <w:uiPriority w:val="99"/>
    <w:rsid w:val="008E424F"/>
    <w:rPr>
      <w:sz w:val="24"/>
      <w:szCs w:val="24"/>
    </w:rPr>
  </w:style>
  <w:style w:type="paragraph" w:styleId="Listenabsatz">
    <w:name w:val="List Paragraph"/>
    <w:basedOn w:val="Standard"/>
    <w:uiPriority w:val="34"/>
    <w:qFormat/>
    <w:rsid w:val="00E06186"/>
    <w:pPr>
      <w:ind w:left="720"/>
      <w:contextualSpacing/>
    </w:pPr>
  </w:style>
  <w:style w:type="paragraph" w:styleId="Kommentarthema">
    <w:name w:val="annotation subject"/>
    <w:basedOn w:val="Kommentartext"/>
    <w:next w:val="Kommentartext"/>
    <w:link w:val="KommentarthemaZchn"/>
    <w:uiPriority w:val="99"/>
    <w:semiHidden/>
    <w:unhideWhenUsed/>
    <w:rsid w:val="00EE5ECB"/>
    <w:rPr>
      <w:b/>
      <w:bCs/>
      <w:szCs w:val="20"/>
    </w:rPr>
  </w:style>
  <w:style w:type="character" w:customStyle="1" w:styleId="KommentartextZchn">
    <w:name w:val="Kommentartext Zchn"/>
    <w:basedOn w:val="Absatz-Standardschriftart"/>
    <w:link w:val="Kommentartext"/>
    <w:semiHidden/>
    <w:rsid w:val="00EE5ECB"/>
    <w:rPr>
      <w:szCs w:val="24"/>
    </w:rPr>
  </w:style>
  <w:style w:type="character" w:customStyle="1" w:styleId="KommentarthemaZchn">
    <w:name w:val="Kommentarthema Zchn"/>
    <w:basedOn w:val="KommentartextZchn"/>
    <w:link w:val="Kommentarthema"/>
    <w:uiPriority w:val="99"/>
    <w:semiHidden/>
    <w:rsid w:val="00EE5ECB"/>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23F4"/>
    <w:rPr>
      <w:sz w:val="24"/>
      <w:szCs w:val="24"/>
    </w:rPr>
  </w:style>
  <w:style w:type="paragraph" w:styleId="berschrift1">
    <w:name w:val="heading 1"/>
    <w:basedOn w:val="Standard"/>
    <w:next w:val="Standard"/>
    <w:link w:val="berschrift1Zchn"/>
    <w:uiPriority w:val="9"/>
    <w:qFormat/>
    <w:rsid w:val="008671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11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basedOn w:val="Absatz-Standardschriftart"/>
    <w:rPr>
      <w:color w:val="0000FF"/>
      <w:u w:val="single"/>
    </w:rPr>
  </w:style>
  <w:style w:type="paragraph" w:styleId="Textkrper">
    <w:name w:val="Body Text"/>
    <w:basedOn w:val="Standard"/>
    <w:rPr>
      <w:rFonts w:ascii="Arial" w:hAnsi="Arial"/>
      <w:i/>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berschrift2Zchn">
    <w:name w:val="Überschrift 2 Zchn"/>
    <w:basedOn w:val="Absatz-Standardschriftart"/>
    <w:link w:val="berschrift2"/>
    <w:uiPriority w:val="9"/>
    <w:semiHidden/>
    <w:rsid w:val="009211AF"/>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E57FC3"/>
    <w:rPr>
      <w:b/>
      <w:bCs/>
    </w:rPr>
  </w:style>
  <w:style w:type="character" w:customStyle="1" w:styleId="berschrift1Zchn">
    <w:name w:val="Überschrift 1 Zchn"/>
    <w:basedOn w:val="Absatz-Standardschriftart"/>
    <w:link w:val="berschrift1"/>
    <w:uiPriority w:val="9"/>
    <w:rsid w:val="008671E4"/>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8E424F"/>
    <w:pPr>
      <w:tabs>
        <w:tab w:val="center" w:pos="4536"/>
        <w:tab w:val="right" w:pos="9072"/>
      </w:tabs>
    </w:pPr>
  </w:style>
  <w:style w:type="character" w:customStyle="1" w:styleId="KopfzeileZchn">
    <w:name w:val="Kopfzeile Zchn"/>
    <w:basedOn w:val="Absatz-Standardschriftart"/>
    <w:link w:val="Kopfzeile"/>
    <w:uiPriority w:val="99"/>
    <w:rsid w:val="008E424F"/>
    <w:rPr>
      <w:sz w:val="24"/>
      <w:szCs w:val="24"/>
    </w:rPr>
  </w:style>
  <w:style w:type="paragraph" w:styleId="Listenabsatz">
    <w:name w:val="List Paragraph"/>
    <w:basedOn w:val="Standard"/>
    <w:uiPriority w:val="34"/>
    <w:qFormat/>
    <w:rsid w:val="00E06186"/>
    <w:pPr>
      <w:ind w:left="720"/>
      <w:contextualSpacing/>
    </w:pPr>
  </w:style>
  <w:style w:type="paragraph" w:styleId="Kommentarthema">
    <w:name w:val="annotation subject"/>
    <w:basedOn w:val="Kommentartext"/>
    <w:next w:val="Kommentartext"/>
    <w:link w:val="KommentarthemaZchn"/>
    <w:uiPriority w:val="99"/>
    <w:semiHidden/>
    <w:unhideWhenUsed/>
    <w:rsid w:val="00EE5ECB"/>
    <w:rPr>
      <w:b/>
      <w:bCs/>
      <w:szCs w:val="20"/>
    </w:rPr>
  </w:style>
  <w:style w:type="character" w:customStyle="1" w:styleId="KommentartextZchn">
    <w:name w:val="Kommentartext Zchn"/>
    <w:basedOn w:val="Absatz-Standardschriftart"/>
    <w:link w:val="Kommentartext"/>
    <w:semiHidden/>
    <w:rsid w:val="00EE5ECB"/>
    <w:rPr>
      <w:szCs w:val="24"/>
    </w:rPr>
  </w:style>
  <w:style w:type="character" w:customStyle="1" w:styleId="KommentarthemaZchn">
    <w:name w:val="Kommentarthema Zchn"/>
    <w:basedOn w:val="KommentartextZchn"/>
    <w:link w:val="Kommentarthema"/>
    <w:uiPriority w:val="99"/>
    <w:semiHidden/>
    <w:rsid w:val="00EE5ECB"/>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781">
      <w:bodyDiv w:val="1"/>
      <w:marLeft w:val="0"/>
      <w:marRight w:val="0"/>
      <w:marTop w:val="0"/>
      <w:marBottom w:val="0"/>
      <w:divBdr>
        <w:top w:val="none" w:sz="0" w:space="0" w:color="auto"/>
        <w:left w:val="none" w:sz="0" w:space="0" w:color="auto"/>
        <w:bottom w:val="none" w:sz="0" w:space="0" w:color="auto"/>
        <w:right w:val="none" w:sz="0" w:space="0" w:color="auto"/>
      </w:divBdr>
    </w:div>
    <w:div w:id="410272888">
      <w:bodyDiv w:val="1"/>
      <w:marLeft w:val="0"/>
      <w:marRight w:val="0"/>
      <w:marTop w:val="0"/>
      <w:marBottom w:val="0"/>
      <w:divBdr>
        <w:top w:val="none" w:sz="0" w:space="0" w:color="auto"/>
        <w:left w:val="none" w:sz="0" w:space="0" w:color="auto"/>
        <w:bottom w:val="none" w:sz="0" w:space="0" w:color="auto"/>
        <w:right w:val="none" w:sz="0" w:space="0" w:color="auto"/>
      </w:divBdr>
    </w:div>
    <w:div w:id="531575440">
      <w:bodyDiv w:val="1"/>
      <w:marLeft w:val="0"/>
      <w:marRight w:val="0"/>
      <w:marTop w:val="0"/>
      <w:marBottom w:val="0"/>
      <w:divBdr>
        <w:top w:val="none" w:sz="0" w:space="0" w:color="auto"/>
        <w:left w:val="none" w:sz="0" w:space="0" w:color="auto"/>
        <w:bottom w:val="none" w:sz="0" w:space="0" w:color="auto"/>
        <w:right w:val="none" w:sz="0" w:space="0" w:color="auto"/>
      </w:divBdr>
    </w:div>
    <w:div w:id="734402743">
      <w:bodyDiv w:val="1"/>
      <w:marLeft w:val="0"/>
      <w:marRight w:val="0"/>
      <w:marTop w:val="0"/>
      <w:marBottom w:val="0"/>
      <w:divBdr>
        <w:top w:val="none" w:sz="0" w:space="0" w:color="auto"/>
        <w:left w:val="none" w:sz="0" w:space="0" w:color="auto"/>
        <w:bottom w:val="none" w:sz="0" w:space="0" w:color="auto"/>
        <w:right w:val="none" w:sz="0" w:space="0" w:color="auto"/>
      </w:divBdr>
    </w:div>
    <w:div w:id="1200048644">
      <w:bodyDiv w:val="1"/>
      <w:marLeft w:val="0"/>
      <w:marRight w:val="0"/>
      <w:marTop w:val="0"/>
      <w:marBottom w:val="0"/>
      <w:divBdr>
        <w:top w:val="none" w:sz="0" w:space="0" w:color="auto"/>
        <w:left w:val="none" w:sz="0" w:space="0" w:color="auto"/>
        <w:bottom w:val="none" w:sz="0" w:space="0" w:color="auto"/>
        <w:right w:val="none" w:sz="0" w:space="0" w:color="auto"/>
      </w:divBdr>
    </w:div>
    <w:div w:id="201525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52664"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pb.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pb.de/5254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pb.de/52741"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6545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2024-01-16T13:46:00Z</dcterms:created>
  <dcterms:modified xsi:type="dcterms:W3CDTF">2024-02-08T15:09:00Z</dcterms:modified>
</cp:coreProperties>
</file>