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6A6D5" w14:textId="77777777" w:rsidR="00633073" w:rsidRPr="00633073" w:rsidRDefault="003907C3" w:rsidP="00633073">
      <w:pPr>
        <w:pStyle w:val="Listenabsatz"/>
        <w:numPr>
          <w:ilvl w:val="0"/>
          <w:numId w:val="2"/>
        </w:numPr>
        <w:rPr>
          <w:rFonts w:ascii="Arial" w:hAnsi="Arial"/>
          <w:b/>
        </w:rPr>
      </w:pPr>
      <w:bookmarkStart w:id="0" w:name="_GoBack"/>
      <w:bookmarkEnd w:id="0"/>
      <w:r w:rsidRPr="00633073">
        <w:rPr>
          <w:rFonts w:ascii="Arial" w:hAnsi="Arial"/>
          <w:b/>
        </w:rPr>
        <w:t xml:space="preserve">Niedrige Zölle </w:t>
      </w:r>
      <w:r w:rsidR="006F303A" w:rsidRPr="00633073">
        <w:rPr>
          <w:rFonts w:ascii="Arial" w:hAnsi="Arial"/>
          <w:b/>
        </w:rPr>
        <w:t xml:space="preserve">bzw. der </w:t>
      </w:r>
      <w:r w:rsidRPr="00633073">
        <w:rPr>
          <w:rFonts w:ascii="Arial" w:hAnsi="Arial"/>
          <w:b/>
        </w:rPr>
        <w:t xml:space="preserve">Abbau </w:t>
      </w:r>
      <w:r w:rsidR="006F303A" w:rsidRPr="00633073">
        <w:rPr>
          <w:rFonts w:ascii="Arial" w:hAnsi="Arial"/>
          <w:b/>
        </w:rPr>
        <w:t xml:space="preserve">von </w:t>
      </w:r>
      <w:r w:rsidRPr="00633073">
        <w:rPr>
          <w:rFonts w:ascii="Arial" w:hAnsi="Arial"/>
          <w:b/>
        </w:rPr>
        <w:t>Handelshemmnisse</w:t>
      </w:r>
      <w:r w:rsidR="006F303A" w:rsidRPr="00633073">
        <w:rPr>
          <w:rFonts w:ascii="Arial" w:hAnsi="Arial"/>
          <w:b/>
        </w:rPr>
        <w:t>n</w:t>
      </w:r>
      <w:r w:rsidRPr="00633073">
        <w:rPr>
          <w:rFonts w:ascii="Arial" w:hAnsi="Arial"/>
          <w:b/>
        </w:rPr>
        <w:t xml:space="preserve"> sind eine wichtige Voraussetzung für den g</w:t>
      </w:r>
      <w:r w:rsidR="00BB41C5" w:rsidRPr="00633073">
        <w:rPr>
          <w:rFonts w:ascii="Arial" w:hAnsi="Arial"/>
          <w:b/>
        </w:rPr>
        <w:t>renzüberschreitenden Handel</w:t>
      </w:r>
      <w:r w:rsidRPr="00633073">
        <w:rPr>
          <w:rFonts w:ascii="Arial" w:hAnsi="Arial"/>
          <w:b/>
        </w:rPr>
        <w:t>.</w:t>
      </w:r>
    </w:p>
    <w:p w14:paraId="7BFB0A99" w14:textId="77777777" w:rsidR="00633073" w:rsidRDefault="00633073" w:rsidP="00B13C6D">
      <w:pPr>
        <w:rPr>
          <w:rFonts w:ascii="Arial" w:hAnsi="Arial"/>
          <w:b/>
        </w:rPr>
      </w:pPr>
    </w:p>
    <w:p w14:paraId="68D28BE3" w14:textId="77777777" w:rsidR="00633073" w:rsidRPr="00633073" w:rsidRDefault="006F303A" w:rsidP="00633073">
      <w:pPr>
        <w:pStyle w:val="Listenabsatz"/>
        <w:numPr>
          <w:ilvl w:val="0"/>
          <w:numId w:val="2"/>
        </w:numPr>
        <w:rPr>
          <w:rFonts w:ascii="Arial" w:hAnsi="Arial"/>
          <w:b/>
        </w:rPr>
      </w:pPr>
      <w:r w:rsidRPr="00633073">
        <w:rPr>
          <w:rFonts w:ascii="Arial" w:hAnsi="Arial"/>
          <w:b/>
        </w:rPr>
        <w:t xml:space="preserve">Insgesamt </w:t>
      </w:r>
      <w:r w:rsidR="00720A0F" w:rsidRPr="00633073">
        <w:rPr>
          <w:rFonts w:ascii="Arial" w:hAnsi="Arial"/>
          <w:b/>
        </w:rPr>
        <w:t xml:space="preserve">bewegt sich </w:t>
      </w:r>
      <w:r w:rsidRPr="00633073">
        <w:rPr>
          <w:rFonts w:ascii="Arial" w:hAnsi="Arial"/>
          <w:b/>
        </w:rPr>
        <w:t xml:space="preserve">das Zollniveau </w:t>
      </w:r>
      <w:r w:rsidR="00720A0F" w:rsidRPr="00633073">
        <w:rPr>
          <w:rFonts w:ascii="Arial" w:hAnsi="Arial"/>
          <w:b/>
        </w:rPr>
        <w:t xml:space="preserve">auf </w:t>
      </w:r>
      <w:r w:rsidR="00BB41C5" w:rsidRPr="00633073">
        <w:rPr>
          <w:rFonts w:ascii="Arial" w:hAnsi="Arial"/>
          <w:b/>
        </w:rPr>
        <w:t>eine</w:t>
      </w:r>
      <w:r w:rsidR="00720A0F" w:rsidRPr="00633073">
        <w:rPr>
          <w:rFonts w:ascii="Arial" w:hAnsi="Arial"/>
          <w:b/>
        </w:rPr>
        <w:t>m</w:t>
      </w:r>
      <w:r w:rsidR="00BB41C5" w:rsidRPr="00633073">
        <w:rPr>
          <w:rFonts w:ascii="Arial" w:hAnsi="Arial"/>
          <w:b/>
        </w:rPr>
        <w:t xml:space="preserve"> historisch</w:t>
      </w:r>
      <w:r w:rsidR="00720A0F" w:rsidRPr="00633073">
        <w:rPr>
          <w:rFonts w:ascii="Arial" w:hAnsi="Arial"/>
          <w:b/>
        </w:rPr>
        <w:t xml:space="preserve"> niedrigen Niveau</w:t>
      </w:r>
      <w:r w:rsidR="003907C3" w:rsidRPr="00633073">
        <w:rPr>
          <w:rFonts w:ascii="Arial" w:hAnsi="Arial"/>
          <w:b/>
        </w:rPr>
        <w:t>.</w:t>
      </w:r>
      <w:r w:rsidR="00923BC4" w:rsidRPr="00633073">
        <w:rPr>
          <w:rFonts w:ascii="Arial" w:hAnsi="Arial"/>
          <w:b/>
        </w:rPr>
        <w:t xml:space="preserve"> </w:t>
      </w:r>
      <w:r w:rsidR="003907C3" w:rsidRPr="00633073">
        <w:rPr>
          <w:rFonts w:ascii="Arial" w:hAnsi="Arial"/>
          <w:b/>
        </w:rPr>
        <w:t xml:space="preserve">Allerdings gibt es </w:t>
      </w:r>
      <w:r w:rsidR="001B3091" w:rsidRPr="00633073">
        <w:rPr>
          <w:rFonts w:ascii="Arial" w:hAnsi="Arial"/>
          <w:b/>
        </w:rPr>
        <w:t>Bereiche</w:t>
      </w:r>
      <w:r w:rsidR="003D150A" w:rsidRPr="00633073">
        <w:rPr>
          <w:rFonts w:ascii="Arial" w:hAnsi="Arial"/>
          <w:b/>
        </w:rPr>
        <w:t>, in denen die Zölle nach wie vor hoch sind</w:t>
      </w:r>
      <w:r w:rsidR="001B3091" w:rsidRPr="00633073">
        <w:rPr>
          <w:rFonts w:ascii="Arial" w:hAnsi="Arial"/>
          <w:b/>
        </w:rPr>
        <w:t xml:space="preserve"> </w:t>
      </w:r>
      <w:r w:rsidR="003D150A" w:rsidRPr="00633073">
        <w:rPr>
          <w:rFonts w:ascii="Arial" w:hAnsi="Arial"/>
          <w:b/>
        </w:rPr>
        <w:t>(</w:t>
      </w:r>
      <w:r w:rsidR="007E2440" w:rsidRPr="00633073">
        <w:rPr>
          <w:rFonts w:ascii="Arial" w:hAnsi="Arial"/>
          <w:b/>
        </w:rPr>
        <w:t xml:space="preserve">z.B. </w:t>
      </w:r>
      <w:r w:rsidR="006464E3" w:rsidRPr="00633073">
        <w:rPr>
          <w:rFonts w:ascii="Arial" w:hAnsi="Arial"/>
          <w:b/>
        </w:rPr>
        <w:t>Nahrungsmittel</w:t>
      </w:r>
      <w:r w:rsidR="00201C17" w:rsidRPr="00633073">
        <w:rPr>
          <w:rFonts w:ascii="Arial" w:hAnsi="Arial"/>
          <w:b/>
        </w:rPr>
        <w:t>, Lebewesen und Kleidung</w:t>
      </w:r>
      <w:r w:rsidR="003D150A" w:rsidRPr="00633073">
        <w:rPr>
          <w:rFonts w:ascii="Arial" w:hAnsi="Arial"/>
          <w:b/>
        </w:rPr>
        <w:t>)</w:t>
      </w:r>
      <w:r w:rsidR="003907C3" w:rsidRPr="00633073">
        <w:rPr>
          <w:rFonts w:ascii="Arial" w:hAnsi="Arial"/>
          <w:b/>
        </w:rPr>
        <w:t>.</w:t>
      </w:r>
    </w:p>
    <w:p w14:paraId="704D6A7D" w14:textId="77777777" w:rsidR="00633073" w:rsidRDefault="00633073" w:rsidP="00B13C6D">
      <w:pPr>
        <w:rPr>
          <w:rFonts w:ascii="Arial" w:hAnsi="Arial"/>
          <w:b/>
        </w:rPr>
      </w:pPr>
    </w:p>
    <w:p w14:paraId="64FB343F" w14:textId="77777777" w:rsidR="00BB41C5" w:rsidRPr="00633073" w:rsidRDefault="00633073" w:rsidP="00633073">
      <w:pPr>
        <w:pStyle w:val="Listenabsatz"/>
        <w:numPr>
          <w:ilvl w:val="0"/>
          <w:numId w:val="2"/>
        </w:numPr>
        <w:rPr>
          <w:rFonts w:ascii="Arial" w:hAnsi="Arial"/>
          <w:b/>
        </w:rPr>
      </w:pPr>
      <w:r>
        <w:rPr>
          <w:rFonts w:ascii="Arial" w:hAnsi="Arial"/>
          <w:b/>
        </w:rPr>
        <w:t>D</w:t>
      </w:r>
      <w:r w:rsidR="003907C3" w:rsidRPr="00633073">
        <w:rPr>
          <w:rFonts w:ascii="Arial" w:hAnsi="Arial"/>
          <w:b/>
        </w:rPr>
        <w:t xml:space="preserve">er Marktzugang </w:t>
      </w:r>
      <w:r>
        <w:rPr>
          <w:rFonts w:ascii="Arial" w:hAnsi="Arial"/>
          <w:b/>
        </w:rPr>
        <w:t xml:space="preserve">wird </w:t>
      </w:r>
      <w:r w:rsidR="003D150A" w:rsidRPr="00633073">
        <w:rPr>
          <w:rFonts w:ascii="Arial" w:hAnsi="Arial"/>
          <w:b/>
        </w:rPr>
        <w:t>auch</w:t>
      </w:r>
      <w:r w:rsidR="003907C3" w:rsidRPr="00633073">
        <w:rPr>
          <w:rFonts w:ascii="Arial" w:hAnsi="Arial"/>
          <w:b/>
        </w:rPr>
        <w:t xml:space="preserve"> über </w:t>
      </w:r>
      <w:r w:rsidR="00BB41C5" w:rsidRPr="00633073">
        <w:rPr>
          <w:rFonts w:ascii="Arial" w:hAnsi="Arial"/>
          <w:b/>
        </w:rPr>
        <w:t>nicht-tarifäre Handelshemmnisse</w:t>
      </w:r>
      <w:r w:rsidR="003907C3" w:rsidRPr="00633073">
        <w:rPr>
          <w:rFonts w:ascii="Arial" w:hAnsi="Arial"/>
          <w:b/>
        </w:rPr>
        <w:t xml:space="preserve"> </w:t>
      </w:r>
      <w:r w:rsidR="003D150A" w:rsidRPr="00633073">
        <w:rPr>
          <w:rFonts w:ascii="Arial" w:hAnsi="Arial"/>
          <w:b/>
        </w:rPr>
        <w:t>beeinflusst (</w:t>
      </w:r>
      <w:r w:rsidR="003907C3" w:rsidRPr="00633073">
        <w:rPr>
          <w:rFonts w:ascii="Arial" w:hAnsi="Arial"/>
          <w:b/>
        </w:rPr>
        <w:t>z</w:t>
      </w:r>
      <w:r w:rsidR="001C7D09">
        <w:rPr>
          <w:rFonts w:ascii="Arial" w:hAnsi="Arial"/>
          <w:b/>
        </w:rPr>
        <w:t xml:space="preserve">um </w:t>
      </w:r>
      <w:r w:rsidR="003907C3" w:rsidRPr="00633073">
        <w:rPr>
          <w:rFonts w:ascii="Arial" w:hAnsi="Arial"/>
          <w:b/>
        </w:rPr>
        <w:t>B</w:t>
      </w:r>
      <w:r w:rsidR="001C7D09">
        <w:rPr>
          <w:rFonts w:ascii="Arial" w:hAnsi="Arial"/>
          <w:b/>
        </w:rPr>
        <w:t>eispiel</w:t>
      </w:r>
      <w:r w:rsidR="003907C3" w:rsidRPr="00633073">
        <w:rPr>
          <w:rFonts w:ascii="Arial" w:hAnsi="Arial"/>
          <w:b/>
        </w:rPr>
        <w:t xml:space="preserve"> </w:t>
      </w:r>
      <w:r w:rsidR="007E2440" w:rsidRPr="00633073">
        <w:rPr>
          <w:rFonts w:ascii="Arial" w:hAnsi="Arial"/>
          <w:b/>
        </w:rPr>
        <w:t>Subventionen oder</w:t>
      </w:r>
      <w:r w:rsidR="00BB41C5" w:rsidRPr="00633073">
        <w:rPr>
          <w:rFonts w:ascii="Arial" w:hAnsi="Arial"/>
          <w:b/>
        </w:rPr>
        <w:t xml:space="preserve"> Beschriftungs- und Verpackungsvorschriften</w:t>
      </w:r>
      <w:r w:rsidR="003D150A" w:rsidRPr="00633073">
        <w:rPr>
          <w:rFonts w:ascii="Arial" w:hAnsi="Arial"/>
          <w:b/>
        </w:rPr>
        <w:t>)</w:t>
      </w:r>
      <w:r w:rsidR="00BB41C5" w:rsidRPr="00633073">
        <w:rPr>
          <w:rFonts w:ascii="Arial" w:hAnsi="Arial"/>
          <w:b/>
        </w:rPr>
        <w:t>.</w:t>
      </w:r>
    </w:p>
    <w:p w14:paraId="14103207" w14:textId="77777777" w:rsidR="006464E3" w:rsidRPr="007378D1" w:rsidRDefault="006464E3">
      <w:pPr>
        <w:rPr>
          <w:rFonts w:ascii="Arial" w:hAnsi="Arial"/>
        </w:rPr>
      </w:pPr>
    </w:p>
    <w:p w14:paraId="4C5BE18D" w14:textId="77777777" w:rsidR="000B088F" w:rsidRDefault="000B088F">
      <w:pPr>
        <w:rPr>
          <w:rFonts w:ascii="Arial" w:hAnsi="Arial"/>
          <w:color w:val="FF0000"/>
        </w:rPr>
      </w:pPr>
      <w:r>
        <w:rPr>
          <w:rFonts w:ascii="Arial" w:hAnsi="Arial"/>
          <w:color w:val="FF0000"/>
        </w:rPr>
        <w:t>Fakten</w:t>
      </w:r>
    </w:p>
    <w:p w14:paraId="7BE8C219" w14:textId="77777777" w:rsidR="000B088F" w:rsidRPr="007378D1" w:rsidRDefault="000B088F">
      <w:pPr>
        <w:rPr>
          <w:rFonts w:ascii="Arial" w:hAnsi="Arial"/>
        </w:rPr>
      </w:pPr>
    </w:p>
    <w:p w14:paraId="2B6B3E28" w14:textId="6D2C6E7A" w:rsidR="004A272F" w:rsidRDefault="003005E4">
      <w:pPr>
        <w:rPr>
          <w:rFonts w:ascii="Arial" w:hAnsi="Arial"/>
        </w:rPr>
      </w:pPr>
      <w:r w:rsidRPr="007378D1">
        <w:rPr>
          <w:rFonts w:ascii="Arial" w:hAnsi="Arial"/>
        </w:rPr>
        <w:t xml:space="preserve">Eine wichtige Voraussetzung für die Globalisierung bzw. den grenzüberschreitenden Handel ist der Abbau von Zöllen und anderen Handelshemmnissen. </w:t>
      </w:r>
      <w:r w:rsidR="007B42B9" w:rsidRPr="007378D1">
        <w:rPr>
          <w:rFonts w:ascii="Arial" w:hAnsi="Arial"/>
        </w:rPr>
        <w:t xml:space="preserve">Um Handelshemmnisse abzubauen und bei Handelskonflikten zu schlichten, trat </w:t>
      </w:r>
      <w:r w:rsidR="00A76A41" w:rsidRPr="007378D1">
        <w:rPr>
          <w:rFonts w:ascii="Arial" w:hAnsi="Arial"/>
        </w:rPr>
        <w:t xml:space="preserve">auf internationaler Ebene </w:t>
      </w:r>
      <w:r w:rsidRPr="007378D1">
        <w:rPr>
          <w:rFonts w:ascii="Arial" w:hAnsi="Arial"/>
        </w:rPr>
        <w:t xml:space="preserve">am 1. Januar 1948 </w:t>
      </w:r>
      <w:r w:rsidR="007B42B9" w:rsidRPr="007378D1">
        <w:rPr>
          <w:rFonts w:ascii="Arial" w:hAnsi="Arial"/>
        </w:rPr>
        <w:t xml:space="preserve">das </w:t>
      </w:r>
      <w:r w:rsidRPr="007378D1">
        <w:rPr>
          <w:rFonts w:ascii="Arial" w:hAnsi="Arial"/>
        </w:rPr>
        <w:t>Allgemeine Zoll- und Handelsabkommen</w:t>
      </w:r>
      <w:r w:rsidR="007B42B9" w:rsidRPr="007378D1">
        <w:rPr>
          <w:rFonts w:ascii="Arial" w:hAnsi="Arial"/>
        </w:rPr>
        <w:t xml:space="preserve"> (</w:t>
      </w:r>
      <w:r w:rsidRPr="007378D1">
        <w:rPr>
          <w:rFonts w:ascii="Arial" w:hAnsi="Arial"/>
        </w:rPr>
        <w:t xml:space="preserve">GATT) </w:t>
      </w:r>
      <w:r w:rsidR="007B42B9" w:rsidRPr="007378D1">
        <w:rPr>
          <w:rFonts w:ascii="Arial" w:hAnsi="Arial"/>
        </w:rPr>
        <w:t xml:space="preserve">in Kraft. </w:t>
      </w:r>
      <w:r w:rsidR="000B088F" w:rsidRPr="007378D1">
        <w:rPr>
          <w:rFonts w:ascii="Arial" w:hAnsi="Arial"/>
        </w:rPr>
        <w:t xml:space="preserve">In den insgesamt acht Verhandlungsrunden des GATT </w:t>
      </w:r>
      <w:r w:rsidR="007B42B9" w:rsidRPr="007378D1">
        <w:rPr>
          <w:rFonts w:ascii="Arial" w:hAnsi="Arial"/>
        </w:rPr>
        <w:t xml:space="preserve">bis 1994 </w:t>
      </w:r>
      <w:r w:rsidR="000B088F" w:rsidRPr="007378D1">
        <w:rPr>
          <w:rFonts w:ascii="Arial" w:hAnsi="Arial"/>
        </w:rPr>
        <w:t>wurden die Zölle in fast allen Marktsegmenten gesenkt</w:t>
      </w:r>
      <w:r w:rsidR="004A272F" w:rsidRPr="007378D1">
        <w:rPr>
          <w:rFonts w:ascii="Arial" w:hAnsi="Arial"/>
        </w:rPr>
        <w:t>.</w:t>
      </w:r>
    </w:p>
    <w:p w14:paraId="4C3C4EC9" w14:textId="77777777" w:rsidR="00923BC4" w:rsidRDefault="00923BC4">
      <w:pPr>
        <w:rPr>
          <w:rFonts w:ascii="Arial" w:hAnsi="Arial"/>
        </w:rPr>
      </w:pPr>
    </w:p>
    <w:p w14:paraId="40A74F15" w14:textId="5C9725CB" w:rsidR="00270849" w:rsidRDefault="000B088F" w:rsidP="00270849">
      <w:pPr>
        <w:rPr>
          <w:rFonts w:ascii="Arial" w:hAnsi="Arial"/>
        </w:rPr>
      </w:pPr>
      <w:r w:rsidRPr="003426FC">
        <w:rPr>
          <w:rFonts w:ascii="Arial" w:hAnsi="Arial"/>
        </w:rPr>
        <w:t>Bei der letzten Verhandlungsrunde innerhalb des GATT, der sogenannten Uruguay-Runde von 1986 bis 1994, wurden die Vereinbarungen und das Ziel der Liberalisierung der Märkte auf d</w:t>
      </w:r>
      <w:r w:rsidR="001B2974" w:rsidRPr="003426FC">
        <w:rPr>
          <w:rFonts w:ascii="Arial" w:hAnsi="Arial"/>
        </w:rPr>
        <w:t>i</w:t>
      </w:r>
      <w:r w:rsidRPr="003426FC">
        <w:rPr>
          <w:rFonts w:ascii="Arial" w:hAnsi="Arial"/>
        </w:rPr>
        <w:t>e Bereich</w:t>
      </w:r>
      <w:r w:rsidR="001B2974" w:rsidRPr="003426FC">
        <w:rPr>
          <w:rFonts w:ascii="Arial" w:hAnsi="Arial"/>
        </w:rPr>
        <w:t xml:space="preserve">e </w:t>
      </w:r>
      <w:r w:rsidRPr="003426FC">
        <w:rPr>
          <w:rFonts w:ascii="Arial" w:hAnsi="Arial"/>
        </w:rPr>
        <w:t>Dienstleistungen (GATS) und geistige</w:t>
      </w:r>
      <w:r w:rsidR="001B2974" w:rsidRPr="003426FC">
        <w:rPr>
          <w:rFonts w:ascii="Arial" w:hAnsi="Arial"/>
        </w:rPr>
        <w:t>s</w:t>
      </w:r>
      <w:r w:rsidRPr="003426FC">
        <w:rPr>
          <w:rFonts w:ascii="Arial" w:hAnsi="Arial"/>
        </w:rPr>
        <w:t xml:space="preserve"> Eigentum (TRIPs) ausgedehnt</w:t>
      </w:r>
      <w:r w:rsidR="001B2974" w:rsidRPr="003426FC">
        <w:rPr>
          <w:rFonts w:ascii="Arial" w:hAnsi="Arial"/>
        </w:rPr>
        <w:t xml:space="preserve">. Zudem wurde </w:t>
      </w:r>
      <w:r w:rsidRPr="003426FC">
        <w:rPr>
          <w:rFonts w:ascii="Arial" w:hAnsi="Arial"/>
        </w:rPr>
        <w:t>die Gründung der Welthandelsorganisation (WTO) zum 1. Januar 1995 beschlossen. Heute ist das GATT eines der wichtigsten Abkommen innerhalb der WTO</w:t>
      </w:r>
      <w:r w:rsidR="004A272F" w:rsidRPr="003426FC">
        <w:rPr>
          <w:rFonts w:ascii="Arial" w:hAnsi="Arial"/>
        </w:rPr>
        <w:t>.</w:t>
      </w:r>
      <w:r w:rsidR="00923BC4">
        <w:rPr>
          <w:rFonts w:ascii="Arial" w:hAnsi="Arial"/>
        </w:rPr>
        <w:t xml:space="preserve"> </w:t>
      </w:r>
      <w:r w:rsidR="00270849" w:rsidRPr="00970AE7">
        <w:rPr>
          <w:rFonts w:ascii="Arial" w:hAnsi="Arial"/>
        </w:rPr>
        <w:t>Im Jahr 20</w:t>
      </w:r>
      <w:r w:rsidR="00270849">
        <w:rPr>
          <w:rFonts w:ascii="Arial" w:hAnsi="Arial"/>
        </w:rPr>
        <w:t>21</w:t>
      </w:r>
      <w:r w:rsidR="00270849" w:rsidRPr="00970AE7">
        <w:rPr>
          <w:rFonts w:ascii="Arial" w:hAnsi="Arial"/>
        </w:rPr>
        <w:t xml:space="preserve"> </w:t>
      </w:r>
      <w:r w:rsidR="00270849">
        <w:rPr>
          <w:rFonts w:ascii="Arial" w:hAnsi="Arial"/>
        </w:rPr>
        <w:t xml:space="preserve">wurden jeweils </w:t>
      </w:r>
      <w:r w:rsidR="00270849" w:rsidRPr="00970AE7">
        <w:rPr>
          <w:rFonts w:ascii="Arial" w:hAnsi="Arial"/>
        </w:rPr>
        <w:t xml:space="preserve">98,3 Prozent des weltweiten Warenexports und </w:t>
      </w:r>
      <w:r w:rsidR="00270849">
        <w:rPr>
          <w:rFonts w:ascii="Arial" w:hAnsi="Arial"/>
        </w:rPr>
        <w:t>-</w:t>
      </w:r>
      <w:r w:rsidR="00270849" w:rsidRPr="00970AE7">
        <w:rPr>
          <w:rFonts w:ascii="Arial" w:hAnsi="Arial"/>
        </w:rPr>
        <w:t xml:space="preserve">imports </w:t>
      </w:r>
      <w:r w:rsidR="00270849">
        <w:rPr>
          <w:rFonts w:ascii="Arial" w:hAnsi="Arial"/>
        </w:rPr>
        <w:t xml:space="preserve">zwischen Staaten gehandelt, die Mitglied der </w:t>
      </w:r>
      <w:r w:rsidR="00270849" w:rsidRPr="00970AE7">
        <w:rPr>
          <w:rFonts w:ascii="Arial" w:hAnsi="Arial"/>
        </w:rPr>
        <w:t>WTO</w:t>
      </w:r>
      <w:r w:rsidR="00270849">
        <w:rPr>
          <w:rFonts w:ascii="Arial" w:hAnsi="Arial"/>
        </w:rPr>
        <w:t xml:space="preserve"> sind</w:t>
      </w:r>
      <w:r w:rsidR="00270849" w:rsidRPr="00970AE7">
        <w:rPr>
          <w:rFonts w:ascii="Arial" w:hAnsi="Arial"/>
        </w:rPr>
        <w:t>. 1948 lagen diese Anteile – bezogen auf das GATT – noch bei 63,4 bzw. 58,6 Prozent.</w:t>
      </w:r>
    </w:p>
    <w:p w14:paraId="6D91BF34" w14:textId="77777777" w:rsidR="00923BC4" w:rsidRDefault="00923BC4" w:rsidP="00270849">
      <w:pPr>
        <w:rPr>
          <w:rFonts w:ascii="Arial" w:hAnsi="Arial"/>
        </w:rPr>
      </w:pPr>
    </w:p>
    <w:p w14:paraId="0B612149" w14:textId="77777777" w:rsidR="003D150A" w:rsidRDefault="000B088F" w:rsidP="00D74F59">
      <w:pPr>
        <w:rPr>
          <w:rFonts w:ascii="Arial" w:hAnsi="Arial"/>
        </w:rPr>
      </w:pPr>
      <w:r w:rsidRPr="00F243E8">
        <w:rPr>
          <w:rFonts w:ascii="Arial" w:hAnsi="Arial"/>
        </w:rPr>
        <w:t>Sowohl d</w:t>
      </w:r>
      <w:r w:rsidR="00364235" w:rsidRPr="00F243E8">
        <w:rPr>
          <w:rFonts w:ascii="Arial" w:hAnsi="Arial"/>
        </w:rPr>
        <w:t xml:space="preserve">ie Zölle </w:t>
      </w:r>
      <w:r w:rsidRPr="00F243E8">
        <w:rPr>
          <w:rFonts w:ascii="Arial" w:hAnsi="Arial"/>
        </w:rPr>
        <w:t>der ökonomisch entwickelten Staaten als auch d</w:t>
      </w:r>
      <w:r w:rsidR="00364235" w:rsidRPr="00F243E8">
        <w:rPr>
          <w:rFonts w:ascii="Arial" w:hAnsi="Arial"/>
        </w:rPr>
        <w:t>ie</w:t>
      </w:r>
      <w:r w:rsidRPr="00F243E8">
        <w:rPr>
          <w:rFonts w:ascii="Arial" w:hAnsi="Arial"/>
        </w:rPr>
        <w:t xml:space="preserve"> der ökonomisch sich entwickelnden Staaten </w:t>
      </w:r>
      <w:r w:rsidR="00F243E8" w:rsidRPr="00F243E8">
        <w:rPr>
          <w:rFonts w:ascii="Arial" w:hAnsi="Arial"/>
        </w:rPr>
        <w:t>bewege</w:t>
      </w:r>
      <w:r w:rsidR="00364235" w:rsidRPr="00F243E8">
        <w:rPr>
          <w:rFonts w:ascii="Arial" w:hAnsi="Arial"/>
        </w:rPr>
        <w:t>n</w:t>
      </w:r>
      <w:r w:rsidRPr="00F243E8">
        <w:rPr>
          <w:rFonts w:ascii="Arial" w:hAnsi="Arial"/>
        </w:rPr>
        <w:t xml:space="preserve"> </w:t>
      </w:r>
      <w:r w:rsidR="00F243E8" w:rsidRPr="00F243E8">
        <w:rPr>
          <w:rFonts w:ascii="Arial" w:hAnsi="Arial"/>
        </w:rPr>
        <w:t xml:space="preserve">sich </w:t>
      </w:r>
      <w:r w:rsidR="00901325" w:rsidRPr="00F243E8">
        <w:rPr>
          <w:rFonts w:ascii="Arial" w:hAnsi="Arial"/>
        </w:rPr>
        <w:t xml:space="preserve">insgesamt </w:t>
      </w:r>
      <w:r w:rsidR="00F243E8" w:rsidRPr="00F243E8">
        <w:rPr>
          <w:rFonts w:ascii="Arial" w:hAnsi="Arial"/>
        </w:rPr>
        <w:t>auf einem historisch niedrigen Niveau</w:t>
      </w:r>
      <w:r w:rsidR="004A272F" w:rsidRPr="00F243E8">
        <w:rPr>
          <w:rFonts w:ascii="Arial" w:hAnsi="Arial"/>
        </w:rPr>
        <w:t>.</w:t>
      </w:r>
      <w:r w:rsidR="00923BC4">
        <w:rPr>
          <w:rFonts w:ascii="Arial" w:hAnsi="Arial"/>
        </w:rPr>
        <w:t xml:space="preserve"> </w:t>
      </w:r>
      <w:r w:rsidR="00A76A41" w:rsidRPr="00F243E8">
        <w:rPr>
          <w:rFonts w:ascii="Arial" w:hAnsi="Arial"/>
        </w:rPr>
        <w:t xml:space="preserve">Nach kleineren und größeren Schwankungen vor 1990 verringerte sich das Zollniveau in den Folgejahren </w:t>
      </w:r>
      <w:r w:rsidR="00364235" w:rsidRPr="00F243E8">
        <w:rPr>
          <w:rFonts w:ascii="Arial" w:hAnsi="Arial"/>
        </w:rPr>
        <w:t>kontinuierlich</w:t>
      </w:r>
      <w:r w:rsidR="00A76A41" w:rsidRPr="00F243E8">
        <w:rPr>
          <w:rFonts w:ascii="Arial" w:hAnsi="Arial"/>
        </w:rPr>
        <w:t>:</w:t>
      </w:r>
      <w:r w:rsidR="00C5556F" w:rsidRPr="00F243E8">
        <w:rPr>
          <w:rFonts w:ascii="Arial" w:hAnsi="Arial"/>
        </w:rPr>
        <w:t xml:space="preserve"> </w:t>
      </w:r>
      <w:r w:rsidR="00364235" w:rsidRPr="00F243E8">
        <w:rPr>
          <w:rFonts w:ascii="Arial" w:hAnsi="Arial"/>
        </w:rPr>
        <w:t xml:space="preserve">Nach Angaben der Weltbank </w:t>
      </w:r>
      <w:r w:rsidR="00C5556F" w:rsidRPr="00F243E8">
        <w:rPr>
          <w:rFonts w:ascii="Arial" w:hAnsi="Arial"/>
        </w:rPr>
        <w:t xml:space="preserve">sanken die tatsächlich erhobenen Zölle (handelsgewichtet und bezogen auf alle Produkte) von 14,1 Prozent 1990 auf </w:t>
      </w:r>
      <w:r w:rsidR="00F243E8">
        <w:rPr>
          <w:rFonts w:ascii="Arial" w:hAnsi="Arial"/>
        </w:rPr>
        <w:t>3,9</w:t>
      </w:r>
      <w:r w:rsidR="00C5556F" w:rsidRPr="00F243E8">
        <w:rPr>
          <w:rFonts w:ascii="Arial" w:hAnsi="Arial"/>
        </w:rPr>
        <w:t xml:space="preserve"> Prozent 20</w:t>
      </w:r>
      <w:r w:rsidR="00F243E8">
        <w:rPr>
          <w:rFonts w:ascii="Arial" w:hAnsi="Arial"/>
        </w:rPr>
        <w:t>20</w:t>
      </w:r>
      <w:r w:rsidR="00C5556F" w:rsidRPr="00F243E8">
        <w:rPr>
          <w:rFonts w:ascii="Arial" w:hAnsi="Arial"/>
        </w:rPr>
        <w:t>.</w:t>
      </w:r>
      <w:r w:rsidR="00923BC4">
        <w:rPr>
          <w:rFonts w:ascii="Arial" w:hAnsi="Arial"/>
        </w:rPr>
        <w:t xml:space="preserve"> </w:t>
      </w:r>
      <w:r w:rsidR="00C5556F" w:rsidRPr="002B40A7">
        <w:rPr>
          <w:rFonts w:ascii="Arial" w:hAnsi="Arial"/>
        </w:rPr>
        <w:t xml:space="preserve">Während </w:t>
      </w:r>
      <w:r w:rsidR="00B01E5E" w:rsidRPr="002B40A7">
        <w:rPr>
          <w:rFonts w:ascii="Arial" w:hAnsi="Arial"/>
        </w:rPr>
        <w:t>20</w:t>
      </w:r>
      <w:r w:rsidR="004D55C2" w:rsidRPr="002B40A7">
        <w:rPr>
          <w:rFonts w:ascii="Arial" w:hAnsi="Arial"/>
        </w:rPr>
        <w:t>20</w:t>
      </w:r>
      <w:r w:rsidR="00B01E5E" w:rsidRPr="002B40A7">
        <w:rPr>
          <w:rFonts w:ascii="Arial" w:hAnsi="Arial"/>
        </w:rPr>
        <w:t xml:space="preserve"> </w:t>
      </w:r>
      <w:r w:rsidR="00C5556F" w:rsidRPr="002B40A7">
        <w:rPr>
          <w:rFonts w:ascii="Arial" w:hAnsi="Arial"/>
        </w:rPr>
        <w:t xml:space="preserve">die Zölle </w:t>
      </w:r>
      <w:r w:rsidR="00B01E5E" w:rsidRPr="002B40A7">
        <w:rPr>
          <w:rFonts w:ascii="Arial" w:hAnsi="Arial"/>
        </w:rPr>
        <w:t>bei</w:t>
      </w:r>
      <w:r w:rsidR="002B40A7" w:rsidRPr="002B40A7">
        <w:rPr>
          <w:rFonts w:ascii="Arial" w:hAnsi="Arial"/>
        </w:rPr>
        <w:t xml:space="preserve"> Treibstoffen (1,1 Prozent), </w:t>
      </w:r>
      <w:r w:rsidR="00C5556F" w:rsidRPr="002B40A7">
        <w:rPr>
          <w:rFonts w:ascii="Arial" w:hAnsi="Arial"/>
        </w:rPr>
        <w:t>Mineral</w:t>
      </w:r>
      <w:r w:rsidR="002B40A7" w:rsidRPr="002B40A7">
        <w:rPr>
          <w:rFonts w:ascii="Arial" w:hAnsi="Arial"/>
        </w:rPr>
        <w:t xml:space="preserve">en (1,2 Prozent) </w:t>
      </w:r>
      <w:r w:rsidR="00C5556F" w:rsidRPr="002B40A7">
        <w:rPr>
          <w:rFonts w:ascii="Arial" w:hAnsi="Arial"/>
        </w:rPr>
        <w:t xml:space="preserve">sowie </w:t>
      </w:r>
      <w:r w:rsidR="00B01E5E" w:rsidRPr="002B40A7">
        <w:rPr>
          <w:rFonts w:ascii="Arial" w:hAnsi="Arial"/>
        </w:rPr>
        <w:t xml:space="preserve">bei </w:t>
      </w:r>
      <w:r w:rsidR="00C5556F" w:rsidRPr="002B40A7">
        <w:rPr>
          <w:rFonts w:ascii="Arial" w:hAnsi="Arial"/>
        </w:rPr>
        <w:t>Stein</w:t>
      </w:r>
      <w:r w:rsidR="00B01E5E" w:rsidRPr="002B40A7">
        <w:rPr>
          <w:rFonts w:ascii="Arial" w:hAnsi="Arial"/>
        </w:rPr>
        <w:t>en</w:t>
      </w:r>
      <w:r w:rsidR="00C5556F" w:rsidRPr="002B40A7">
        <w:rPr>
          <w:rFonts w:ascii="Arial" w:hAnsi="Arial"/>
        </w:rPr>
        <w:t xml:space="preserve"> und Glas (2,</w:t>
      </w:r>
      <w:r w:rsidR="002B40A7" w:rsidRPr="002B40A7">
        <w:rPr>
          <w:rFonts w:ascii="Arial" w:hAnsi="Arial"/>
        </w:rPr>
        <w:t>0</w:t>
      </w:r>
      <w:r w:rsidR="00C5556F" w:rsidRPr="002B40A7">
        <w:rPr>
          <w:rFonts w:ascii="Arial" w:hAnsi="Arial"/>
        </w:rPr>
        <w:t xml:space="preserve"> Prozent) am niedrigsten waren, wurden </w:t>
      </w:r>
      <w:r w:rsidR="00B01E5E" w:rsidRPr="002B40A7">
        <w:rPr>
          <w:rFonts w:ascii="Arial" w:hAnsi="Arial"/>
        </w:rPr>
        <w:t xml:space="preserve">bei der Einfuhr von </w:t>
      </w:r>
      <w:r w:rsidR="002B40A7" w:rsidRPr="002B40A7">
        <w:rPr>
          <w:rFonts w:ascii="Arial" w:hAnsi="Arial"/>
        </w:rPr>
        <w:t xml:space="preserve">Tieren </w:t>
      </w:r>
      <w:r w:rsidR="00C5556F" w:rsidRPr="002B40A7">
        <w:rPr>
          <w:rFonts w:ascii="Arial" w:hAnsi="Arial"/>
        </w:rPr>
        <w:t>(</w:t>
      </w:r>
      <w:r w:rsidR="002B40A7" w:rsidRPr="002B40A7">
        <w:rPr>
          <w:rFonts w:ascii="Arial" w:hAnsi="Arial"/>
        </w:rPr>
        <w:t>14</w:t>
      </w:r>
      <w:r w:rsidR="00C5556F" w:rsidRPr="002B40A7">
        <w:rPr>
          <w:rFonts w:ascii="Arial" w:hAnsi="Arial"/>
        </w:rPr>
        <w:t>,</w:t>
      </w:r>
      <w:r w:rsidR="002B40A7" w:rsidRPr="002B40A7">
        <w:rPr>
          <w:rFonts w:ascii="Arial" w:hAnsi="Arial"/>
        </w:rPr>
        <w:t>4</w:t>
      </w:r>
      <w:r w:rsidR="00C5556F" w:rsidRPr="002B40A7">
        <w:rPr>
          <w:rFonts w:ascii="Arial" w:hAnsi="Arial"/>
        </w:rPr>
        <w:t xml:space="preserve"> Prozent),</w:t>
      </w:r>
      <w:r w:rsidR="002B40A7" w:rsidRPr="002B40A7">
        <w:rPr>
          <w:rFonts w:ascii="Arial" w:hAnsi="Arial"/>
        </w:rPr>
        <w:t xml:space="preserve"> Gemüse </w:t>
      </w:r>
      <w:r w:rsidR="00567291" w:rsidRPr="002B40A7">
        <w:rPr>
          <w:rFonts w:ascii="Arial" w:hAnsi="Arial"/>
        </w:rPr>
        <w:t>(</w:t>
      </w:r>
      <w:r w:rsidR="002B40A7" w:rsidRPr="002B40A7">
        <w:rPr>
          <w:rFonts w:ascii="Arial" w:hAnsi="Arial"/>
        </w:rPr>
        <w:t>11,0</w:t>
      </w:r>
      <w:r w:rsidR="00567291" w:rsidRPr="002B40A7">
        <w:rPr>
          <w:rFonts w:ascii="Arial" w:hAnsi="Arial"/>
        </w:rPr>
        <w:t xml:space="preserve"> Prozent)</w:t>
      </w:r>
      <w:r w:rsidR="002B40A7" w:rsidRPr="002B40A7">
        <w:rPr>
          <w:rFonts w:ascii="Arial" w:hAnsi="Arial"/>
        </w:rPr>
        <w:t>, anderen Nahrung</w:t>
      </w:r>
      <w:r w:rsidR="00C5556F" w:rsidRPr="002B40A7">
        <w:rPr>
          <w:rFonts w:ascii="Arial" w:hAnsi="Arial"/>
        </w:rPr>
        <w:t>smittel</w:t>
      </w:r>
      <w:r w:rsidR="00B01E5E" w:rsidRPr="002B40A7">
        <w:rPr>
          <w:rFonts w:ascii="Arial" w:hAnsi="Arial"/>
        </w:rPr>
        <w:t>n</w:t>
      </w:r>
      <w:r w:rsidR="00567291" w:rsidRPr="002B40A7">
        <w:rPr>
          <w:rFonts w:ascii="Arial" w:hAnsi="Arial"/>
        </w:rPr>
        <w:t xml:space="preserve"> (</w:t>
      </w:r>
      <w:r w:rsidR="002B40A7" w:rsidRPr="002B40A7">
        <w:rPr>
          <w:rFonts w:ascii="Arial" w:hAnsi="Arial"/>
        </w:rPr>
        <w:t>10</w:t>
      </w:r>
      <w:r w:rsidR="00567291" w:rsidRPr="002B40A7">
        <w:rPr>
          <w:rFonts w:ascii="Arial" w:hAnsi="Arial"/>
        </w:rPr>
        <w:t>,</w:t>
      </w:r>
      <w:r w:rsidR="002B40A7" w:rsidRPr="002B40A7">
        <w:rPr>
          <w:rFonts w:ascii="Arial" w:hAnsi="Arial"/>
        </w:rPr>
        <w:t>8</w:t>
      </w:r>
      <w:r w:rsidR="00567291" w:rsidRPr="002B40A7">
        <w:rPr>
          <w:rFonts w:ascii="Arial" w:hAnsi="Arial"/>
        </w:rPr>
        <w:t xml:space="preserve"> Prozent) </w:t>
      </w:r>
      <w:r w:rsidR="002B40A7">
        <w:rPr>
          <w:rFonts w:ascii="Arial" w:hAnsi="Arial"/>
        </w:rPr>
        <w:t xml:space="preserve">und </w:t>
      </w:r>
      <w:r w:rsidR="002B40A7" w:rsidRPr="002B40A7">
        <w:rPr>
          <w:rFonts w:ascii="Arial" w:hAnsi="Arial"/>
        </w:rPr>
        <w:t xml:space="preserve">Schuhen (7,7 Prozent) </w:t>
      </w:r>
      <w:r w:rsidR="00567291" w:rsidRPr="002B40A7">
        <w:rPr>
          <w:rFonts w:ascii="Arial" w:hAnsi="Arial"/>
        </w:rPr>
        <w:t>die höchsten Zölle erhoben.</w:t>
      </w:r>
      <w:r w:rsidR="00923BC4">
        <w:rPr>
          <w:rFonts w:ascii="Arial" w:hAnsi="Arial"/>
        </w:rPr>
        <w:t xml:space="preserve"> </w:t>
      </w:r>
      <w:r w:rsidR="00D858AD">
        <w:rPr>
          <w:rFonts w:ascii="Arial" w:hAnsi="Arial"/>
        </w:rPr>
        <w:t>Auch i</w:t>
      </w:r>
      <w:r w:rsidR="00B01E5E" w:rsidRPr="004D55C2">
        <w:rPr>
          <w:rFonts w:ascii="Arial" w:hAnsi="Arial"/>
        </w:rPr>
        <w:t>n der Vergangenheit waren</w:t>
      </w:r>
      <w:r w:rsidR="00D858AD">
        <w:rPr>
          <w:rFonts w:ascii="Arial" w:hAnsi="Arial"/>
        </w:rPr>
        <w:t xml:space="preserve"> A</w:t>
      </w:r>
      <w:r w:rsidR="00B01E5E" w:rsidRPr="004D55C2">
        <w:rPr>
          <w:rFonts w:ascii="Arial" w:hAnsi="Arial"/>
        </w:rPr>
        <w:t>grarprodukte und Textilien</w:t>
      </w:r>
      <w:r w:rsidR="004D55C2">
        <w:rPr>
          <w:rFonts w:ascii="Arial" w:hAnsi="Arial"/>
        </w:rPr>
        <w:t>/Kleidung</w:t>
      </w:r>
      <w:r w:rsidR="00B01E5E" w:rsidRPr="004D55C2">
        <w:rPr>
          <w:rFonts w:ascii="Arial" w:hAnsi="Arial"/>
        </w:rPr>
        <w:t xml:space="preserve"> mit h</w:t>
      </w:r>
      <w:r w:rsidR="004D55C2" w:rsidRPr="004D55C2">
        <w:rPr>
          <w:rFonts w:ascii="Arial" w:hAnsi="Arial"/>
        </w:rPr>
        <w:t>öheren</w:t>
      </w:r>
      <w:r w:rsidR="00B01E5E" w:rsidRPr="004D55C2">
        <w:rPr>
          <w:rFonts w:ascii="Arial" w:hAnsi="Arial"/>
        </w:rPr>
        <w:t xml:space="preserve"> Zöllen belegt</w:t>
      </w:r>
      <w:r w:rsidR="003D150A">
        <w:rPr>
          <w:rFonts w:ascii="Arial" w:hAnsi="Arial"/>
        </w:rPr>
        <w:t>.</w:t>
      </w:r>
    </w:p>
    <w:p w14:paraId="28469682" w14:textId="77777777" w:rsidR="003D150A" w:rsidRDefault="003D150A" w:rsidP="00D74F59">
      <w:pPr>
        <w:rPr>
          <w:rFonts w:ascii="Arial" w:hAnsi="Arial"/>
        </w:rPr>
      </w:pPr>
    </w:p>
    <w:p w14:paraId="3708BA6A" w14:textId="24175AEC" w:rsidR="004A272F" w:rsidRDefault="004A272F" w:rsidP="00D74F59">
      <w:pPr>
        <w:rPr>
          <w:rFonts w:ascii="Arial" w:hAnsi="Arial"/>
        </w:rPr>
      </w:pPr>
      <w:r w:rsidRPr="004D55C2">
        <w:rPr>
          <w:rFonts w:ascii="Arial" w:hAnsi="Arial"/>
        </w:rPr>
        <w:t>D</w:t>
      </w:r>
      <w:r w:rsidR="000B088F" w:rsidRPr="004D55C2">
        <w:rPr>
          <w:rFonts w:ascii="Arial" w:hAnsi="Arial"/>
        </w:rPr>
        <w:t>ie Liberalisierung von Märkten w</w:t>
      </w:r>
      <w:r w:rsidR="003D150A">
        <w:rPr>
          <w:rFonts w:ascii="Arial" w:hAnsi="Arial"/>
        </w:rPr>
        <w:t>i</w:t>
      </w:r>
      <w:r w:rsidR="000B088F" w:rsidRPr="004D55C2">
        <w:rPr>
          <w:rFonts w:ascii="Arial" w:hAnsi="Arial"/>
        </w:rPr>
        <w:t>rd</w:t>
      </w:r>
      <w:r w:rsidR="003D150A">
        <w:rPr>
          <w:rFonts w:ascii="Arial" w:hAnsi="Arial"/>
        </w:rPr>
        <w:t xml:space="preserve"> z</w:t>
      </w:r>
      <w:r w:rsidR="000B088F" w:rsidRPr="004D55C2">
        <w:rPr>
          <w:rFonts w:ascii="Arial" w:hAnsi="Arial"/>
        </w:rPr>
        <w:t>usätzlich durch binationale sowie inter- und intraregionale Integration vorangetrieben.</w:t>
      </w:r>
      <w:r w:rsidR="00923BC4">
        <w:rPr>
          <w:rFonts w:ascii="Arial" w:hAnsi="Arial"/>
        </w:rPr>
        <w:t xml:space="preserve"> </w:t>
      </w:r>
      <w:r w:rsidR="00994C4B" w:rsidRPr="00C32D68">
        <w:rPr>
          <w:rFonts w:ascii="Arial" w:hAnsi="Arial"/>
        </w:rPr>
        <w:t xml:space="preserve">Seit Anfang 2022 ist </w:t>
      </w:r>
      <w:r w:rsidR="00D74F59" w:rsidRPr="00C32D68">
        <w:rPr>
          <w:rFonts w:ascii="Arial" w:hAnsi="Arial"/>
        </w:rPr>
        <w:t xml:space="preserve">die </w:t>
      </w:r>
      <w:r w:rsidR="00994C4B" w:rsidRPr="00C32D68">
        <w:rPr>
          <w:rFonts w:ascii="Arial" w:hAnsi="Arial"/>
        </w:rPr>
        <w:t xml:space="preserve">Regional </w:t>
      </w:r>
      <w:proofErr w:type="spellStart"/>
      <w:r w:rsidR="00994C4B" w:rsidRPr="00C32D68">
        <w:rPr>
          <w:rFonts w:ascii="Arial" w:hAnsi="Arial"/>
        </w:rPr>
        <w:t>Comprehensive</w:t>
      </w:r>
      <w:proofErr w:type="spellEnd"/>
      <w:r w:rsidR="00994C4B" w:rsidRPr="00C32D68">
        <w:rPr>
          <w:rFonts w:ascii="Arial" w:hAnsi="Arial"/>
        </w:rPr>
        <w:t xml:space="preserve"> </w:t>
      </w:r>
      <w:proofErr w:type="spellStart"/>
      <w:r w:rsidR="00994C4B" w:rsidRPr="00C32D68">
        <w:rPr>
          <w:rFonts w:ascii="Arial" w:hAnsi="Arial"/>
        </w:rPr>
        <w:t>Economic</w:t>
      </w:r>
      <w:proofErr w:type="spellEnd"/>
      <w:r w:rsidR="00994C4B" w:rsidRPr="00C32D68">
        <w:rPr>
          <w:rFonts w:ascii="Arial" w:hAnsi="Arial"/>
        </w:rPr>
        <w:t xml:space="preserve"> </w:t>
      </w:r>
      <w:proofErr w:type="spellStart"/>
      <w:r w:rsidR="00994C4B" w:rsidRPr="00C32D68">
        <w:rPr>
          <w:rFonts w:ascii="Arial" w:hAnsi="Arial"/>
        </w:rPr>
        <w:t>Partnership</w:t>
      </w:r>
      <w:proofErr w:type="spellEnd"/>
      <w:r w:rsidR="00994C4B" w:rsidRPr="00C32D68">
        <w:rPr>
          <w:rFonts w:ascii="Arial" w:hAnsi="Arial"/>
        </w:rPr>
        <w:t xml:space="preserve"> (RCEP) d</w:t>
      </w:r>
      <w:r w:rsidR="00D858AD">
        <w:rPr>
          <w:rFonts w:ascii="Arial" w:hAnsi="Arial"/>
        </w:rPr>
        <w:t>ie</w:t>
      </w:r>
      <w:r w:rsidR="00994C4B" w:rsidRPr="00C32D68">
        <w:rPr>
          <w:rFonts w:ascii="Arial" w:hAnsi="Arial"/>
        </w:rPr>
        <w:t xml:space="preserve"> größte Freihandels</w:t>
      </w:r>
      <w:r w:rsidR="00D858AD">
        <w:rPr>
          <w:rFonts w:ascii="Arial" w:hAnsi="Arial"/>
        </w:rPr>
        <w:t>zone d</w:t>
      </w:r>
      <w:r w:rsidR="00994C4B" w:rsidRPr="00C32D68">
        <w:rPr>
          <w:rFonts w:ascii="Arial" w:hAnsi="Arial"/>
        </w:rPr>
        <w:t>er Welt</w:t>
      </w:r>
      <w:r w:rsidR="002500C8">
        <w:rPr>
          <w:rFonts w:ascii="Arial" w:hAnsi="Arial"/>
        </w:rPr>
        <w:t xml:space="preserve"> – noch vor de</w:t>
      </w:r>
      <w:r w:rsidR="00A854C4">
        <w:rPr>
          <w:rFonts w:ascii="Arial" w:hAnsi="Arial"/>
        </w:rPr>
        <w:t xml:space="preserve">m </w:t>
      </w:r>
      <w:r w:rsidR="00A854C4" w:rsidRPr="00A854C4">
        <w:rPr>
          <w:rFonts w:ascii="Arial" w:hAnsi="Arial"/>
        </w:rPr>
        <w:t>United States</w:t>
      </w:r>
      <w:r w:rsidR="00B94A3D">
        <w:rPr>
          <w:rFonts w:ascii="Arial" w:hAnsi="Arial"/>
        </w:rPr>
        <w:t>-</w:t>
      </w:r>
      <w:r w:rsidR="00A854C4" w:rsidRPr="00A854C4">
        <w:rPr>
          <w:rFonts w:ascii="Arial" w:hAnsi="Arial"/>
        </w:rPr>
        <w:t>Mexico</w:t>
      </w:r>
      <w:r w:rsidR="00B94A3D">
        <w:rPr>
          <w:rFonts w:ascii="Arial" w:hAnsi="Arial"/>
        </w:rPr>
        <w:t>-</w:t>
      </w:r>
      <w:r w:rsidR="00A854C4" w:rsidRPr="00A854C4">
        <w:rPr>
          <w:rFonts w:ascii="Arial" w:hAnsi="Arial"/>
        </w:rPr>
        <w:t>Canada</w:t>
      </w:r>
      <w:r w:rsidR="00B94A3D">
        <w:rPr>
          <w:rFonts w:ascii="Arial" w:hAnsi="Arial"/>
        </w:rPr>
        <w:t>-</w:t>
      </w:r>
      <w:r w:rsidR="00A854C4" w:rsidRPr="00A854C4">
        <w:rPr>
          <w:rFonts w:ascii="Arial" w:hAnsi="Arial"/>
        </w:rPr>
        <w:t>Agreement (USMCA)</w:t>
      </w:r>
      <w:r w:rsidR="002500C8">
        <w:rPr>
          <w:rFonts w:ascii="Arial" w:hAnsi="Arial"/>
        </w:rPr>
        <w:t xml:space="preserve"> und der Europäischen Union</w:t>
      </w:r>
      <w:r w:rsidR="00D74F59" w:rsidRPr="00C32D68">
        <w:rPr>
          <w:rFonts w:ascii="Arial" w:hAnsi="Arial"/>
        </w:rPr>
        <w:t xml:space="preserve">. </w:t>
      </w:r>
      <w:r w:rsidR="003738D7" w:rsidRPr="00C32D68">
        <w:rPr>
          <w:rFonts w:ascii="Arial" w:hAnsi="Arial"/>
        </w:rPr>
        <w:t>Laut ifo Institut entfielen im Jahr 2021 a</w:t>
      </w:r>
      <w:r w:rsidR="00D74F59" w:rsidRPr="00C32D68">
        <w:rPr>
          <w:rFonts w:ascii="Arial" w:hAnsi="Arial"/>
        </w:rPr>
        <w:t>uf die 15 Mitglieder des RCEP-Abkommens (China, Japan, Südkorea, Australien</w:t>
      </w:r>
      <w:r w:rsidR="00AE4A46">
        <w:rPr>
          <w:rFonts w:ascii="Arial" w:hAnsi="Arial"/>
        </w:rPr>
        <w:t xml:space="preserve">, </w:t>
      </w:r>
      <w:r w:rsidR="00D74F59" w:rsidRPr="00C32D68">
        <w:rPr>
          <w:rFonts w:ascii="Arial" w:hAnsi="Arial"/>
        </w:rPr>
        <w:t>Neuseeland</w:t>
      </w:r>
      <w:r w:rsidR="00AE4A46">
        <w:rPr>
          <w:rFonts w:ascii="Arial" w:hAnsi="Arial"/>
        </w:rPr>
        <w:t xml:space="preserve"> und </w:t>
      </w:r>
      <w:r w:rsidR="00AE4A46" w:rsidRPr="00C32D68">
        <w:rPr>
          <w:rFonts w:ascii="Arial" w:hAnsi="Arial"/>
        </w:rPr>
        <w:t>10 ASEAN-Staaten</w:t>
      </w:r>
      <w:r w:rsidR="00D74F59" w:rsidRPr="00C32D68">
        <w:rPr>
          <w:rFonts w:ascii="Arial" w:hAnsi="Arial"/>
        </w:rPr>
        <w:t>)</w:t>
      </w:r>
      <w:r w:rsidR="003738D7" w:rsidRPr="00C32D68">
        <w:rPr>
          <w:rFonts w:ascii="Arial" w:hAnsi="Arial"/>
        </w:rPr>
        <w:t xml:space="preserve"> 28 Prozent des globalen Bruttoinlandsprodukts, 28 Prozent des Welthandels und 29 Prozent der Weltbevölkerung.</w:t>
      </w:r>
    </w:p>
    <w:p w14:paraId="2F07DA11" w14:textId="77777777" w:rsidR="00AE4A46" w:rsidRDefault="00AE4A46" w:rsidP="00D74F59">
      <w:pPr>
        <w:rPr>
          <w:rFonts w:ascii="Arial" w:hAnsi="Arial"/>
        </w:rPr>
      </w:pPr>
    </w:p>
    <w:p w14:paraId="25C6BC32" w14:textId="77777777" w:rsidR="004658F8" w:rsidRDefault="00923BC4">
      <w:pPr>
        <w:rPr>
          <w:rFonts w:ascii="Arial" w:hAnsi="Arial"/>
        </w:rPr>
      </w:pPr>
      <w:r>
        <w:rPr>
          <w:rFonts w:ascii="Arial" w:hAnsi="Arial"/>
        </w:rPr>
        <w:lastRenderedPageBreak/>
        <w:t>D</w:t>
      </w:r>
      <w:r w:rsidR="005953FF" w:rsidRPr="004D55C2">
        <w:rPr>
          <w:rFonts w:ascii="Arial" w:hAnsi="Arial"/>
        </w:rPr>
        <w:t>ie offizielle Reduzierung von Handelshemmnissen führt jedoch nicht in allen Fällen zu einer Marktliberalisierung, da z</w:t>
      </w:r>
      <w:r w:rsidR="00AC2D55" w:rsidRPr="004D55C2">
        <w:rPr>
          <w:rFonts w:ascii="Arial" w:hAnsi="Arial"/>
        </w:rPr>
        <w:t>ahlreiche Produkte</w:t>
      </w:r>
      <w:r w:rsidR="005953FF" w:rsidRPr="004D55C2">
        <w:rPr>
          <w:rFonts w:ascii="Arial" w:hAnsi="Arial"/>
        </w:rPr>
        <w:t xml:space="preserve"> v</w:t>
      </w:r>
      <w:r w:rsidR="000B088F" w:rsidRPr="004D55C2">
        <w:rPr>
          <w:rFonts w:ascii="Arial" w:hAnsi="Arial"/>
        </w:rPr>
        <w:t>on nicht-tarifären Handelshemmnissen betroffen</w:t>
      </w:r>
      <w:r w:rsidR="005953FF" w:rsidRPr="004D55C2">
        <w:rPr>
          <w:rFonts w:ascii="Arial" w:hAnsi="Arial"/>
        </w:rPr>
        <w:t xml:space="preserve"> sind</w:t>
      </w:r>
      <w:r w:rsidR="000B088F" w:rsidRPr="004D55C2">
        <w:rPr>
          <w:rFonts w:ascii="Arial" w:hAnsi="Arial"/>
        </w:rPr>
        <w:t>. Zu den nicht-tarifären Handelshemmnissen</w:t>
      </w:r>
      <w:r w:rsidR="00AC2D55" w:rsidRPr="004D55C2">
        <w:rPr>
          <w:rFonts w:ascii="Arial" w:hAnsi="Arial"/>
        </w:rPr>
        <w:t xml:space="preserve"> </w:t>
      </w:r>
      <w:r w:rsidR="000B088F" w:rsidRPr="004D55C2">
        <w:rPr>
          <w:rFonts w:ascii="Arial" w:hAnsi="Arial"/>
        </w:rPr>
        <w:t>gehören</w:t>
      </w:r>
      <w:r w:rsidR="0055295B">
        <w:rPr>
          <w:rFonts w:ascii="Arial" w:hAnsi="Arial"/>
        </w:rPr>
        <w:t xml:space="preserve"> </w:t>
      </w:r>
      <w:r w:rsidR="00970AE7" w:rsidRPr="004D55C2">
        <w:rPr>
          <w:rFonts w:ascii="Arial" w:hAnsi="Arial"/>
        </w:rPr>
        <w:t>Quotenregelungen, Marktzugangsgenehmigungen</w:t>
      </w:r>
      <w:r w:rsidR="000B088F" w:rsidRPr="004D55C2">
        <w:rPr>
          <w:rFonts w:ascii="Arial" w:hAnsi="Arial"/>
        </w:rPr>
        <w:t>,</w:t>
      </w:r>
      <w:r w:rsidR="00437E27">
        <w:rPr>
          <w:rFonts w:ascii="Arial" w:hAnsi="Arial"/>
        </w:rPr>
        <w:t xml:space="preserve"> S</w:t>
      </w:r>
      <w:r w:rsidR="000B088F" w:rsidRPr="004D55C2">
        <w:rPr>
          <w:rFonts w:ascii="Arial" w:hAnsi="Arial"/>
        </w:rPr>
        <w:t>elbstbeschränkungsabkommen, Anti-Dumping-Verfahren und andere Zugangsregelungen</w:t>
      </w:r>
      <w:r w:rsidR="0055295B">
        <w:rPr>
          <w:rFonts w:ascii="Arial" w:hAnsi="Arial"/>
        </w:rPr>
        <w:t xml:space="preserve"> wie zum Beispiel </w:t>
      </w:r>
      <w:r w:rsidR="00AC2D55" w:rsidRPr="004D55C2">
        <w:rPr>
          <w:rFonts w:ascii="Arial" w:hAnsi="Arial"/>
        </w:rPr>
        <w:t>Produktstandards (</w:t>
      </w:r>
      <w:r w:rsidR="0055295B">
        <w:rPr>
          <w:rFonts w:ascii="Arial" w:hAnsi="Arial"/>
        </w:rPr>
        <w:t xml:space="preserve">darunter </w:t>
      </w:r>
      <w:r w:rsidR="00AC2D55" w:rsidRPr="004D55C2">
        <w:rPr>
          <w:rFonts w:ascii="Arial" w:hAnsi="Arial"/>
        </w:rPr>
        <w:t>Qualitäts- und Sicherheitsstandards, Beschriftungs- und Verpackungsvorschriften, Angaben zur Herkunft</w:t>
      </w:r>
      <w:r w:rsidR="00437E27">
        <w:rPr>
          <w:rFonts w:ascii="Arial" w:hAnsi="Arial"/>
        </w:rPr>
        <w:t xml:space="preserve"> oder die</w:t>
      </w:r>
      <w:r w:rsidR="00AC2D55" w:rsidRPr="004D55C2">
        <w:rPr>
          <w:rFonts w:ascii="Arial" w:hAnsi="Arial"/>
        </w:rPr>
        <w:t xml:space="preserve"> Prüfung der Umweltverträglichkeit)</w:t>
      </w:r>
      <w:r w:rsidR="004A272F" w:rsidRPr="004D55C2">
        <w:rPr>
          <w:rFonts w:ascii="Arial" w:hAnsi="Arial"/>
        </w:rPr>
        <w:t>.</w:t>
      </w:r>
      <w:r w:rsidR="00437E27">
        <w:rPr>
          <w:rFonts w:ascii="Arial" w:hAnsi="Arial"/>
        </w:rPr>
        <w:t xml:space="preserve"> </w:t>
      </w:r>
      <w:r w:rsidR="003331A0">
        <w:rPr>
          <w:rFonts w:ascii="Arial" w:hAnsi="Arial"/>
        </w:rPr>
        <w:t xml:space="preserve">Auch </w:t>
      </w:r>
      <w:r w:rsidR="00437E27" w:rsidRPr="004D55C2">
        <w:rPr>
          <w:rFonts w:ascii="Arial" w:hAnsi="Arial"/>
        </w:rPr>
        <w:t>Subventionen</w:t>
      </w:r>
      <w:r w:rsidR="00437E27">
        <w:rPr>
          <w:rFonts w:ascii="Arial" w:hAnsi="Arial"/>
        </w:rPr>
        <w:t xml:space="preserve"> gehören zu den </w:t>
      </w:r>
      <w:r w:rsidR="00437E27" w:rsidRPr="004D55C2">
        <w:rPr>
          <w:rFonts w:ascii="Arial" w:hAnsi="Arial"/>
        </w:rPr>
        <w:t>nicht-tarifären</w:t>
      </w:r>
      <w:r w:rsidR="005A4947">
        <w:rPr>
          <w:rFonts w:ascii="Arial" w:hAnsi="Arial"/>
        </w:rPr>
        <w:t xml:space="preserve"> H</w:t>
      </w:r>
      <w:r w:rsidR="00437E27" w:rsidRPr="004D55C2">
        <w:rPr>
          <w:rFonts w:ascii="Arial" w:hAnsi="Arial"/>
        </w:rPr>
        <w:t>andelshemmnissen</w:t>
      </w:r>
      <w:r w:rsidR="00437E27">
        <w:rPr>
          <w:rFonts w:ascii="Arial" w:hAnsi="Arial"/>
        </w:rPr>
        <w:t>.</w:t>
      </w:r>
    </w:p>
    <w:p w14:paraId="542E9039" w14:textId="77777777" w:rsidR="004658F8" w:rsidRDefault="004658F8">
      <w:pPr>
        <w:rPr>
          <w:rFonts w:ascii="Arial" w:hAnsi="Arial"/>
        </w:rPr>
      </w:pPr>
    </w:p>
    <w:p w14:paraId="195FAE2E" w14:textId="77777777" w:rsidR="0058048E" w:rsidRDefault="005A4947">
      <w:pPr>
        <w:rPr>
          <w:rFonts w:ascii="Arial" w:hAnsi="Arial"/>
        </w:rPr>
      </w:pPr>
      <w:r>
        <w:rPr>
          <w:rFonts w:ascii="Arial" w:hAnsi="Arial"/>
        </w:rPr>
        <w:t xml:space="preserve">Schließlich gibt es Entwicklungen, die vom </w:t>
      </w:r>
      <w:r w:rsidR="001C7D09">
        <w:rPr>
          <w:rFonts w:ascii="Arial" w:hAnsi="Arial"/>
        </w:rPr>
        <w:t>Gesamtt</w:t>
      </w:r>
      <w:r>
        <w:rPr>
          <w:rFonts w:ascii="Arial" w:hAnsi="Arial"/>
        </w:rPr>
        <w:t>rend</w:t>
      </w:r>
      <w:r w:rsidR="003331A0">
        <w:rPr>
          <w:rFonts w:ascii="Arial" w:hAnsi="Arial"/>
        </w:rPr>
        <w:t xml:space="preserve"> sinkender Zölle</w:t>
      </w:r>
      <w:r>
        <w:rPr>
          <w:rFonts w:ascii="Arial" w:hAnsi="Arial"/>
        </w:rPr>
        <w:t xml:space="preserve"> abweichen.</w:t>
      </w:r>
      <w:r w:rsidR="00961259">
        <w:rPr>
          <w:rFonts w:ascii="Arial" w:hAnsi="Arial"/>
        </w:rPr>
        <w:t xml:space="preserve"> Beispielsweise besteht seit dem Jahr 2018 ein </w:t>
      </w:r>
      <w:r w:rsidRPr="00961259">
        <w:rPr>
          <w:rFonts w:ascii="Arial" w:hAnsi="Arial"/>
        </w:rPr>
        <w:t xml:space="preserve">Handelskonflikt zwischen den </w:t>
      </w:r>
      <w:r w:rsidR="00961259" w:rsidRPr="00961259">
        <w:rPr>
          <w:rFonts w:ascii="Arial" w:hAnsi="Arial"/>
        </w:rPr>
        <w:t xml:space="preserve">USA </w:t>
      </w:r>
      <w:r w:rsidRPr="00961259">
        <w:rPr>
          <w:rFonts w:ascii="Arial" w:hAnsi="Arial"/>
        </w:rPr>
        <w:t>und</w:t>
      </w:r>
      <w:r w:rsidR="00961259" w:rsidRPr="00961259">
        <w:rPr>
          <w:rFonts w:ascii="Arial" w:hAnsi="Arial"/>
        </w:rPr>
        <w:t xml:space="preserve"> China, in dessen Verlauf</w:t>
      </w:r>
      <w:r w:rsidR="004E030E" w:rsidRPr="004E030E">
        <w:rPr>
          <w:rFonts w:ascii="Arial" w:hAnsi="Arial"/>
        </w:rPr>
        <w:t xml:space="preserve"> </w:t>
      </w:r>
      <w:r w:rsidR="004E030E">
        <w:rPr>
          <w:rFonts w:ascii="Arial" w:hAnsi="Arial"/>
        </w:rPr>
        <w:t>für eine Vielzahl an Produkten I</w:t>
      </w:r>
      <w:r w:rsidR="00961259" w:rsidRPr="00961259">
        <w:rPr>
          <w:rFonts w:ascii="Arial" w:hAnsi="Arial"/>
        </w:rPr>
        <w:t>mportzölle erhöht oder</w:t>
      </w:r>
      <w:r w:rsidR="00467376">
        <w:rPr>
          <w:rFonts w:ascii="Arial" w:hAnsi="Arial"/>
        </w:rPr>
        <w:t xml:space="preserve"> sogar</w:t>
      </w:r>
      <w:r w:rsidR="00961259" w:rsidRPr="00961259">
        <w:rPr>
          <w:rFonts w:ascii="Arial" w:hAnsi="Arial"/>
        </w:rPr>
        <w:t xml:space="preserve"> neu eingeführt wurden</w:t>
      </w:r>
      <w:r w:rsidRPr="00961259">
        <w:rPr>
          <w:rFonts w:ascii="Arial" w:hAnsi="Arial"/>
        </w:rPr>
        <w:t>.</w:t>
      </w:r>
      <w:r w:rsidR="0058048E">
        <w:rPr>
          <w:rFonts w:ascii="Arial" w:hAnsi="Arial"/>
        </w:rPr>
        <w:t xml:space="preserve"> </w:t>
      </w:r>
      <w:r w:rsidR="00235C8D">
        <w:rPr>
          <w:rFonts w:ascii="Arial" w:hAnsi="Arial"/>
        </w:rPr>
        <w:t>Die USA werfen China unter anderem m</w:t>
      </w:r>
      <w:r w:rsidR="00235C8D" w:rsidRPr="00235C8D">
        <w:rPr>
          <w:rFonts w:ascii="Arial" w:hAnsi="Arial"/>
        </w:rPr>
        <w:t xml:space="preserve">angelhaften Schutz geistigen Eigentums, erzwungene Technologietransfers als Voraussetzung für den Zugang zu Märkten sowie Marktverzerrungen durch Staatsunternehmen bzw. Subventionen </w:t>
      </w:r>
      <w:r w:rsidR="00A564EF">
        <w:rPr>
          <w:rFonts w:ascii="Arial" w:hAnsi="Arial"/>
        </w:rPr>
        <w:t>vor.</w:t>
      </w:r>
      <w:r w:rsidR="0058048E">
        <w:rPr>
          <w:rFonts w:ascii="Arial" w:hAnsi="Arial"/>
        </w:rPr>
        <w:t xml:space="preserve"> </w:t>
      </w:r>
      <w:r w:rsidR="007E3102">
        <w:rPr>
          <w:rFonts w:ascii="Arial" w:hAnsi="Arial"/>
        </w:rPr>
        <w:t>Neben den Zöllen</w:t>
      </w:r>
      <w:r w:rsidR="00A564EF" w:rsidRPr="00175962">
        <w:rPr>
          <w:rFonts w:ascii="Arial" w:hAnsi="Arial"/>
        </w:rPr>
        <w:t xml:space="preserve">, die sowohl von den USA als auch von China erhoben werden, </w:t>
      </w:r>
      <w:r w:rsidR="007C0CB4">
        <w:rPr>
          <w:rFonts w:ascii="Arial" w:hAnsi="Arial"/>
        </w:rPr>
        <w:t xml:space="preserve">greifen </w:t>
      </w:r>
      <w:r w:rsidR="007E3102">
        <w:rPr>
          <w:rFonts w:ascii="Arial" w:hAnsi="Arial"/>
        </w:rPr>
        <w:t xml:space="preserve">auch </w:t>
      </w:r>
      <w:r w:rsidR="007C0CB4">
        <w:rPr>
          <w:rFonts w:ascii="Arial" w:hAnsi="Arial"/>
        </w:rPr>
        <w:t xml:space="preserve">neue </w:t>
      </w:r>
      <w:r w:rsidR="007E3102" w:rsidRPr="004D55C2">
        <w:rPr>
          <w:rFonts w:ascii="Arial" w:hAnsi="Arial"/>
        </w:rPr>
        <w:t>nicht-tarifäre</w:t>
      </w:r>
      <w:r w:rsidR="007E3102">
        <w:rPr>
          <w:rFonts w:ascii="Arial" w:hAnsi="Arial"/>
        </w:rPr>
        <w:t xml:space="preserve"> </w:t>
      </w:r>
      <w:r w:rsidR="007E3102" w:rsidRPr="004D55C2">
        <w:rPr>
          <w:rFonts w:ascii="Arial" w:hAnsi="Arial"/>
        </w:rPr>
        <w:t>Handelshemmnisse</w:t>
      </w:r>
      <w:r w:rsidR="00A15DBF">
        <w:rPr>
          <w:rFonts w:ascii="Arial" w:hAnsi="Arial"/>
        </w:rPr>
        <w:t xml:space="preserve">. So sieht beispielsweise der </w:t>
      </w:r>
      <w:r w:rsidR="00A15DBF" w:rsidRPr="00A15DBF">
        <w:rPr>
          <w:rFonts w:ascii="Arial" w:hAnsi="Arial"/>
        </w:rPr>
        <w:t xml:space="preserve">Inflation </w:t>
      </w:r>
      <w:proofErr w:type="spellStart"/>
      <w:r w:rsidR="00A15DBF" w:rsidRPr="00A15DBF">
        <w:rPr>
          <w:rFonts w:ascii="Arial" w:hAnsi="Arial"/>
        </w:rPr>
        <w:t>Reduction</w:t>
      </w:r>
      <w:proofErr w:type="spellEnd"/>
      <w:r w:rsidR="00A15DBF" w:rsidRPr="00A15DBF">
        <w:rPr>
          <w:rFonts w:ascii="Arial" w:hAnsi="Arial"/>
        </w:rPr>
        <w:t xml:space="preserve"> Act </w:t>
      </w:r>
      <w:r w:rsidR="0058048E">
        <w:rPr>
          <w:rFonts w:ascii="Arial" w:hAnsi="Arial"/>
        </w:rPr>
        <w:t xml:space="preserve">(IRA) </w:t>
      </w:r>
      <w:r w:rsidR="007C0CB4">
        <w:rPr>
          <w:rFonts w:ascii="Arial" w:hAnsi="Arial"/>
        </w:rPr>
        <w:t xml:space="preserve">aus dem Jahr 2022 </w:t>
      </w:r>
      <w:r w:rsidR="00E76F59">
        <w:rPr>
          <w:rFonts w:ascii="Arial" w:hAnsi="Arial"/>
        </w:rPr>
        <w:t xml:space="preserve">eine Reihe von </w:t>
      </w:r>
      <w:r w:rsidR="001C7D09">
        <w:rPr>
          <w:rFonts w:ascii="Arial" w:hAnsi="Arial"/>
        </w:rPr>
        <w:t xml:space="preserve">Marktanreizen vor, die </w:t>
      </w:r>
      <w:r w:rsidR="00175962">
        <w:rPr>
          <w:rFonts w:ascii="Arial" w:hAnsi="Arial"/>
        </w:rPr>
        <w:t xml:space="preserve">Investitionen </w:t>
      </w:r>
      <w:r w:rsidR="00E76F59">
        <w:rPr>
          <w:rFonts w:ascii="Arial" w:hAnsi="Arial"/>
        </w:rPr>
        <w:t xml:space="preserve">in den </w:t>
      </w:r>
      <w:r w:rsidR="00E76F59" w:rsidRPr="00A15DBF">
        <w:rPr>
          <w:rFonts w:ascii="Arial" w:hAnsi="Arial"/>
        </w:rPr>
        <w:t>USA</w:t>
      </w:r>
      <w:r w:rsidR="00E76F59">
        <w:rPr>
          <w:rFonts w:ascii="Arial" w:hAnsi="Arial"/>
        </w:rPr>
        <w:t xml:space="preserve"> </w:t>
      </w:r>
      <w:r w:rsidR="001C7D09">
        <w:rPr>
          <w:rFonts w:ascii="Arial" w:hAnsi="Arial"/>
        </w:rPr>
        <w:t>begünstigen</w:t>
      </w:r>
      <w:r w:rsidR="00E76F59">
        <w:rPr>
          <w:rFonts w:ascii="Arial" w:hAnsi="Arial"/>
        </w:rPr>
        <w:t>.</w:t>
      </w:r>
      <w:r w:rsidR="0058048E">
        <w:rPr>
          <w:rFonts w:ascii="Arial" w:hAnsi="Arial"/>
        </w:rPr>
        <w:t xml:space="preserve"> Der </w:t>
      </w:r>
      <w:r w:rsidR="00E16219" w:rsidRPr="00A15DBF">
        <w:rPr>
          <w:rFonts w:ascii="Arial" w:hAnsi="Arial"/>
        </w:rPr>
        <w:t xml:space="preserve">Inflation </w:t>
      </w:r>
      <w:proofErr w:type="spellStart"/>
      <w:r w:rsidR="00E16219" w:rsidRPr="00A15DBF">
        <w:rPr>
          <w:rFonts w:ascii="Arial" w:hAnsi="Arial"/>
        </w:rPr>
        <w:t>Reduction</w:t>
      </w:r>
      <w:proofErr w:type="spellEnd"/>
      <w:r w:rsidR="00E16219" w:rsidRPr="00A15DBF">
        <w:rPr>
          <w:rFonts w:ascii="Arial" w:hAnsi="Arial"/>
        </w:rPr>
        <w:t xml:space="preserve"> Act </w:t>
      </w:r>
      <w:r w:rsidR="0058048E">
        <w:rPr>
          <w:rFonts w:ascii="Arial" w:hAnsi="Arial"/>
        </w:rPr>
        <w:t xml:space="preserve">hatte wiederum Einfluss auf den </w:t>
      </w:r>
      <w:r w:rsidR="00BF6BD5">
        <w:rPr>
          <w:rFonts w:ascii="Arial" w:hAnsi="Arial"/>
        </w:rPr>
        <w:t xml:space="preserve">2023 vorgestellten </w:t>
      </w:r>
      <w:r w:rsidR="0083412B" w:rsidRPr="00B755C5">
        <w:rPr>
          <w:rFonts w:ascii="Arial" w:hAnsi="Arial"/>
        </w:rPr>
        <w:t>Green Deal Industrial Plan</w:t>
      </w:r>
      <w:r w:rsidR="0058048E">
        <w:rPr>
          <w:rFonts w:ascii="Arial" w:hAnsi="Arial"/>
        </w:rPr>
        <w:t xml:space="preserve"> – ein Maßnahmen- und Investitionsprogramm der </w:t>
      </w:r>
      <w:r w:rsidR="0058048E" w:rsidRPr="0058048E">
        <w:rPr>
          <w:rFonts w:ascii="Arial" w:hAnsi="Arial"/>
        </w:rPr>
        <w:t>Europäischen Kommission.</w:t>
      </w:r>
    </w:p>
    <w:p w14:paraId="06A9DB87" w14:textId="77777777" w:rsidR="00BF6BD5" w:rsidRDefault="00BF6BD5">
      <w:pPr>
        <w:rPr>
          <w:rFonts w:ascii="Arial" w:hAnsi="Arial"/>
        </w:rPr>
      </w:pPr>
    </w:p>
    <w:p w14:paraId="3D578217" w14:textId="77777777" w:rsidR="000B088F" w:rsidRPr="00711165" w:rsidRDefault="000B088F">
      <w:pPr>
        <w:rPr>
          <w:rFonts w:ascii="Arial" w:hAnsi="Arial"/>
          <w:color w:val="FF0000"/>
          <w:lang w:val="fr-FR"/>
        </w:rPr>
      </w:pPr>
      <w:proofErr w:type="spellStart"/>
      <w:r w:rsidRPr="00711165">
        <w:rPr>
          <w:rFonts w:ascii="Arial" w:hAnsi="Arial"/>
          <w:color w:val="FF0000"/>
          <w:lang w:val="fr-FR"/>
        </w:rPr>
        <w:t>Datenquelle</w:t>
      </w:r>
      <w:proofErr w:type="spellEnd"/>
    </w:p>
    <w:p w14:paraId="61268119" w14:textId="77777777" w:rsidR="000B088F" w:rsidRPr="00AE4A46" w:rsidRDefault="000B088F">
      <w:pPr>
        <w:rPr>
          <w:rFonts w:ascii="Arial" w:hAnsi="Arial"/>
          <w:lang w:val="en-US"/>
        </w:rPr>
      </w:pPr>
    </w:p>
    <w:p w14:paraId="1D3386A2" w14:textId="77777777" w:rsidR="00270849" w:rsidRPr="00AE4A46" w:rsidRDefault="009A548B">
      <w:pPr>
        <w:rPr>
          <w:rFonts w:ascii="Arial" w:hAnsi="Arial"/>
          <w:lang w:val="en-US"/>
        </w:rPr>
      </w:pPr>
      <w:r w:rsidRPr="00AE4A46">
        <w:rPr>
          <w:rFonts w:ascii="Arial" w:hAnsi="Arial"/>
          <w:lang w:val="en-US"/>
        </w:rPr>
        <w:t xml:space="preserve">The World Bank: </w:t>
      </w:r>
      <w:r w:rsidR="00270849" w:rsidRPr="00AE4A46">
        <w:rPr>
          <w:rFonts w:ascii="Arial" w:hAnsi="Arial"/>
          <w:lang w:val="en-US"/>
        </w:rPr>
        <w:t>https://wits.worldbank.org</w:t>
      </w:r>
      <w:r w:rsidRPr="00AE4A46">
        <w:rPr>
          <w:rFonts w:ascii="Arial" w:hAnsi="Arial"/>
          <w:lang w:val="en-US"/>
        </w:rPr>
        <w:t xml:space="preserve">; </w:t>
      </w:r>
      <w:r w:rsidR="00270849" w:rsidRPr="00AE4A46">
        <w:rPr>
          <w:rFonts w:ascii="Arial" w:hAnsi="Arial"/>
          <w:lang w:val="en-US"/>
        </w:rPr>
        <w:t>World Trade Organization (WTO): World Trade Statistical Review 2022</w:t>
      </w:r>
      <w:r w:rsidR="0048691A" w:rsidRPr="00AE4A46">
        <w:rPr>
          <w:rFonts w:ascii="Arial" w:hAnsi="Arial"/>
          <w:lang w:val="en-US"/>
        </w:rPr>
        <w:t xml:space="preserve">; </w:t>
      </w:r>
      <w:proofErr w:type="spellStart"/>
      <w:r w:rsidR="0048691A" w:rsidRPr="00AE4A46">
        <w:rPr>
          <w:rFonts w:ascii="Arial" w:hAnsi="Arial"/>
          <w:lang w:val="en-US"/>
        </w:rPr>
        <w:t>ifo</w:t>
      </w:r>
      <w:proofErr w:type="spellEnd"/>
      <w:r w:rsidR="0048691A" w:rsidRPr="00AE4A46">
        <w:rPr>
          <w:rFonts w:ascii="Arial" w:hAnsi="Arial"/>
          <w:lang w:val="en-US"/>
        </w:rPr>
        <w:t xml:space="preserve"> </w:t>
      </w:r>
      <w:proofErr w:type="spellStart"/>
      <w:r w:rsidR="0048691A" w:rsidRPr="00AE4A46">
        <w:rPr>
          <w:rFonts w:ascii="Arial" w:hAnsi="Arial"/>
          <w:lang w:val="en-US"/>
        </w:rPr>
        <w:t>Institut</w:t>
      </w:r>
      <w:proofErr w:type="spellEnd"/>
      <w:r w:rsidR="0048691A" w:rsidRPr="00AE4A46">
        <w:rPr>
          <w:rFonts w:ascii="Arial" w:hAnsi="Arial"/>
          <w:lang w:val="en-US"/>
        </w:rPr>
        <w:t xml:space="preserve">: </w:t>
      </w:r>
      <w:proofErr w:type="spellStart"/>
      <w:r w:rsidR="0048691A" w:rsidRPr="00AE4A46">
        <w:rPr>
          <w:rFonts w:ascii="Arial" w:hAnsi="Arial"/>
          <w:lang w:val="en-US"/>
        </w:rPr>
        <w:t>ifo</w:t>
      </w:r>
      <w:proofErr w:type="spellEnd"/>
      <w:r w:rsidR="0048691A" w:rsidRPr="00AE4A46">
        <w:rPr>
          <w:rFonts w:ascii="Arial" w:hAnsi="Arial"/>
          <w:lang w:val="en-US"/>
        </w:rPr>
        <w:t xml:space="preserve"> </w:t>
      </w:r>
      <w:proofErr w:type="spellStart"/>
      <w:r w:rsidR="0048691A" w:rsidRPr="00AE4A46">
        <w:rPr>
          <w:rFonts w:ascii="Arial" w:hAnsi="Arial"/>
          <w:lang w:val="en-US"/>
        </w:rPr>
        <w:t>Schnelldienst</w:t>
      </w:r>
      <w:proofErr w:type="spellEnd"/>
      <w:r w:rsidR="0048691A" w:rsidRPr="00AE4A46">
        <w:rPr>
          <w:rFonts w:ascii="Arial" w:hAnsi="Arial"/>
          <w:lang w:val="en-US"/>
        </w:rPr>
        <w:t xml:space="preserve"> 2/2021</w:t>
      </w:r>
    </w:p>
    <w:p w14:paraId="5CC0B391" w14:textId="77777777" w:rsidR="0048691A" w:rsidRPr="00AE4A46" w:rsidRDefault="0048691A">
      <w:pPr>
        <w:rPr>
          <w:rFonts w:ascii="Arial" w:hAnsi="Arial"/>
          <w:lang w:val="en-US"/>
        </w:rPr>
      </w:pPr>
    </w:p>
    <w:p w14:paraId="67B59CC9" w14:textId="77777777" w:rsidR="000B088F" w:rsidRPr="00DA2003" w:rsidRDefault="000B088F">
      <w:pPr>
        <w:rPr>
          <w:rFonts w:ascii="Arial" w:hAnsi="Arial"/>
          <w:color w:val="FF0000"/>
        </w:rPr>
      </w:pPr>
      <w:r w:rsidRPr="00DA2003">
        <w:rPr>
          <w:rFonts w:ascii="Arial" w:hAnsi="Arial"/>
          <w:color w:val="FF0000"/>
        </w:rPr>
        <w:t>Begriffe, methodische Anmerkungen oder Lesehilfen</w:t>
      </w:r>
    </w:p>
    <w:p w14:paraId="3D4CC66D" w14:textId="77777777" w:rsidR="000B088F" w:rsidRPr="00542A6E" w:rsidRDefault="000B088F">
      <w:pPr>
        <w:rPr>
          <w:rFonts w:ascii="Arial" w:hAnsi="Arial"/>
        </w:rPr>
      </w:pPr>
    </w:p>
    <w:p w14:paraId="456523A8" w14:textId="77777777" w:rsidR="004A272F" w:rsidRDefault="000B088F">
      <w:pPr>
        <w:rPr>
          <w:rFonts w:ascii="Arial" w:hAnsi="Arial"/>
        </w:rPr>
      </w:pPr>
      <w:r w:rsidRPr="00542A6E">
        <w:rPr>
          <w:rFonts w:ascii="Arial" w:hAnsi="Arial"/>
          <w:b/>
        </w:rPr>
        <w:t>Handelsgewichtete Zollbelastung:</w:t>
      </w:r>
      <w:r w:rsidRPr="00542A6E">
        <w:rPr>
          <w:rFonts w:ascii="Arial" w:hAnsi="Arial"/>
        </w:rPr>
        <w:t xml:space="preserve"> Um Verzerrungen zu vermeiden, wird bei der Bestimmung der Zollbelastung der jeweilige Anteil</w:t>
      </w:r>
      <w:r w:rsidR="005D0457" w:rsidRPr="00542A6E">
        <w:rPr>
          <w:rFonts w:ascii="Arial" w:hAnsi="Arial"/>
        </w:rPr>
        <w:t>, den die einzelnen Waren am Handel haben,</w:t>
      </w:r>
      <w:r w:rsidRPr="00542A6E">
        <w:rPr>
          <w:rFonts w:ascii="Arial" w:hAnsi="Arial"/>
        </w:rPr>
        <w:t xml:space="preserve"> berücksichtigt. Waren, die selten gehandelt werden, fallen so weniger stark ins Gewicht. Waren, die </w:t>
      </w:r>
      <w:r w:rsidR="007B5230">
        <w:rPr>
          <w:rFonts w:ascii="Arial" w:hAnsi="Arial"/>
        </w:rPr>
        <w:t>häufiger</w:t>
      </w:r>
      <w:r w:rsidRPr="00542A6E">
        <w:rPr>
          <w:rFonts w:ascii="Arial" w:hAnsi="Arial"/>
        </w:rPr>
        <w:t xml:space="preserve"> umgesetzt werden, werden entsprechend stärker gewichtet. Ein Beispiel: Für die Ware A wird ein Zoll von 10 Prozent und für die Ware B ein Zoll von 20 Prozent erhoben. Bei der Einfuhr von 200 Einheiten A und 100 Einheiten B liegt die handelsgewichtete Zollbelastung bei 13,3 Prozent. Bei der Einfuhr von 100 Einheiten A und 200 Einheiten B liegt sie entsprechend bei 16,7 Prozent</w:t>
      </w:r>
      <w:r w:rsidR="004A272F" w:rsidRPr="00542A6E">
        <w:rPr>
          <w:rFonts w:ascii="Arial" w:hAnsi="Arial"/>
        </w:rPr>
        <w:t>.</w:t>
      </w:r>
    </w:p>
    <w:p w14:paraId="5415B8A0" w14:textId="77777777" w:rsidR="00923BC4" w:rsidRDefault="00923BC4">
      <w:pPr>
        <w:rPr>
          <w:rFonts w:ascii="Arial" w:hAnsi="Arial"/>
        </w:rPr>
      </w:pPr>
    </w:p>
    <w:p w14:paraId="6058AEBC" w14:textId="77777777" w:rsidR="004A272F" w:rsidRDefault="000B088F">
      <w:pPr>
        <w:rPr>
          <w:rFonts w:ascii="Arial" w:hAnsi="Arial"/>
        </w:rPr>
      </w:pPr>
      <w:r w:rsidRPr="007B5230">
        <w:rPr>
          <w:rFonts w:ascii="Arial" w:hAnsi="Arial"/>
        </w:rPr>
        <w:t xml:space="preserve">Nach dem </w:t>
      </w:r>
      <w:r w:rsidRPr="007B5230">
        <w:rPr>
          <w:rFonts w:ascii="Arial" w:hAnsi="Arial"/>
          <w:b/>
        </w:rPr>
        <w:t>Meistbegünstigungsprinzip (most-</w:t>
      </w:r>
      <w:proofErr w:type="spellStart"/>
      <w:r w:rsidRPr="007B5230">
        <w:rPr>
          <w:rFonts w:ascii="Arial" w:hAnsi="Arial"/>
          <w:b/>
        </w:rPr>
        <w:t>favoured</w:t>
      </w:r>
      <w:proofErr w:type="spellEnd"/>
      <w:r w:rsidRPr="007B5230">
        <w:rPr>
          <w:rFonts w:ascii="Arial" w:hAnsi="Arial"/>
          <w:b/>
        </w:rPr>
        <w:t>-nation – MFN)</w:t>
      </w:r>
      <w:r w:rsidRPr="007B5230">
        <w:rPr>
          <w:rFonts w:ascii="Arial" w:hAnsi="Arial"/>
        </w:rPr>
        <w:t xml:space="preserve"> müssen Zollvorteile, die einem Vertragspartner gewährt werden, auch allen anderen Vertragspartnern gewährt werden. Das Meistbegünstigungsprinzip verhindert, dass einzelne Staaten Handelsvorteile erhalten und hat in der Vergangenheit zur Senkung der Zölle beigetragen. Allerdings gibt es Ausnahmen, bei denen das Meistbegünstigungsprinzip keine Anwendung findet. So müssen beispielsweise die Vorteile einer Zollunionen oder Freihandelszone nicht an Drittstaaten weitergegeben werden. Auch zur Förderung der ökonomisch am wenigsten entwickelten Staaten sind gesonderte Zölle zulässig</w:t>
      </w:r>
      <w:r w:rsidR="004A272F" w:rsidRPr="007B5230">
        <w:rPr>
          <w:rFonts w:ascii="Arial" w:hAnsi="Arial"/>
        </w:rPr>
        <w:t>.</w:t>
      </w:r>
    </w:p>
    <w:p w14:paraId="45344F9E" w14:textId="77777777" w:rsidR="00923BC4" w:rsidRDefault="00923BC4">
      <w:pPr>
        <w:rPr>
          <w:rFonts w:ascii="Arial" w:hAnsi="Arial"/>
        </w:rPr>
      </w:pPr>
    </w:p>
    <w:p w14:paraId="02DF3AC4" w14:textId="77777777" w:rsidR="004A272F" w:rsidRDefault="007B42B9">
      <w:pPr>
        <w:rPr>
          <w:rFonts w:ascii="Arial" w:hAnsi="Arial"/>
          <w:color w:val="000000"/>
        </w:rPr>
      </w:pPr>
      <w:r w:rsidRPr="00542A6E">
        <w:rPr>
          <w:rFonts w:ascii="Arial" w:hAnsi="Arial"/>
          <w:b/>
          <w:color w:val="000000"/>
        </w:rPr>
        <w:lastRenderedPageBreak/>
        <w:t xml:space="preserve">GATT: </w:t>
      </w:r>
      <w:r w:rsidRPr="00542A6E">
        <w:rPr>
          <w:rFonts w:ascii="Arial" w:hAnsi="Arial"/>
          <w:color w:val="000000"/>
        </w:rPr>
        <w:t>Das Allgemeine Zoll- und Handelsabkommen (</w:t>
      </w:r>
      <w:r w:rsidRPr="00542A6E">
        <w:rPr>
          <w:rFonts w:ascii="Arial" w:hAnsi="Arial"/>
          <w:b/>
          <w:color w:val="000000"/>
        </w:rPr>
        <w:t>G</w:t>
      </w:r>
      <w:r w:rsidRPr="00542A6E">
        <w:rPr>
          <w:rFonts w:ascii="Arial" w:hAnsi="Arial"/>
          <w:color w:val="000000"/>
        </w:rPr>
        <w:t xml:space="preserve">eneral </w:t>
      </w:r>
      <w:r w:rsidRPr="00542A6E">
        <w:rPr>
          <w:rFonts w:ascii="Arial" w:hAnsi="Arial"/>
          <w:b/>
          <w:color w:val="000000"/>
        </w:rPr>
        <w:t>A</w:t>
      </w:r>
      <w:r w:rsidRPr="00542A6E">
        <w:rPr>
          <w:rFonts w:ascii="Arial" w:hAnsi="Arial"/>
          <w:color w:val="000000"/>
        </w:rPr>
        <w:t xml:space="preserve">greement on </w:t>
      </w:r>
      <w:proofErr w:type="spellStart"/>
      <w:r w:rsidRPr="00542A6E">
        <w:rPr>
          <w:rFonts w:ascii="Arial" w:hAnsi="Arial"/>
          <w:b/>
          <w:color w:val="000000"/>
        </w:rPr>
        <w:t>T</w:t>
      </w:r>
      <w:r w:rsidRPr="00542A6E">
        <w:rPr>
          <w:rFonts w:ascii="Arial" w:hAnsi="Arial"/>
          <w:color w:val="000000"/>
        </w:rPr>
        <w:t>ariffs</w:t>
      </w:r>
      <w:proofErr w:type="spellEnd"/>
      <w:r w:rsidRPr="00542A6E">
        <w:rPr>
          <w:rFonts w:ascii="Arial" w:hAnsi="Arial"/>
          <w:color w:val="000000"/>
        </w:rPr>
        <w:t xml:space="preserve"> </w:t>
      </w:r>
      <w:proofErr w:type="spellStart"/>
      <w:r w:rsidRPr="00542A6E">
        <w:rPr>
          <w:rFonts w:ascii="Arial" w:hAnsi="Arial"/>
          <w:color w:val="000000"/>
        </w:rPr>
        <w:t>and</w:t>
      </w:r>
      <w:proofErr w:type="spellEnd"/>
      <w:r w:rsidRPr="00542A6E">
        <w:rPr>
          <w:rFonts w:ascii="Arial" w:hAnsi="Arial"/>
          <w:color w:val="000000"/>
        </w:rPr>
        <w:t xml:space="preserve"> </w:t>
      </w:r>
      <w:r w:rsidRPr="00542A6E">
        <w:rPr>
          <w:rFonts w:ascii="Arial" w:hAnsi="Arial"/>
          <w:b/>
          <w:color w:val="000000"/>
        </w:rPr>
        <w:t>T</w:t>
      </w:r>
      <w:r w:rsidRPr="00542A6E">
        <w:rPr>
          <w:rFonts w:ascii="Arial" w:hAnsi="Arial"/>
          <w:color w:val="000000"/>
        </w:rPr>
        <w:t>rade</w:t>
      </w:r>
      <w:r w:rsidR="001B2974" w:rsidRPr="00542A6E">
        <w:rPr>
          <w:rFonts w:ascii="Arial" w:hAnsi="Arial"/>
          <w:color w:val="000000"/>
        </w:rPr>
        <w:t>)</w:t>
      </w:r>
      <w:r w:rsidRPr="00542A6E">
        <w:rPr>
          <w:rFonts w:ascii="Arial" w:hAnsi="Arial"/>
          <w:color w:val="000000"/>
        </w:rPr>
        <w:t xml:space="preserve"> entstand als Ergebnis der </w:t>
      </w:r>
      <w:r w:rsidR="001B2974" w:rsidRPr="00542A6E">
        <w:rPr>
          <w:rFonts w:ascii="Arial" w:hAnsi="Arial"/>
          <w:color w:val="000000"/>
        </w:rPr>
        <w:t xml:space="preserve">internationalen </w:t>
      </w:r>
      <w:r w:rsidRPr="00542A6E">
        <w:rPr>
          <w:rFonts w:ascii="Arial" w:hAnsi="Arial"/>
          <w:color w:val="000000"/>
        </w:rPr>
        <w:t>Bretton-Woods-Konferenz. Bei diesem Treffen, das 1944 im gleichnamigen Ort in den USA stattfand, wurde ein festes Wechselkurssystem eingeführt. Zugleich wurden der Internationale Währungsfonds (IWF) und die Weltbank als zentrale Einrichtungen der Weltwirtschaftsordnung gegründet. Die Teilnehmerstaaten konnten sich jedoch nicht auf die Gründung einer Welthandelsorganisation einigen und verabschiedeten stattdessen das GATT</w:t>
      </w:r>
      <w:r w:rsidR="004A272F" w:rsidRPr="00542A6E">
        <w:rPr>
          <w:rFonts w:ascii="Arial" w:hAnsi="Arial"/>
          <w:color w:val="000000"/>
        </w:rPr>
        <w:t>.</w:t>
      </w:r>
    </w:p>
    <w:p w14:paraId="48DE26ED" w14:textId="77777777" w:rsidR="00923BC4" w:rsidRDefault="00923BC4">
      <w:pPr>
        <w:rPr>
          <w:rFonts w:ascii="Arial" w:hAnsi="Arial"/>
          <w:color w:val="000000"/>
        </w:rPr>
      </w:pPr>
    </w:p>
    <w:p w14:paraId="0D883502" w14:textId="77777777" w:rsidR="00D74F59" w:rsidRDefault="00D74F59">
      <w:pPr>
        <w:rPr>
          <w:rFonts w:ascii="Arial" w:hAnsi="Arial"/>
          <w:color w:val="000000"/>
        </w:rPr>
      </w:pPr>
      <w:r w:rsidRPr="00D74F59">
        <w:rPr>
          <w:rFonts w:ascii="Arial" w:hAnsi="Arial"/>
          <w:b/>
          <w:color w:val="000000"/>
        </w:rPr>
        <w:t>ASEAN</w:t>
      </w:r>
      <w:r w:rsidRPr="00D74F59">
        <w:rPr>
          <w:rFonts w:ascii="Arial" w:hAnsi="Arial"/>
          <w:color w:val="000000"/>
        </w:rPr>
        <w:t xml:space="preserve"> (</w:t>
      </w:r>
      <w:proofErr w:type="spellStart"/>
      <w:r w:rsidRPr="00D74F59">
        <w:rPr>
          <w:rFonts w:ascii="Arial" w:hAnsi="Arial"/>
          <w:b/>
          <w:color w:val="000000"/>
        </w:rPr>
        <w:t>A</w:t>
      </w:r>
      <w:r w:rsidRPr="00D74F59">
        <w:rPr>
          <w:rFonts w:ascii="Arial" w:hAnsi="Arial"/>
          <w:color w:val="000000"/>
        </w:rPr>
        <w:t>ssociation</w:t>
      </w:r>
      <w:proofErr w:type="spellEnd"/>
      <w:r w:rsidRPr="00D74F59">
        <w:rPr>
          <w:rFonts w:ascii="Arial" w:hAnsi="Arial"/>
          <w:color w:val="000000"/>
        </w:rPr>
        <w:t xml:space="preserve"> </w:t>
      </w:r>
      <w:proofErr w:type="spellStart"/>
      <w:r w:rsidRPr="00D74F59">
        <w:rPr>
          <w:rFonts w:ascii="Arial" w:hAnsi="Arial"/>
          <w:color w:val="000000"/>
        </w:rPr>
        <w:t>of</w:t>
      </w:r>
      <w:proofErr w:type="spellEnd"/>
      <w:r w:rsidRPr="00D74F59">
        <w:rPr>
          <w:rFonts w:ascii="Arial" w:hAnsi="Arial"/>
          <w:color w:val="000000"/>
        </w:rPr>
        <w:t xml:space="preserve"> </w:t>
      </w:r>
      <w:proofErr w:type="spellStart"/>
      <w:r w:rsidRPr="00D74F59">
        <w:rPr>
          <w:rFonts w:ascii="Arial" w:hAnsi="Arial"/>
          <w:b/>
          <w:color w:val="000000"/>
        </w:rPr>
        <w:t>S</w:t>
      </w:r>
      <w:r w:rsidRPr="00D74F59">
        <w:rPr>
          <w:rFonts w:ascii="Arial" w:hAnsi="Arial"/>
          <w:color w:val="000000"/>
        </w:rPr>
        <w:t>outh</w:t>
      </w:r>
      <w:r w:rsidRPr="00D74F59">
        <w:rPr>
          <w:rFonts w:ascii="Arial" w:hAnsi="Arial"/>
          <w:b/>
          <w:color w:val="000000"/>
        </w:rPr>
        <w:t>e</w:t>
      </w:r>
      <w:r w:rsidRPr="00D74F59">
        <w:rPr>
          <w:rFonts w:ascii="Arial" w:hAnsi="Arial"/>
          <w:color w:val="000000"/>
        </w:rPr>
        <w:t>ast</w:t>
      </w:r>
      <w:proofErr w:type="spellEnd"/>
      <w:r w:rsidRPr="00D74F59">
        <w:rPr>
          <w:rFonts w:ascii="Arial" w:hAnsi="Arial"/>
          <w:color w:val="000000"/>
        </w:rPr>
        <w:t xml:space="preserve"> </w:t>
      </w:r>
      <w:r w:rsidRPr="00D74F59">
        <w:rPr>
          <w:rFonts w:ascii="Arial" w:hAnsi="Arial"/>
          <w:b/>
          <w:color w:val="000000"/>
        </w:rPr>
        <w:t>A</w:t>
      </w:r>
      <w:r w:rsidRPr="00D74F59">
        <w:rPr>
          <w:rFonts w:ascii="Arial" w:hAnsi="Arial"/>
          <w:color w:val="000000"/>
        </w:rPr>
        <w:t xml:space="preserve">sian </w:t>
      </w:r>
      <w:proofErr w:type="spellStart"/>
      <w:r w:rsidRPr="00D74F59">
        <w:rPr>
          <w:rFonts w:ascii="Arial" w:hAnsi="Arial"/>
          <w:b/>
          <w:color w:val="000000"/>
        </w:rPr>
        <w:t>N</w:t>
      </w:r>
      <w:r w:rsidRPr="00D74F59">
        <w:rPr>
          <w:rFonts w:ascii="Arial" w:hAnsi="Arial"/>
          <w:color w:val="000000"/>
        </w:rPr>
        <w:t>ations</w:t>
      </w:r>
      <w:proofErr w:type="spellEnd"/>
      <w:r w:rsidRPr="00D74F59">
        <w:rPr>
          <w:rFonts w:ascii="Arial" w:hAnsi="Arial"/>
          <w:color w:val="000000"/>
        </w:rPr>
        <w:t>): Staatenverbund, der 1967 von</w:t>
      </w:r>
      <w:r>
        <w:rPr>
          <w:rFonts w:ascii="Arial" w:hAnsi="Arial"/>
          <w:color w:val="000000"/>
        </w:rPr>
        <w:t xml:space="preserve"> </w:t>
      </w:r>
      <w:r w:rsidRPr="00D74F59">
        <w:rPr>
          <w:rFonts w:ascii="Arial" w:hAnsi="Arial"/>
          <w:color w:val="000000"/>
        </w:rPr>
        <w:t>Indonesien, Malaysia, Philippinen und Singapur gegründet wurde. Im Laufe der Zeit traten Thailand, Brunei, Vietnam, Laos, Myanmar und Kambodscha bei.</w:t>
      </w:r>
    </w:p>
    <w:p w14:paraId="3D664F37" w14:textId="77777777" w:rsidR="00923BC4" w:rsidRDefault="00923BC4">
      <w:pPr>
        <w:rPr>
          <w:rFonts w:ascii="Arial" w:hAnsi="Arial"/>
          <w:color w:val="000000"/>
        </w:rPr>
      </w:pPr>
    </w:p>
    <w:p w14:paraId="18F9C162" w14:textId="77777777" w:rsidR="004A272F" w:rsidRPr="00DC5295" w:rsidRDefault="001B2974">
      <w:pPr>
        <w:rPr>
          <w:rFonts w:ascii="Arial" w:hAnsi="Arial"/>
          <w:color w:val="000000"/>
        </w:rPr>
      </w:pPr>
      <w:r w:rsidRPr="00DC5295">
        <w:rPr>
          <w:rFonts w:ascii="Arial" w:hAnsi="Arial"/>
          <w:color w:val="000000"/>
        </w:rPr>
        <w:t>Informationen zur Welthandelsorganisation (</w:t>
      </w:r>
      <w:r w:rsidRPr="00DC5295">
        <w:rPr>
          <w:rFonts w:ascii="Arial" w:hAnsi="Arial"/>
          <w:b/>
          <w:color w:val="000000"/>
        </w:rPr>
        <w:t>WTO</w:t>
      </w:r>
      <w:r w:rsidRPr="00DC5295">
        <w:rPr>
          <w:rFonts w:ascii="Arial" w:hAnsi="Arial"/>
          <w:color w:val="000000"/>
        </w:rPr>
        <w:t xml:space="preserve"> – World Trade Organization) </w:t>
      </w:r>
      <w:r w:rsidR="00B87193" w:rsidRPr="00DC5295">
        <w:rPr>
          <w:rFonts w:ascii="Arial" w:hAnsi="Arial"/>
          <w:color w:val="000000"/>
        </w:rPr>
        <w:t>erhalten Sie hier</w:t>
      </w:r>
      <w:r w:rsidR="0077166B" w:rsidRPr="00DC5295">
        <w:rPr>
          <w:rFonts w:ascii="Arial" w:hAnsi="Arial"/>
          <w:color w:val="000000"/>
        </w:rPr>
        <w:t xml:space="preserve">: </w:t>
      </w:r>
      <w:hyperlink r:id="rId8" w:history="1">
        <w:r w:rsidRPr="00DC5295">
          <w:rPr>
            <w:rStyle w:val="Hyperlink"/>
            <w:rFonts w:ascii="Arial" w:hAnsi="Arial"/>
          </w:rPr>
          <w:t>http://www.bpb.de/52802</w:t>
        </w:r>
      </w:hyperlink>
    </w:p>
    <w:p w14:paraId="407C7C42" w14:textId="77777777" w:rsidR="001B2974" w:rsidRPr="00DC5295" w:rsidRDefault="001B2974">
      <w:pPr>
        <w:rPr>
          <w:rFonts w:ascii="Arial" w:hAnsi="Arial"/>
          <w:color w:val="000000"/>
        </w:rPr>
      </w:pPr>
    </w:p>
    <w:p w14:paraId="02B7B78A" w14:textId="77777777" w:rsidR="00865C7D" w:rsidRPr="00AE4A46" w:rsidRDefault="000B088F">
      <w:pPr>
        <w:rPr>
          <w:rFonts w:ascii="Arial" w:hAnsi="Arial"/>
          <w:color w:val="000000"/>
          <w:lang w:val="en-US"/>
        </w:rPr>
      </w:pPr>
      <w:r w:rsidRPr="00AE4A46">
        <w:rPr>
          <w:rFonts w:ascii="Arial" w:hAnsi="Arial"/>
          <w:b/>
          <w:color w:val="000000"/>
          <w:lang w:val="en-US"/>
        </w:rPr>
        <w:t>TRIPs</w:t>
      </w:r>
      <w:r w:rsidRPr="00AE4A46">
        <w:rPr>
          <w:rFonts w:ascii="Arial" w:hAnsi="Arial"/>
          <w:color w:val="000000"/>
          <w:lang w:val="en-US"/>
        </w:rPr>
        <w:t xml:space="preserve"> – Trade-Related Aspects of Intellectual Property Rights</w:t>
      </w:r>
    </w:p>
    <w:p w14:paraId="5D08C827" w14:textId="77777777" w:rsidR="000B088F" w:rsidRPr="00AE4A46" w:rsidRDefault="000B088F">
      <w:pPr>
        <w:rPr>
          <w:rFonts w:ascii="Arial" w:hAnsi="Arial"/>
          <w:color w:val="000000"/>
          <w:lang w:val="en-US"/>
        </w:rPr>
      </w:pPr>
      <w:r w:rsidRPr="00AE4A46">
        <w:rPr>
          <w:rFonts w:ascii="Arial" w:hAnsi="Arial"/>
          <w:color w:val="000000"/>
          <w:lang w:val="en-US"/>
        </w:rPr>
        <w:br/>
      </w:r>
      <w:r w:rsidRPr="00AE4A46">
        <w:rPr>
          <w:rFonts w:ascii="Arial" w:hAnsi="Arial"/>
          <w:b/>
          <w:color w:val="000000"/>
          <w:lang w:val="en-US"/>
        </w:rPr>
        <w:t>GATS</w:t>
      </w:r>
      <w:r w:rsidRPr="00AE4A46">
        <w:rPr>
          <w:rFonts w:ascii="Arial" w:hAnsi="Arial"/>
          <w:color w:val="000000"/>
          <w:lang w:val="en-US"/>
        </w:rPr>
        <w:t xml:space="preserve"> – </w:t>
      </w:r>
      <w:r w:rsidR="00BF05B5" w:rsidRPr="00AE4A46">
        <w:rPr>
          <w:rFonts w:ascii="Arial" w:hAnsi="Arial"/>
          <w:color w:val="000000"/>
          <w:lang w:val="en-US"/>
        </w:rPr>
        <w:t>General Agreement on Trade in Service</w:t>
      </w:r>
    </w:p>
    <w:p w14:paraId="34F361A7" w14:textId="77777777" w:rsidR="003A56C2" w:rsidRPr="00AE4A46" w:rsidRDefault="003A56C2">
      <w:pPr>
        <w:rPr>
          <w:rFonts w:ascii="Arial" w:hAnsi="Arial"/>
          <w:color w:val="000000"/>
          <w:lang w:val="en-US"/>
        </w:rPr>
      </w:pPr>
    </w:p>
    <w:p w14:paraId="77F61A35" w14:textId="77777777" w:rsidR="0048691A" w:rsidRDefault="003A56C2">
      <w:pPr>
        <w:rPr>
          <w:rFonts w:ascii="Arial" w:hAnsi="Arial"/>
          <w:color w:val="000000"/>
        </w:rPr>
      </w:pPr>
      <w:r>
        <w:rPr>
          <w:rFonts w:ascii="Arial" w:hAnsi="Arial"/>
          <w:color w:val="000000"/>
        </w:rPr>
        <w:t xml:space="preserve">Informationen zu ausgewählten </w:t>
      </w:r>
      <w:r w:rsidRPr="003A56C2">
        <w:rPr>
          <w:rFonts w:ascii="Arial" w:hAnsi="Arial"/>
          <w:b/>
          <w:color w:val="000000"/>
        </w:rPr>
        <w:t>Handelsbilanzen</w:t>
      </w:r>
      <w:r>
        <w:rPr>
          <w:rFonts w:ascii="Arial" w:hAnsi="Arial"/>
          <w:color w:val="000000"/>
        </w:rPr>
        <w:t xml:space="preserve"> finden Sie hier: </w:t>
      </w:r>
      <w:hyperlink r:id="rId9" w:history="1">
        <w:r w:rsidRPr="00E01F5E">
          <w:rPr>
            <w:rStyle w:val="Hyperlink"/>
            <w:rFonts w:ascii="Arial" w:hAnsi="Arial"/>
          </w:rPr>
          <w:t>https://www.bpb.de/52567</w:t>
        </w:r>
      </w:hyperlink>
    </w:p>
    <w:p w14:paraId="37585B97" w14:textId="77777777" w:rsidR="003A56C2" w:rsidRDefault="003A56C2">
      <w:pPr>
        <w:rPr>
          <w:rFonts w:ascii="Arial" w:hAnsi="Arial"/>
          <w:color w:val="000000"/>
        </w:rPr>
      </w:pPr>
    </w:p>
    <w:p w14:paraId="53BE7EE7" w14:textId="77777777" w:rsidR="0048691A" w:rsidRDefault="0048691A">
      <w:pPr>
        <w:rPr>
          <w:rFonts w:ascii="Arial" w:hAnsi="Arial"/>
          <w:color w:val="000000"/>
        </w:rPr>
      </w:pPr>
      <w:r w:rsidRPr="0048691A">
        <w:rPr>
          <w:rFonts w:ascii="Arial" w:hAnsi="Arial"/>
          <w:color w:val="000000"/>
        </w:rPr>
        <w:t>Das </w:t>
      </w:r>
      <w:r w:rsidRPr="0048691A">
        <w:rPr>
          <w:rFonts w:ascii="Arial" w:hAnsi="Arial"/>
          <w:b/>
          <w:color w:val="000000"/>
        </w:rPr>
        <w:t>Bruttoinlandsprodukt (BIP)</w:t>
      </w:r>
      <w:r w:rsidRPr="0048691A">
        <w:rPr>
          <w:rFonts w:ascii="Arial" w:hAnsi="Arial"/>
          <w:color w:val="000000"/>
        </w:rPr>
        <w:t> misst den Wert der im Inland hergestellten Waren und Dienstleistungen (Wertschöpfung), soweit diese nicht als Vorleistungen für die Produktion anderer Waren und Dienstleistungen verwendet werden. Das BIP ist gegenwärtig das wichtigste gesamtwirtschaftliche Produktionsmaß.</w:t>
      </w:r>
    </w:p>
    <w:p w14:paraId="4E1755F5" w14:textId="77777777" w:rsidR="00923BC4" w:rsidRDefault="00923BC4">
      <w:pPr>
        <w:rPr>
          <w:rFonts w:ascii="Arial" w:hAnsi="Arial"/>
          <w:color w:val="000000"/>
        </w:rPr>
      </w:pPr>
    </w:p>
    <w:p w14:paraId="70498360" w14:textId="77777777" w:rsidR="00BA14CB" w:rsidRPr="00D83506" w:rsidRDefault="00BA14CB" w:rsidP="00BA14CB">
      <w:pPr>
        <w:rPr>
          <w:rFonts w:ascii="Arial" w:hAnsi="Arial"/>
          <w:sz w:val="20"/>
          <w:szCs w:val="20"/>
        </w:rPr>
      </w:pPr>
      <w:r w:rsidRPr="00D83506">
        <w:rPr>
          <w:rFonts w:ascii="Arial" w:hAnsi="Arial"/>
          <w:sz w:val="20"/>
          <w:szCs w:val="20"/>
        </w:rPr>
        <w:t xml:space="preserve">Dieser Text ist unter der Creative Commons Lizenz CC BY-NC-ND 4.0 veröffentlicht. </w:t>
      </w:r>
    </w:p>
    <w:p w14:paraId="4F41DEE1" w14:textId="77777777" w:rsidR="00364235" w:rsidRPr="00BA14CB" w:rsidRDefault="00BA14CB" w:rsidP="00BA14CB">
      <w:pPr>
        <w:rPr>
          <w:rFonts w:ascii="Arial" w:hAnsi="Arial"/>
          <w:sz w:val="20"/>
          <w:szCs w:val="20"/>
        </w:rPr>
      </w:pPr>
      <w:r w:rsidRPr="00D83506">
        <w:rPr>
          <w:rFonts w:ascii="Arial" w:hAnsi="Arial"/>
          <w:sz w:val="20"/>
          <w:szCs w:val="20"/>
        </w:rPr>
        <w:t xml:space="preserve">Bundeszentrale für politische Bildung 2023 | </w:t>
      </w:r>
      <w:hyperlink r:id="rId10" w:history="1">
        <w:r w:rsidRPr="00D83506">
          <w:rPr>
            <w:rFonts w:ascii="Arial" w:hAnsi="Arial"/>
            <w:sz w:val="20"/>
            <w:szCs w:val="20"/>
          </w:rPr>
          <w:t>www.bpb.de</w:t>
        </w:r>
      </w:hyperlink>
    </w:p>
    <w:sectPr w:rsidR="00364235" w:rsidRPr="00BA14CB">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568444" w15:done="0"/>
  <w15:commentEx w15:paraId="15AE4A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568444" w16cid:durableId="2951168D"/>
  <w16cid:commentId w16cid:paraId="15AE4A7C" w16cid:durableId="295116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9A6CA4" w14:textId="77777777" w:rsidR="0046497A" w:rsidRDefault="0046497A" w:rsidP="007957A3">
      <w:r>
        <w:separator/>
      </w:r>
    </w:p>
  </w:endnote>
  <w:endnote w:type="continuationSeparator" w:id="0">
    <w:p w14:paraId="5740A92F" w14:textId="77777777" w:rsidR="0046497A" w:rsidRDefault="0046497A" w:rsidP="00795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298E8" w14:textId="77777777" w:rsidR="0046497A" w:rsidRDefault="0046497A" w:rsidP="007957A3">
      <w:r>
        <w:separator/>
      </w:r>
    </w:p>
  </w:footnote>
  <w:footnote w:type="continuationSeparator" w:id="0">
    <w:p w14:paraId="34C62B83" w14:textId="77777777" w:rsidR="0046497A" w:rsidRDefault="0046497A" w:rsidP="007957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A7D94"/>
    <w:multiLevelType w:val="hybridMultilevel"/>
    <w:tmpl w:val="C2CED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0C626B9"/>
    <w:multiLevelType w:val="multilevel"/>
    <w:tmpl w:val="9114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165"/>
    <w:rsid w:val="0000442D"/>
    <w:rsid w:val="00042DC6"/>
    <w:rsid w:val="00057906"/>
    <w:rsid w:val="000737AD"/>
    <w:rsid w:val="000B088F"/>
    <w:rsid w:val="0016688D"/>
    <w:rsid w:val="00175962"/>
    <w:rsid w:val="00183F88"/>
    <w:rsid w:val="001842F3"/>
    <w:rsid w:val="001B2974"/>
    <w:rsid w:val="001B3091"/>
    <w:rsid w:val="001C7D09"/>
    <w:rsid w:val="001E573C"/>
    <w:rsid w:val="001E767D"/>
    <w:rsid w:val="00201C17"/>
    <w:rsid w:val="00235C8D"/>
    <w:rsid w:val="002500C8"/>
    <w:rsid w:val="00270849"/>
    <w:rsid w:val="00277D00"/>
    <w:rsid w:val="002B40A7"/>
    <w:rsid w:val="002C359E"/>
    <w:rsid w:val="002C3A19"/>
    <w:rsid w:val="003005E4"/>
    <w:rsid w:val="003331A0"/>
    <w:rsid w:val="0034063A"/>
    <w:rsid w:val="003426FC"/>
    <w:rsid w:val="00364235"/>
    <w:rsid w:val="00370EB1"/>
    <w:rsid w:val="003738D7"/>
    <w:rsid w:val="003907C3"/>
    <w:rsid w:val="003A56C2"/>
    <w:rsid w:val="003D150A"/>
    <w:rsid w:val="00402ED4"/>
    <w:rsid w:val="00437E27"/>
    <w:rsid w:val="0046497A"/>
    <w:rsid w:val="004658F8"/>
    <w:rsid w:val="00467376"/>
    <w:rsid w:val="0048691A"/>
    <w:rsid w:val="004A272F"/>
    <w:rsid w:val="004D55C2"/>
    <w:rsid w:val="004D6531"/>
    <w:rsid w:val="004D70E7"/>
    <w:rsid w:val="004E030E"/>
    <w:rsid w:val="00501709"/>
    <w:rsid w:val="00542A6E"/>
    <w:rsid w:val="0055295B"/>
    <w:rsid w:val="00567291"/>
    <w:rsid w:val="00576099"/>
    <w:rsid w:val="0058048E"/>
    <w:rsid w:val="005953FF"/>
    <w:rsid w:val="00597FB6"/>
    <w:rsid w:val="005A103D"/>
    <w:rsid w:val="005A4947"/>
    <w:rsid w:val="005D0457"/>
    <w:rsid w:val="005E7B94"/>
    <w:rsid w:val="005F1CB0"/>
    <w:rsid w:val="00633073"/>
    <w:rsid w:val="006464E3"/>
    <w:rsid w:val="00652316"/>
    <w:rsid w:val="006A1874"/>
    <w:rsid w:val="006E526B"/>
    <w:rsid w:val="006F303A"/>
    <w:rsid w:val="00711165"/>
    <w:rsid w:val="00720A0F"/>
    <w:rsid w:val="007378D1"/>
    <w:rsid w:val="007679A9"/>
    <w:rsid w:val="0077166B"/>
    <w:rsid w:val="007957A3"/>
    <w:rsid w:val="007B42B9"/>
    <w:rsid w:val="007B5230"/>
    <w:rsid w:val="007C0CB4"/>
    <w:rsid w:val="007E2440"/>
    <w:rsid w:val="007E3102"/>
    <w:rsid w:val="00810E73"/>
    <w:rsid w:val="0083412B"/>
    <w:rsid w:val="00865C7D"/>
    <w:rsid w:val="00866F75"/>
    <w:rsid w:val="00891374"/>
    <w:rsid w:val="008E7919"/>
    <w:rsid w:val="00901325"/>
    <w:rsid w:val="00923BC4"/>
    <w:rsid w:val="00961259"/>
    <w:rsid w:val="00970AE7"/>
    <w:rsid w:val="00994C4B"/>
    <w:rsid w:val="009A548B"/>
    <w:rsid w:val="009E698B"/>
    <w:rsid w:val="00A15DBF"/>
    <w:rsid w:val="00A528D4"/>
    <w:rsid w:val="00A564EF"/>
    <w:rsid w:val="00A61D78"/>
    <w:rsid w:val="00A64CEF"/>
    <w:rsid w:val="00A76A41"/>
    <w:rsid w:val="00A76E93"/>
    <w:rsid w:val="00A854C4"/>
    <w:rsid w:val="00AC2D55"/>
    <w:rsid w:val="00AC5828"/>
    <w:rsid w:val="00AE0FE4"/>
    <w:rsid w:val="00AE4A46"/>
    <w:rsid w:val="00B01E5E"/>
    <w:rsid w:val="00B13C6D"/>
    <w:rsid w:val="00B52CB5"/>
    <w:rsid w:val="00B755C5"/>
    <w:rsid w:val="00B87193"/>
    <w:rsid w:val="00B94A3D"/>
    <w:rsid w:val="00BA14CB"/>
    <w:rsid w:val="00BB41C5"/>
    <w:rsid w:val="00BC7C48"/>
    <w:rsid w:val="00BD5A68"/>
    <w:rsid w:val="00BF001E"/>
    <w:rsid w:val="00BF05B5"/>
    <w:rsid w:val="00BF6BD5"/>
    <w:rsid w:val="00C232F6"/>
    <w:rsid w:val="00C32D68"/>
    <w:rsid w:val="00C5556F"/>
    <w:rsid w:val="00C63409"/>
    <w:rsid w:val="00C67B61"/>
    <w:rsid w:val="00CB04F7"/>
    <w:rsid w:val="00CB32B4"/>
    <w:rsid w:val="00CF20B0"/>
    <w:rsid w:val="00D301EC"/>
    <w:rsid w:val="00D357A8"/>
    <w:rsid w:val="00D4292D"/>
    <w:rsid w:val="00D74A17"/>
    <w:rsid w:val="00D74F59"/>
    <w:rsid w:val="00D858AD"/>
    <w:rsid w:val="00DA2003"/>
    <w:rsid w:val="00DB3F87"/>
    <w:rsid w:val="00DC5295"/>
    <w:rsid w:val="00DD6412"/>
    <w:rsid w:val="00E16219"/>
    <w:rsid w:val="00E60792"/>
    <w:rsid w:val="00E76F59"/>
    <w:rsid w:val="00E80F5C"/>
    <w:rsid w:val="00EC2878"/>
    <w:rsid w:val="00F023C9"/>
    <w:rsid w:val="00F243E8"/>
    <w:rsid w:val="00F5735B"/>
    <w:rsid w:val="00F749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9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6F59"/>
    <w:rPr>
      <w:sz w:val="24"/>
      <w:szCs w:val="24"/>
    </w:rPr>
  </w:style>
  <w:style w:type="paragraph" w:styleId="berschrift1">
    <w:name w:val="heading 1"/>
    <w:basedOn w:val="Standard"/>
    <w:link w:val="berschrift1Zchn"/>
    <w:uiPriority w:val="9"/>
    <w:qFormat/>
    <w:rsid w:val="0048691A"/>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styleId="StandardWeb">
    <w:name w:val="Normal (Web)"/>
    <w:basedOn w:val="Standard"/>
    <w:pPr>
      <w:spacing w:before="100" w:beforeAutospacing="1" w:after="100" w:afterAutospacing="1"/>
    </w:pPr>
  </w:style>
  <w:style w:type="paragraph" w:styleId="Textkrper">
    <w:name w:val="Body Text"/>
    <w:basedOn w:val="Standard"/>
    <w:rPr>
      <w:rFonts w:ascii="Arial" w:hAnsi="Arial"/>
      <w:color w:val="0000FF"/>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uiPriority w:val="99"/>
    <w:unhideWhenUsed/>
    <w:rsid w:val="007957A3"/>
    <w:pPr>
      <w:tabs>
        <w:tab w:val="center" w:pos="4536"/>
        <w:tab w:val="right" w:pos="9072"/>
      </w:tabs>
    </w:pPr>
  </w:style>
  <w:style w:type="character" w:customStyle="1" w:styleId="KopfzeileZchn">
    <w:name w:val="Kopfzeile Zchn"/>
    <w:basedOn w:val="Absatz-Standardschriftart"/>
    <w:link w:val="Kopfzeile"/>
    <w:uiPriority w:val="99"/>
    <w:rsid w:val="007957A3"/>
    <w:rPr>
      <w:sz w:val="24"/>
      <w:szCs w:val="24"/>
    </w:rPr>
  </w:style>
  <w:style w:type="character" w:styleId="Fett">
    <w:name w:val="Strong"/>
    <w:basedOn w:val="Absatz-Standardschriftart"/>
    <w:uiPriority w:val="22"/>
    <w:qFormat/>
    <w:rsid w:val="0048691A"/>
    <w:rPr>
      <w:b/>
      <w:bCs/>
    </w:rPr>
  </w:style>
  <w:style w:type="character" w:customStyle="1" w:styleId="berschrift1Zchn">
    <w:name w:val="Überschrift 1 Zchn"/>
    <w:basedOn w:val="Absatz-Standardschriftart"/>
    <w:link w:val="berschrift1"/>
    <w:uiPriority w:val="9"/>
    <w:rsid w:val="0048691A"/>
    <w:rPr>
      <w:b/>
      <w:bCs/>
      <w:kern w:val="36"/>
      <w:sz w:val="48"/>
      <w:szCs w:val="48"/>
    </w:rPr>
  </w:style>
  <w:style w:type="character" w:customStyle="1" w:styleId="field-title">
    <w:name w:val="field-title"/>
    <w:basedOn w:val="Absatz-Standardschriftart"/>
    <w:rsid w:val="0048691A"/>
  </w:style>
  <w:style w:type="character" w:styleId="Hervorhebung">
    <w:name w:val="Emphasis"/>
    <w:basedOn w:val="Absatz-Standardschriftart"/>
    <w:uiPriority w:val="20"/>
    <w:qFormat/>
    <w:rsid w:val="00437E27"/>
    <w:rPr>
      <w:i/>
      <w:iCs/>
    </w:rPr>
  </w:style>
  <w:style w:type="paragraph" w:styleId="Listenabsatz">
    <w:name w:val="List Paragraph"/>
    <w:basedOn w:val="Standard"/>
    <w:uiPriority w:val="34"/>
    <w:qFormat/>
    <w:rsid w:val="00633073"/>
    <w:pPr>
      <w:ind w:left="720"/>
      <w:contextualSpacing/>
    </w:pPr>
  </w:style>
  <w:style w:type="paragraph" w:styleId="Kommentarthema">
    <w:name w:val="annotation subject"/>
    <w:basedOn w:val="Kommentartext"/>
    <w:next w:val="Kommentartext"/>
    <w:link w:val="KommentarthemaZchn"/>
    <w:uiPriority w:val="99"/>
    <w:semiHidden/>
    <w:unhideWhenUsed/>
    <w:rsid w:val="00B52CB5"/>
    <w:rPr>
      <w:b/>
      <w:bCs/>
      <w:szCs w:val="20"/>
    </w:rPr>
  </w:style>
  <w:style w:type="character" w:customStyle="1" w:styleId="KommentartextZchn">
    <w:name w:val="Kommentartext Zchn"/>
    <w:basedOn w:val="Absatz-Standardschriftart"/>
    <w:link w:val="Kommentartext"/>
    <w:semiHidden/>
    <w:rsid w:val="00B52CB5"/>
    <w:rPr>
      <w:szCs w:val="24"/>
    </w:rPr>
  </w:style>
  <w:style w:type="character" w:customStyle="1" w:styleId="KommentarthemaZchn">
    <w:name w:val="Kommentarthema Zchn"/>
    <w:basedOn w:val="KommentartextZchn"/>
    <w:link w:val="Kommentarthema"/>
    <w:uiPriority w:val="99"/>
    <w:semiHidden/>
    <w:rsid w:val="00B52CB5"/>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6F59"/>
    <w:rPr>
      <w:sz w:val="24"/>
      <w:szCs w:val="24"/>
    </w:rPr>
  </w:style>
  <w:style w:type="paragraph" w:styleId="berschrift1">
    <w:name w:val="heading 1"/>
    <w:basedOn w:val="Standard"/>
    <w:link w:val="berschrift1Zchn"/>
    <w:uiPriority w:val="9"/>
    <w:qFormat/>
    <w:rsid w:val="0048691A"/>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styleId="StandardWeb">
    <w:name w:val="Normal (Web)"/>
    <w:basedOn w:val="Standard"/>
    <w:pPr>
      <w:spacing w:before="100" w:beforeAutospacing="1" w:after="100" w:afterAutospacing="1"/>
    </w:pPr>
  </w:style>
  <w:style w:type="paragraph" w:styleId="Textkrper">
    <w:name w:val="Body Text"/>
    <w:basedOn w:val="Standard"/>
    <w:rPr>
      <w:rFonts w:ascii="Arial" w:hAnsi="Arial"/>
      <w:color w:val="0000FF"/>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uiPriority w:val="99"/>
    <w:unhideWhenUsed/>
    <w:rsid w:val="007957A3"/>
    <w:pPr>
      <w:tabs>
        <w:tab w:val="center" w:pos="4536"/>
        <w:tab w:val="right" w:pos="9072"/>
      </w:tabs>
    </w:pPr>
  </w:style>
  <w:style w:type="character" w:customStyle="1" w:styleId="KopfzeileZchn">
    <w:name w:val="Kopfzeile Zchn"/>
    <w:basedOn w:val="Absatz-Standardschriftart"/>
    <w:link w:val="Kopfzeile"/>
    <w:uiPriority w:val="99"/>
    <w:rsid w:val="007957A3"/>
    <w:rPr>
      <w:sz w:val="24"/>
      <w:szCs w:val="24"/>
    </w:rPr>
  </w:style>
  <w:style w:type="character" w:styleId="Fett">
    <w:name w:val="Strong"/>
    <w:basedOn w:val="Absatz-Standardschriftart"/>
    <w:uiPriority w:val="22"/>
    <w:qFormat/>
    <w:rsid w:val="0048691A"/>
    <w:rPr>
      <w:b/>
      <w:bCs/>
    </w:rPr>
  </w:style>
  <w:style w:type="character" w:customStyle="1" w:styleId="berschrift1Zchn">
    <w:name w:val="Überschrift 1 Zchn"/>
    <w:basedOn w:val="Absatz-Standardschriftart"/>
    <w:link w:val="berschrift1"/>
    <w:uiPriority w:val="9"/>
    <w:rsid w:val="0048691A"/>
    <w:rPr>
      <w:b/>
      <w:bCs/>
      <w:kern w:val="36"/>
      <w:sz w:val="48"/>
      <w:szCs w:val="48"/>
    </w:rPr>
  </w:style>
  <w:style w:type="character" w:customStyle="1" w:styleId="field-title">
    <w:name w:val="field-title"/>
    <w:basedOn w:val="Absatz-Standardschriftart"/>
    <w:rsid w:val="0048691A"/>
  </w:style>
  <w:style w:type="character" w:styleId="Hervorhebung">
    <w:name w:val="Emphasis"/>
    <w:basedOn w:val="Absatz-Standardschriftart"/>
    <w:uiPriority w:val="20"/>
    <w:qFormat/>
    <w:rsid w:val="00437E27"/>
    <w:rPr>
      <w:i/>
      <w:iCs/>
    </w:rPr>
  </w:style>
  <w:style w:type="paragraph" w:styleId="Listenabsatz">
    <w:name w:val="List Paragraph"/>
    <w:basedOn w:val="Standard"/>
    <w:uiPriority w:val="34"/>
    <w:qFormat/>
    <w:rsid w:val="00633073"/>
    <w:pPr>
      <w:ind w:left="720"/>
      <w:contextualSpacing/>
    </w:pPr>
  </w:style>
  <w:style w:type="paragraph" w:styleId="Kommentarthema">
    <w:name w:val="annotation subject"/>
    <w:basedOn w:val="Kommentartext"/>
    <w:next w:val="Kommentartext"/>
    <w:link w:val="KommentarthemaZchn"/>
    <w:uiPriority w:val="99"/>
    <w:semiHidden/>
    <w:unhideWhenUsed/>
    <w:rsid w:val="00B52CB5"/>
    <w:rPr>
      <w:b/>
      <w:bCs/>
      <w:szCs w:val="20"/>
    </w:rPr>
  </w:style>
  <w:style w:type="character" w:customStyle="1" w:styleId="KommentartextZchn">
    <w:name w:val="Kommentartext Zchn"/>
    <w:basedOn w:val="Absatz-Standardschriftart"/>
    <w:link w:val="Kommentartext"/>
    <w:semiHidden/>
    <w:rsid w:val="00B52CB5"/>
    <w:rPr>
      <w:szCs w:val="24"/>
    </w:rPr>
  </w:style>
  <w:style w:type="character" w:customStyle="1" w:styleId="KommentarthemaZchn">
    <w:name w:val="Kommentarthema Zchn"/>
    <w:basedOn w:val="KommentartextZchn"/>
    <w:link w:val="Kommentarthema"/>
    <w:uiPriority w:val="99"/>
    <w:semiHidden/>
    <w:rsid w:val="00B52CB5"/>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674259">
      <w:bodyDiv w:val="1"/>
      <w:marLeft w:val="0"/>
      <w:marRight w:val="0"/>
      <w:marTop w:val="0"/>
      <w:marBottom w:val="0"/>
      <w:divBdr>
        <w:top w:val="none" w:sz="0" w:space="0" w:color="auto"/>
        <w:left w:val="none" w:sz="0" w:space="0" w:color="auto"/>
        <w:bottom w:val="none" w:sz="0" w:space="0" w:color="auto"/>
        <w:right w:val="none" w:sz="0" w:space="0" w:color="auto"/>
      </w:divBdr>
    </w:div>
    <w:div w:id="843594895">
      <w:bodyDiv w:val="1"/>
      <w:marLeft w:val="0"/>
      <w:marRight w:val="0"/>
      <w:marTop w:val="0"/>
      <w:marBottom w:val="0"/>
      <w:divBdr>
        <w:top w:val="none" w:sz="0" w:space="0" w:color="auto"/>
        <w:left w:val="none" w:sz="0" w:space="0" w:color="auto"/>
        <w:bottom w:val="none" w:sz="0" w:space="0" w:color="auto"/>
        <w:right w:val="none" w:sz="0" w:space="0" w:color="auto"/>
      </w:divBdr>
    </w:div>
    <w:div w:id="1756898694">
      <w:bodyDiv w:val="1"/>
      <w:marLeft w:val="0"/>
      <w:marRight w:val="0"/>
      <w:marTop w:val="0"/>
      <w:marBottom w:val="0"/>
      <w:divBdr>
        <w:top w:val="none" w:sz="0" w:space="0" w:color="auto"/>
        <w:left w:val="none" w:sz="0" w:space="0" w:color="auto"/>
        <w:bottom w:val="none" w:sz="0" w:space="0" w:color="auto"/>
        <w:right w:val="none" w:sz="0" w:space="0" w:color="auto"/>
      </w:divBdr>
      <w:divsChild>
        <w:div w:id="51193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52802"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pb.de" TargetMode="External"/><Relationship Id="rId4" Type="http://schemas.openxmlformats.org/officeDocument/2006/relationships/settings" Target="settings.xml"/><Relationship Id="rId9" Type="http://schemas.openxmlformats.org/officeDocument/2006/relationships/hyperlink" Target="https://www.bpb.de/52567" TargetMode="External"/><Relationship Id="rId14" Type="http://schemas.microsoft.com/office/2016/09/relationships/commentsIds" Target="commentsId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6698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2024-01-16T13:55:00Z</dcterms:created>
  <dcterms:modified xsi:type="dcterms:W3CDTF">2024-02-08T15:09:00Z</dcterms:modified>
</cp:coreProperties>
</file>