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D0A35" w14:textId="52CDC161" w:rsidR="00A15D55" w:rsidRPr="00185233" w:rsidRDefault="00A15D55" w:rsidP="00A15D55">
      <w:pPr>
        <w:tabs>
          <w:tab w:val="left" w:pos="3060"/>
        </w:tabs>
        <w:rPr>
          <w:rFonts w:ascii="Arial" w:hAnsi="Arial"/>
          <w:b/>
        </w:rPr>
      </w:pPr>
      <w:bookmarkStart w:id="0" w:name="_GoBack"/>
      <w:bookmarkEnd w:id="0"/>
      <w:r w:rsidRPr="00185233">
        <w:rPr>
          <w:rFonts w:ascii="Arial" w:hAnsi="Arial"/>
          <w:b/>
        </w:rPr>
        <w:t>Im Jahr 2014 wurde knapp ein Drittel des weltweiten Primärenergie-Verbrauchs mit Öl gedeckt (32,6 Prozent). Davon wurde</w:t>
      </w:r>
      <w:r w:rsidR="004B0C30">
        <w:rPr>
          <w:rFonts w:ascii="Arial" w:hAnsi="Arial"/>
          <w:b/>
        </w:rPr>
        <w:t>n</w:t>
      </w:r>
      <w:r w:rsidRPr="00185233">
        <w:rPr>
          <w:rFonts w:ascii="Arial" w:hAnsi="Arial"/>
          <w:b/>
        </w:rPr>
        <w:t xml:space="preserve"> wiederum zwei Drittel vor dem Verbrauch grenzüberschreitend transportiert (66,2 Prozent) – jeden Tag 7,6 Millionen Tonnen. Der Mittlere Osten ist mit einem Anteil von 35,1 Prozent </w:t>
      </w:r>
      <w:r w:rsidR="00185233">
        <w:rPr>
          <w:rFonts w:ascii="Arial" w:hAnsi="Arial"/>
          <w:b/>
        </w:rPr>
        <w:t xml:space="preserve">am weltweiten Ölexport </w:t>
      </w:r>
      <w:r w:rsidRPr="00185233">
        <w:rPr>
          <w:rFonts w:ascii="Arial" w:hAnsi="Arial"/>
          <w:b/>
        </w:rPr>
        <w:t>die wichtigste Exportregion, gefolgt von Russland und andere</w:t>
      </w:r>
      <w:r w:rsidR="00185233">
        <w:rPr>
          <w:rFonts w:ascii="Arial" w:hAnsi="Arial"/>
          <w:b/>
        </w:rPr>
        <w:t>n</w:t>
      </w:r>
      <w:r w:rsidRPr="00185233">
        <w:rPr>
          <w:rFonts w:ascii="Arial" w:hAnsi="Arial"/>
          <w:b/>
        </w:rPr>
        <w:t xml:space="preserve"> Staaten der ehemaligen Sowjetunion mit</w:t>
      </w:r>
      <w:r w:rsidR="00185233">
        <w:rPr>
          <w:rFonts w:ascii="Arial" w:hAnsi="Arial"/>
          <w:b/>
        </w:rPr>
        <w:t xml:space="preserve"> </w:t>
      </w:r>
      <w:r w:rsidRPr="00185233">
        <w:rPr>
          <w:rFonts w:ascii="Arial" w:hAnsi="Arial"/>
          <w:b/>
        </w:rPr>
        <w:t xml:space="preserve">einem Anteil von 15,7 Prozent. Bei </w:t>
      </w:r>
      <w:r w:rsidR="006A278B">
        <w:rPr>
          <w:rFonts w:ascii="Arial" w:hAnsi="Arial"/>
          <w:b/>
        </w:rPr>
        <w:t xml:space="preserve">den </w:t>
      </w:r>
      <w:r w:rsidR="006A278B" w:rsidRPr="00185233">
        <w:rPr>
          <w:rFonts w:ascii="Arial" w:hAnsi="Arial"/>
          <w:b/>
        </w:rPr>
        <w:t xml:space="preserve">Handelsströmen </w:t>
      </w:r>
      <w:r w:rsidR="006A278B">
        <w:rPr>
          <w:rFonts w:ascii="Arial" w:hAnsi="Arial"/>
          <w:b/>
        </w:rPr>
        <w:t xml:space="preserve">im Bereich der </w:t>
      </w:r>
      <w:r w:rsidR="006A278B" w:rsidRPr="00185233">
        <w:rPr>
          <w:rFonts w:ascii="Arial" w:hAnsi="Arial"/>
          <w:b/>
        </w:rPr>
        <w:t>Energieversorgung</w:t>
      </w:r>
      <w:r w:rsidR="006A278B" w:rsidRPr="006A278B">
        <w:rPr>
          <w:rFonts w:ascii="Arial" w:hAnsi="Arial"/>
          <w:b/>
        </w:rPr>
        <w:t xml:space="preserve"> </w:t>
      </w:r>
      <w:r w:rsidR="006A278B">
        <w:rPr>
          <w:rFonts w:ascii="Arial" w:hAnsi="Arial"/>
          <w:b/>
        </w:rPr>
        <w:t>sind</w:t>
      </w:r>
      <w:r w:rsidR="00A42CD4">
        <w:rPr>
          <w:rFonts w:ascii="Arial" w:hAnsi="Arial"/>
          <w:b/>
        </w:rPr>
        <w:t xml:space="preserve"> zum Teil </w:t>
      </w:r>
      <w:r w:rsidR="006A278B" w:rsidRPr="00185233">
        <w:rPr>
          <w:rFonts w:ascii="Arial" w:hAnsi="Arial"/>
          <w:b/>
        </w:rPr>
        <w:t>regionale Präferenz</w:t>
      </w:r>
      <w:r w:rsidR="006A278B">
        <w:rPr>
          <w:rFonts w:ascii="Arial" w:hAnsi="Arial"/>
          <w:b/>
        </w:rPr>
        <w:t>en</w:t>
      </w:r>
      <w:r w:rsidR="00A42CD4">
        <w:rPr>
          <w:rFonts w:ascii="Arial" w:hAnsi="Arial"/>
          <w:b/>
        </w:rPr>
        <w:t xml:space="preserve"> </w:t>
      </w:r>
      <w:r w:rsidRPr="00185233">
        <w:rPr>
          <w:rFonts w:ascii="Arial" w:hAnsi="Arial"/>
          <w:b/>
        </w:rPr>
        <w:t>festzustellen: Beispielsweise gingen</w:t>
      </w:r>
      <w:r w:rsidR="00185233">
        <w:rPr>
          <w:rFonts w:ascii="Arial" w:hAnsi="Arial"/>
          <w:b/>
        </w:rPr>
        <w:t xml:space="preserve"> 2014</w:t>
      </w:r>
      <w:r w:rsidRPr="00185233">
        <w:rPr>
          <w:rFonts w:ascii="Arial" w:hAnsi="Arial"/>
          <w:b/>
        </w:rPr>
        <w:t xml:space="preserve"> mehr als drei Viertel der Ölexporte aus dem Mittleren Osten in die Region Asien-Pazifik (76,2 Prozent). </w:t>
      </w:r>
      <w:r w:rsidR="00A42CD4">
        <w:rPr>
          <w:rFonts w:ascii="Arial" w:hAnsi="Arial"/>
          <w:b/>
        </w:rPr>
        <w:t xml:space="preserve">Hingegen </w:t>
      </w:r>
      <w:r w:rsidR="00B658F2" w:rsidRPr="00185233">
        <w:rPr>
          <w:rFonts w:ascii="Arial" w:hAnsi="Arial"/>
          <w:b/>
        </w:rPr>
        <w:t xml:space="preserve">exportierten </w:t>
      </w:r>
      <w:r w:rsidR="00B658F2">
        <w:rPr>
          <w:rFonts w:ascii="Arial" w:hAnsi="Arial"/>
          <w:b/>
        </w:rPr>
        <w:t>d</w:t>
      </w:r>
      <w:r w:rsidRPr="00185233">
        <w:rPr>
          <w:rFonts w:ascii="Arial" w:hAnsi="Arial"/>
          <w:b/>
        </w:rPr>
        <w:t>ie Nachfolgestaaten der UdSSR 67,5 Prozent ihres Ölexports</w:t>
      </w:r>
      <w:r w:rsidR="00B658F2">
        <w:rPr>
          <w:rFonts w:ascii="Arial" w:hAnsi="Arial"/>
          <w:b/>
        </w:rPr>
        <w:t xml:space="preserve"> </w:t>
      </w:r>
      <w:r w:rsidRPr="00185233">
        <w:rPr>
          <w:rFonts w:ascii="Arial" w:hAnsi="Arial"/>
          <w:b/>
        </w:rPr>
        <w:t>nach Europa</w:t>
      </w:r>
      <w:r w:rsidR="00185233">
        <w:rPr>
          <w:rFonts w:ascii="Arial" w:hAnsi="Arial"/>
          <w:b/>
        </w:rPr>
        <w:t>.</w:t>
      </w:r>
    </w:p>
    <w:p w14:paraId="289D61B5" w14:textId="77777777" w:rsidR="00A15D55" w:rsidRPr="00185233" w:rsidRDefault="00A15D55" w:rsidP="00A15D55">
      <w:pPr>
        <w:tabs>
          <w:tab w:val="left" w:pos="3060"/>
        </w:tabs>
        <w:rPr>
          <w:rFonts w:ascii="Arial" w:hAnsi="Arial"/>
          <w:b/>
        </w:rPr>
      </w:pPr>
    </w:p>
    <w:p w14:paraId="38BA170D" w14:textId="77777777" w:rsidR="009E75FE" w:rsidRDefault="009E75FE" w:rsidP="00A15D55">
      <w:pPr>
        <w:rPr>
          <w:rFonts w:ascii="Arial" w:hAnsi="Arial"/>
        </w:rPr>
      </w:pPr>
      <w:r>
        <w:rPr>
          <w:rFonts w:ascii="Arial" w:hAnsi="Arial"/>
          <w:color w:val="FF0000"/>
        </w:rPr>
        <w:t>Fakten</w:t>
      </w:r>
    </w:p>
    <w:p w14:paraId="56130D56" w14:textId="77777777" w:rsidR="009E75FE" w:rsidRDefault="009E75FE">
      <w:pPr>
        <w:rPr>
          <w:rFonts w:ascii="Arial" w:hAnsi="Arial"/>
        </w:rPr>
      </w:pPr>
    </w:p>
    <w:p w14:paraId="33F37E40" w14:textId="77777777" w:rsidR="00045F55" w:rsidRDefault="009B08A4" w:rsidP="00D211D7">
      <w:pPr>
        <w:tabs>
          <w:tab w:val="left" w:pos="3060"/>
        </w:tabs>
        <w:rPr>
          <w:rFonts w:ascii="Arial" w:hAnsi="Arial"/>
        </w:rPr>
      </w:pPr>
      <w:r>
        <w:rPr>
          <w:rFonts w:ascii="Arial" w:hAnsi="Arial"/>
        </w:rPr>
        <w:t xml:space="preserve">Knapp ein Drittel </w:t>
      </w:r>
      <w:r w:rsidR="009E75FE">
        <w:rPr>
          <w:rFonts w:ascii="Arial" w:hAnsi="Arial"/>
        </w:rPr>
        <w:t>des weltweiten Primärenergie-</w:t>
      </w:r>
      <w:r w:rsidR="00D211D7">
        <w:rPr>
          <w:rFonts w:ascii="Arial" w:hAnsi="Arial"/>
        </w:rPr>
        <w:t xml:space="preserve">Verbrauchs </w:t>
      </w:r>
      <w:r w:rsidR="009E75FE">
        <w:rPr>
          <w:rFonts w:ascii="Arial" w:hAnsi="Arial"/>
        </w:rPr>
        <w:t>wurde im Jahr 20</w:t>
      </w:r>
      <w:r w:rsidR="00D211D7">
        <w:rPr>
          <w:rFonts w:ascii="Arial" w:hAnsi="Arial"/>
        </w:rPr>
        <w:t>14</w:t>
      </w:r>
      <w:r w:rsidR="009E75FE">
        <w:rPr>
          <w:rFonts w:ascii="Arial" w:hAnsi="Arial"/>
        </w:rPr>
        <w:t xml:space="preserve"> mit Öl gedeckt</w:t>
      </w:r>
      <w:r w:rsidR="00D211D7">
        <w:rPr>
          <w:rFonts w:ascii="Arial" w:hAnsi="Arial"/>
        </w:rPr>
        <w:t xml:space="preserve"> (</w:t>
      </w:r>
      <w:r w:rsidR="00D211D7" w:rsidRPr="009B070B">
        <w:rPr>
          <w:rFonts w:ascii="Arial" w:hAnsi="Arial"/>
        </w:rPr>
        <w:t>32,6 Prozent</w:t>
      </w:r>
      <w:r w:rsidR="00D211D7">
        <w:rPr>
          <w:rFonts w:ascii="Arial" w:hAnsi="Arial"/>
        </w:rPr>
        <w:t>)</w:t>
      </w:r>
      <w:r w:rsidR="009E75FE">
        <w:rPr>
          <w:rFonts w:ascii="Arial" w:hAnsi="Arial"/>
        </w:rPr>
        <w:t xml:space="preserve">. Da natürliche Rohstoffaufkommen ungleich verteilt </w:t>
      </w:r>
      <w:r w:rsidR="00D211D7">
        <w:rPr>
          <w:rFonts w:ascii="Arial" w:hAnsi="Arial"/>
        </w:rPr>
        <w:t xml:space="preserve">sind </w:t>
      </w:r>
      <w:r w:rsidR="009E75FE">
        <w:rPr>
          <w:rFonts w:ascii="Arial" w:hAnsi="Arial"/>
        </w:rPr>
        <w:t xml:space="preserve">und die </w:t>
      </w:r>
      <w:r w:rsidR="00AB16DA">
        <w:rPr>
          <w:rFonts w:ascii="Arial" w:hAnsi="Arial"/>
        </w:rPr>
        <w:t>rohstoff</w:t>
      </w:r>
      <w:r w:rsidR="009E75FE">
        <w:rPr>
          <w:rFonts w:ascii="Arial" w:hAnsi="Arial"/>
        </w:rPr>
        <w:t xml:space="preserve">reichen Staaten nicht gleichzeitig die Hauptverbraucher sind, ist ein Großteil der Staaten durch den Handel mit Öl vernetzt. </w:t>
      </w:r>
      <w:r w:rsidR="00D211D7">
        <w:rPr>
          <w:rFonts w:ascii="Arial" w:hAnsi="Arial"/>
        </w:rPr>
        <w:t xml:space="preserve">Nach Angaben des Energiekonzerns </w:t>
      </w:r>
      <w:r w:rsidR="00D211D7" w:rsidRPr="009B070B">
        <w:rPr>
          <w:rFonts w:ascii="Arial" w:hAnsi="Arial"/>
        </w:rPr>
        <w:t>British Petroleum (BP) wurden v</w:t>
      </w:r>
      <w:r w:rsidR="009E75FE">
        <w:rPr>
          <w:rFonts w:ascii="Arial" w:hAnsi="Arial"/>
        </w:rPr>
        <w:t>om gesamten Ölverbrauch des Jahres 20</w:t>
      </w:r>
      <w:r w:rsidR="00D211D7">
        <w:rPr>
          <w:rFonts w:ascii="Arial" w:hAnsi="Arial"/>
        </w:rPr>
        <w:t xml:space="preserve">14 </w:t>
      </w:r>
      <w:r w:rsidR="009B070B">
        <w:rPr>
          <w:rFonts w:ascii="Arial" w:hAnsi="Arial"/>
        </w:rPr>
        <w:t xml:space="preserve">zwei Drittel </w:t>
      </w:r>
      <w:r w:rsidR="009E75FE">
        <w:rPr>
          <w:rFonts w:ascii="Arial" w:hAnsi="Arial"/>
        </w:rPr>
        <w:t>vor dem Verbrauch grenzüberschreitend transportiert</w:t>
      </w:r>
      <w:r w:rsidR="00461850">
        <w:rPr>
          <w:rFonts w:ascii="Arial" w:hAnsi="Arial"/>
        </w:rPr>
        <w:t xml:space="preserve"> (66,2 Pro</w:t>
      </w:r>
      <w:r w:rsidR="009B070B">
        <w:rPr>
          <w:rFonts w:ascii="Arial" w:hAnsi="Arial"/>
        </w:rPr>
        <w:t>zent)</w:t>
      </w:r>
      <w:r w:rsidR="00045F55">
        <w:rPr>
          <w:rFonts w:ascii="Arial" w:hAnsi="Arial"/>
        </w:rPr>
        <w:t>.</w:t>
      </w:r>
    </w:p>
    <w:p w14:paraId="1F3F2735" w14:textId="77777777" w:rsidR="00045F55" w:rsidRDefault="00045F55" w:rsidP="00D211D7">
      <w:pPr>
        <w:tabs>
          <w:tab w:val="left" w:pos="3060"/>
        </w:tabs>
        <w:rPr>
          <w:rFonts w:ascii="Arial" w:hAnsi="Arial"/>
        </w:rPr>
      </w:pPr>
    </w:p>
    <w:p w14:paraId="54CFDA72" w14:textId="0AD88C36" w:rsidR="00045F55" w:rsidRDefault="009E75FE">
      <w:pPr>
        <w:rPr>
          <w:rFonts w:ascii="Arial" w:hAnsi="Arial"/>
        </w:rPr>
      </w:pPr>
      <w:r w:rsidRPr="009B070B">
        <w:rPr>
          <w:rFonts w:ascii="Arial" w:hAnsi="Arial"/>
        </w:rPr>
        <w:t>Beim Ex- und Import stehen den Ballungsräumen, in denen sich die Handelsströme verdichten, Regionen gegenüber, die kein Teil des Handelsnetzes oder nur schwach mit ihm verwoben sind.</w:t>
      </w:r>
      <w:r w:rsidRPr="00612022">
        <w:rPr>
          <w:rFonts w:ascii="Arial" w:hAnsi="Arial"/>
        </w:rPr>
        <w:t xml:space="preserve"> </w:t>
      </w:r>
      <w:r w:rsidR="00612022" w:rsidRPr="00612022">
        <w:rPr>
          <w:rFonts w:ascii="Arial" w:hAnsi="Arial"/>
        </w:rPr>
        <w:t>Im Jahr 2014 entfielen a</w:t>
      </w:r>
      <w:r w:rsidRPr="00612022">
        <w:rPr>
          <w:rFonts w:ascii="Arial" w:hAnsi="Arial"/>
        </w:rPr>
        <w:t xml:space="preserve">llein auf die </w:t>
      </w:r>
      <w:r w:rsidR="005A3076" w:rsidRPr="00612022">
        <w:rPr>
          <w:rFonts w:ascii="Arial" w:hAnsi="Arial"/>
        </w:rPr>
        <w:t>USA, die Europäische Union</w:t>
      </w:r>
      <w:r w:rsidRPr="00612022">
        <w:rPr>
          <w:rFonts w:ascii="Arial" w:hAnsi="Arial"/>
        </w:rPr>
        <w:t xml:space="preserve">, China, Japan, Indien und Russland </w:t>
      </w:r>
      <w:r w:rsidR="00612022" w:rsidRPr="00612022">
        <w:rPr>
          <w:rFonts w:ascii="Arial" w:hAnsi="Arial"/>
        </w:rPr>
        <w:t>58,8 Prozent</w:t>
      </w:r>
      <w:r w:rsidR="005A3076" w:rsidRPr="00612022">
        <w:rPr>
          <w:rFonts w:ascii="Arial" w:hAnsi="Arial"/>
        </w:rPr>
        <w:t xml:space="preserve"> </w:t>
      </w:r>
      <w:r w:rsidRPr="00612022">
        <w:rPr>
          <w:rFonts w:ascii="Arial" w:hAnsi="Arial"/>
        </w:rPr>
        <w:t xml:space="preserve">des weltweiten Ölverbrauchs. Da </w:t>
      </w:r>
      <w:r w:rsidR="00612022" w:rsidRPr="00612022">
        <w:rPr>
          <w:rFonts w:ascii="Arial" w:hAnsi="Arial"/>
        </w:rPr>
        <w:t xml:space="preserve">hiervon </w:t>
      </w:r>
      <w:r w:rsidRPr="00612022">
        <w:rPr>
          <w:rFonts w:ascii="Arial" w:hAnsi="Arial"/>
        </w:rPr>
        <w:t xml:space="preserve">nur Russland seinen Verbrauch selbst decken bzw. darüber hinaus noch Öl exportieren kann, importierten Europa, </w:t>
      </w:r>
      <w:r w:rsidR="00612022" w:rsidRPr="00612022">
        <w:rPr>
          <w:rFonts w:ascii="Arial" w:hAnsi="Arial"/>
        </w:rPr>
        <w:t xml:space="preserve">die USA, China, Japan </w:t>
      </w:r>
      <w:r w:rsidRPr="00612022">
        <w:rPr>
          <w:rFonts w:ascii="Arial" w:hAnsi="Arial"/>
        </w:rPr>
        <w:t xml:space="preserve">und </w:t>
      </w:r>
      <w:r w:rsidR="00612022" w:rsidRPr="00612022">
        <w:rPr>
          <w:rFonts w:ascii="Arial" w:hAnsi="Arial"/>
        </w:rPr>
        <w:t xml:space="preserve">Indien </w:t>
      </w:r>
      <w:r w:rsidRPr="00612022">
        <w:rPr>
          <w:rFonts w:ascii="Arial" w:hAnsi="Arial"/>
        </w:rPr>
        <w:t>im Jahr 20</w:t>
      </w:r>
      <w:r w:rsidR="00612022" w:rsidRPr="00612022">
        <w:rPr>
          <w:rFonts w:ascii="Arial" w:hAnsi="Arial"/>
        </w:rPr>
        <w:t xml:space="preserve">14 zwei Drittel </w:t>
      </w:r>
      <w:r w:rsidRPr="00612022">
        <w:rPr>
          <w:rFonts w:ascii="Arial" w:hAnsi="Arial"/>
        </w:rPr>
        <w:t>des grenzüberschreitend gehandelten Öls</w:t>
      </w:r>
      <w:r w:rsidR="00612022" w:rsidRPr="00612022">
        <w:rPr>
          <w:rFonts w:ascii="Arial" w:hAnsi="Arial"/>
        </w:rPr>
        <w:t xml:space="preserve"> (67,2 Prozent)</w:t>
      </w:r>
      <w:r w:rsidR="00045F55">
        <w:rPr>
          <w:rFonts w:ascii="Arial" w:hAnsi="Arial"/>
        </w:rPr>
        <w:t>.</w:t>
      </w:r>
    </w:p>
    <w:p w14:paraId="44FC181D" w14:textId="77777777" w:rsidR="00045F55" w:rsidRDefault="00045F55">
      <w:pPr>
        <w:rPr>
          <w:rFonts w:ascii="Arial" w:hAnsi="Arial"/>
        </w:rPr>
      </w:pPr>
    </w:p>
    <w:p w14:paraId="1635DC11" w14:textId="77777777" w:rsidR="00045F55" w:rsidRDefault="009E75FE">
      <w:pPr>
        <w:rPr>
          <w:rFonts w:ascii="Arial" w:hAnsi="Arial"/>
        </w:rPr>
      </w:pPr>
      <w:r w:rsidRPr="00BF2F4E">
        <w:rPr>
          <w:rFonts w:ascii="Arial" w:hAnsi="Arial"/>
        </w:rPr>
        <w:t>Auf der anderen Seite wurden im selben Jahr 3</w:t>
      </w:r>
      <w:r w:rsidR="00E44765" w:rsidRPr="00BF2F4E">
        <w:rPr>
          <w:rFonts w:ascii="Arial" w:hAnsi="Arial"/>
        </w:rPr>
        <w:t>5</w:t>
      </w:r>
      <w:r w:rsidRPr="00BF2F4E">
        <w:rPr>
          <w:rFonts w:ascii="Arial" w:hAnsi="Arial"/>
        </w:rPr>
        <w:t xml:space="preserve">,1 Prozent des weltweit gehandelten Öls von den Staaten des </w:t>
      </w:r>
      <w:r w:rsidR="00E44765" w:rsidRPr="00BF2F4E">
        <w:rPr>
          <w:rFonts w:ascii="Arial" w:hAnsi="Arial"/>
        </w:rPr>
        <w:t xml:space="preserve">Mittleren </w:t>
      </w:r>
      <w:r w:rsidRPr="00BF2F4E">
        <w:rPr>
          <w:rFonts w:ascii="Arial" w:hAnsi="Arial"/>
        </w:rPr>
        <w:t xml:space="preserve">Ostens </w:t>
      </w:r>
      <w:r w:rsidR="00E44765" w:rsidRPr="00BF2F4E">
        <w:rPr>
          <w:rFonts w:ascii="Arial" w:hAnsi="Arial"/>
        </w:rPr>
        <w:t xml:space="preserve">exportiert. </w:t>
      </w:r>
      <w:r w:rsidRPr="00BF2F4E">
        <w:rPr>
          <w:rFonts w:ascii="Arial" w:hAnsi="Arial"/>
        </w:rPr>
        <w:t>15,</w:t>
      </w:r>
      <w:r w:rsidR="00E44765" w:rsidRPr="00BF2F4E">
        <w:rPr>
          <w:rFonts w:ascii="Arial" w:hAnsi="Arial"/>
        </w:rPr>
        <w:t>7</w:t>
      </w:r>
      <w:r w:rsidRPr="00BF2F4E">
        <w:rPr>
          <w:rFonts w:ascii="Arial" w:hAnsi="Arial"/>
        </w:rPr>
        <w:t xml:space="preserve"> Prozent </w:t>
      </w:r>
      <w:r w:rsidR="00E44765" w:rsidRPr="00BF2F4E">
        <w:rPr>
          <w:rFonts w:ascii="Arial" w:hAnsi="Arial"/>
        </w:rPr>
        <w:t xml:space="preserve">des </w:t>
      </w:r>
      <w:r w:rsidR="00BF2F4E">
        <w:rPr>
          <w:rFonts w:ascii="Arial" w:hAnsi="Arial"/>
        </w:rPr>
        <w:t>Öle</w:t>
      </w:r>
      <w:r w:rsidR="00E44765" w:rsidRPr="00BF2F4E">
        <w:rPr>
          <w:rFonts w:ascii="Arial" w:hAnsi="Arial"/>
        </w:rPr>
        <w:t xml:space="preserve">xports entfielen auf </w:t>
      </w:r>
      <w:r w:rsidRPr="00BF2F4E">
        <w:rPr>
          <w:rFonts w:ascii="Arial" w:hAnsi="Arial"/>
        </w:rPr>
        <w:t xml:space="preserve">Russland und andere </w:t>
      </w:r>
      <w:r w:rsidR="00E44765" w:rsidRPr="00BF2F4E">
        <w:rPr>
          <w:rFonts w:ascii="Arial" w:hAnsi="Arial"/>
        </w:rPr>
        <w:t>S</w:t>
      </w:r>
      <w:r w:rsidRPr="00BF2F4E">
        <w:rPr>
          <w:rFonts w:ascii="Arial" w:hAnsi="Arial"/>
        </w:rPr>
        <w:t xml:space="preserve">taaten der </w:t>
      </w:r>
      <w:r w:rsidR="00E44765" w:rsidRPr="00BF2F4E">
        <w:rPr>
          <w:rFonts w:ascii="Arial" w:hAnsi="Arial"/>
        </w:rPr>
        <w:t>ehemaligen Sowjetunion</w:t>
      </w:r>
      <w:r w:rsidRPr="00BF2F4E">
        <w:rPr>
          <w:rFonts w:ascii="Arial" w:hAnsi="Arial"/>
        </w:rPr>
        <w:t xml:space="preserve">. </w:t>
      </w:r>
      <w:r w:rsidR="00C375CA" w:rsidRPr="00BF2F4E">
        <w:rPr>
          <w:rFonts w:ascii="Arial" w:hAnsi="Arial"/>
        </w:rPr>
        <w:t xml:space="preserve">Die Regionen </w:t>
      </w:r>
      <w:r w:rsidRPr="00BF2F4E">
        <w:rPr>
          <w:rFonts w:ascii="Arial" w:hAnsi="Arial"/>
        </w:rPr>
        <w:t>West- und Nordafrika waren 20</w:t>
      </w:r>
      <w:r w:rsidR="00C375CA" w:rsidRPr="00BF2F4E">
        <w:rPr>
          <w:rFonts w:ascii="Arial" w:hAnsi="Arial"/>
        </w:rPr>
        <w:t>14</w:t>
      </w:r>
      <w:r w:rsidRPr="00BF2F4E">
        <w:rPr>
          <w:rFonts w:ascii="Arial" w:hAnsi="Arial"/>
        </w:rPr>
        <w:t xml:space="preserve"> ebenfalls wichtige Ölexporteure – </w:t>
      </w:r>
      <w:r w:rsidR="00660240">
        <w:rPr>
          <w:rFonts w:ascii="Arial" w:hAnsi="Arial"/>
        </w:rPr>
        <w:t xml:space="preserve">zusammen </w:t>
      </w:r>
      <w:r w:rsidRPr="00BF2F4E">
        <w:rPr>
          <w:rFonts w:ascii="Arial" w:hAnsi="Arial"/>
        </w:rPr>
        <w:t xml:space="preserve">entfielen </w:t>
      </w:r>
      <w:r w:rsidR="00660240" w:rsidRPr="00BF2F4E">
        <w:rPr>
          <w:rFonts w:ascii="Arial" w:hAnsi="Arial"/>
        </w:rPr>
        <w:t xml:space="preserve">auf </w:t>
      </w:r>
      <w:r w:rsidR="00660240">
        <w:rPr>
          <w:rFonts w:ascii="Arial" w:hAnsi="Arial"/>
        </w:rPr>
        <w:t xml:space="preserve">sie </w:t>
      </w:r>
      <w:r w:rsidR="00C375CA" w:rsidRPr="00BF2F4E">
        <w:rPr>
          <w:rFonts w:ascii="Arial" w:hAnsi="Arial"/>
        </w:rPr>
        <w:t xml:space="preserve">11,0 </w:t>
      </w:r>
      <w:r w:rsidRPr="00BF2F4E">
        <w:rPr>
          <w:rFonts w:ascii="Arial" w:hAnsi="Arial"/>
        </w:rPr>
        <w:t>Prozent des weltweiten Ölexports.</w:t>
      </w:r>
      <w:r w:rsidR="00C375CA" w:rsidRPr="00BF2F4E">
        <w:rPr>
          <w:rFonts w:ascii="Arial" w:hAnsi="Arial"/>
        </w:rPr>
        <w:t xml:space="preserve"> Der </w:t>
      </w:r>
      <w:r w:rsidR="00660240">
        <w:rPr>
          <w:rFonts w:ascii="Arial" w:hAnsi="Arial"/>
        </w:rPr>
        <w:t xml:space="preserve">entsprechende </w:t>
      </w:r>
      <w:r w:rsidR="00C375CA" w:rsidRPr="00BF2F4E">
        <w:rPr>
          <w:rFonts w:ascii="Arial" w:hAnsi="Arial"/>
        </w:rPr>
        <w:t xml:space="preserve">Anteil Nordamerikas </w:t>
      </w:r>
      <w:r w:rsidR="00660240">
        <w:rPr>
          <w:rFonts w:ascii="Arial" w:hAnsi="Arial"/>
        </w:rPr>
        <w:t xml:space="preserve">lag </w:t>
      </w:r>
      <w:r w:rsidR="00C375CA" w:rsidRPr="00BF2F4E">
        <w:rPr>
          <w:rFonts w:ascii="Arial" w:hAnsi="Arial"/>
        </w:rPr>
        <w:t xml:space="preserve">mit 15,6 Prozent </w:t>
      </w:r>
      <w:r w:rsidR="00461850">
        <w:rPr>
          <w:rFonts w:ascii="Arial" w:hAnsi="Arial"/>
        </w:rPr>
        <w:t xml:space="preserve">zwar </w:t>
      </w:r>
      <w:r w:rsidR="00C375CA" w:rsidRPr="00BF2F4E">
        <w:rPr>
          <w:rFonts w:ascii="Arial" w:hAnsi="Arial"/>
        </w:rPr>
        <w:t>höher</w:t>
      </w:r>
      <w:r w:rsidR="00660240">
        <w:rPr>
          <w:rFonts w:ascii="Arial" w:hAnsi="Arial"/>
        </w:rPr>
        <w:t xml:space="preserve"> als der Anteil </w:t>
      </w:r>
      <w:r w:rsidR="00660240" w:rsidRPr="00BF2F4E">
        <w:rPr>
          <w:rFonts w:ascii="Arial" w:hAnsi="Arial"/>
        </w:rPr>
        <w:t>West- und Nordafrika</w:t>
      </w:r>
      <w:r w:rsidR="00660240">
        <w:rPr>
          <w:rFonts w:ascii="Arial" w:hAnsi="Arial"/>
        </w:rPr>
        <w:t>s</w:t>
      </w:r>
      <w:r w:rsidR="00C375CA" w:rsidRPr="00BF2F4E">
        <w:rPr>
          <w:rFonts w:ascii="Arial" w:hAnsi="Arial"/>
        </w:rPr>
        <w:t xml:space="preserve">, allerdings wurden </w:t>
      </w:r>
      <w:r w:rsidR="00660240">
        <w:rPr>
          <w:rFonts w:ascii="Arial" w:hAnsi="Arial"/>
        </w:rPr>
        <w:t xml:space="preserve">knapp zwei Drittel </w:t>
      </w:r>
      <w:r w:rsidR="00C375CA" w:rsidRPr="00BF2F4E">
        <w:rPr>
          <w:rFonts w:ascii="Arial" w:hAnsi="Arial"/>
        </w:rPr>
        <w:t xml:space="preserve">der </w:t>
      </w:r>
      <w:r w:rsidR="00660240">
        <w:rPr>
          <w:rFonts w:ascii="Arial" w:hAnsi="Arial"/>
        </w:rPr>
        <w:t>Öle</w:t>
      </w:r>
      <w:r w:rsidR="00C375CA" w:rsidRPr="00BF2F4E">
        <w:rPr>
          <w:rFonts w:ascii="Arial" w:hAnsi="Arial"/>
        </w:rPr>
        <w:t xml:space="preserve">xporte Nordamerikas innerhalb der </w:t>
      </w:r>
      <w:r w:rsidR="00660240">
        <w:rPr>
          <w:rFonts w:ascii="Arial" w:hAnsi="Arial"/>
        </w:rPr>
        <w:t xml:space="preserve">eigenen </w:t>
      </w:r>
      <w:r w:rsidR="00C375CA" w:rsidRPr="00BF2F4E">
        <w:rPr>
          <w:rFonts w:ascii="Arial" w:hAnsi="Arial"/>
        </w:rPr>
        <w:t>Region, also intraregional</w:t>
      </w:r>
      <w:r w:rsidR="00660240">
        <w:rPr>
          <w:rFonts w:ascii="Arial" w:hAnsi="Arial"/>
        </w:rPr>
        <w:t xml:space="preserve"> zwischen den USA, Kanada und Mexiko</w:t>
      </w:r>
      <w:r w:rsidR="00C375CA" w:rsidRPr="00BF2F4E">
        <w:rPr>
          <w:rFonts w:ascii="Arial" w:hAnsi="Arial"/>
        </w:rPr>
        <w:t>, g</w:t>
      </w:r>
      <w:r w:rsidR="00BF2F4E">
        <w:rPr>
          <w:rFonts w:ascii="Arial" w:hAnsi="Arial"/>
        </w:rPr>
        <w:t>e</w:t>
      </w:r>
      <w:r w:rsidR="00C375CA" w:rsidRPr="00BF2F4E">
        <w:rPr>
          <w:rFonts w:ascii="Arial" w:hAnsi="Arial"/>
        </w:rPr>
        <w:t>h</w:t>
      </w:r>
      <w:r w:rsidR="00BF2F4E">
        <w:rPr>
          <w:rFonts w:ascii="Arial" w:hAnsi="Arial"/>
        </w:rPr>
        <w:t>a</w:t>
      </w:r>
      <w:r w:rsidR="00C375CA" w:rsidRPr="00BF2F4E">
        <w:rPr>
          <w:rFonts w:ascii="Arial" w:hAnsi="Arial"/>
        </w:rPr>
        <w:t>ndelt</w:t>
      </w:r>
      <w:r w:rsidR="00660240">
        <w:rPr>
          <w:rFonts w:ascii="Arial" w:hAnsi="Arial"/>
        </w:rPr>
        <w:t xml:space="preserve"> (63,4 </w:t>
      </w:r>
      <w:r w:rsidR="00660240" w:rsidRPr="00BF2F4E">
        <w:rPr>
          <w:rFonts w:ascii="Arial" w:hAnsi="Arial"/>
        </w:rPr>
        <w:t>Prozent</w:t>
      </w:r>
      <w:r w:rsidR="00660240">
        <w:rPr>
          <w:rFonts w:ascii="Arial" w:hAnsi="Arial"/>
        </w:rPr>
        <w:t>)</w:t>
      </w:r>
      <w:r w:rsidR="00045F55">
        <w:rPr>
          <w:rFonts w:ascii="Arial" w:hAnsi="Arial"/>
        </w:rPr>
        <w:t>.</w:t>
      </w:r>
    </w:p>
    <w:p w14:paraId="2B482F40" w14:textId="77777777" w:rsidR="00045F55" w:rsidRDefault="00045F55">
      <w:pPr>
        <w:rPr>
          <w:rFonts w:ascii="Arial" w:hAnsi="Arial"/>
        </w:rPr>
      </w:pPr>
    </w:p>
    <w:p w14:paraId="0B497123" w14:textId="1094246E" w:rsidR="00045F55" w:rsidRDefault="009E75FE">
      <w:pPr>
        <w:rPr>
          <w:rFonts w:ascii="Arial" w:hAnsi="Arial"/>
        </w:rPr>
      </w:pPr>
      <w:r w:rsidRPr="00AA0AEA">
        <w:rPr>
          <w:rFonts w:ascii="Arial" w:hAnsi="Arial"/>
        </w:rPr>
        <w:t xml:space="preserve">Obwohl die Handelsströme </w:t>
      </w:r>
      <w:r w:rsidR="006A278B">
        <w:rPr>
          <w:rFonts w:ascii="Arial" w:hAnsi="Arial"/>
        </w:rPr>
        <w:t>im Bereich der</w:t>
      </w:r>
      <w:r w:rsidRPr="00AA0AEA">
        <w:rPr>
          <w:rFonts w:ascii="Arial" w:hAnsi="Arial"/>
        </w:rPr>
        <w:t xml:space="preserve"> Energieversorgung weltumspannend sind,</w:t>
      </w:r>
      <w:r w:rsidR="006A278B">
        <w:rPr>
          <w:rFonts w:ascii="Arial" w:hAnsi="Arial"/>
        </w:rPr>
        <w:t xml:space="preserve"> </w:t>
      </w:r>
      <w:r w:rsidR="006A278B" w:rsidRPr="00AA0AEA">
        <w:rPr>
          <w:rFonts w:ascii="Arial" w:hAnsi="Arial"/>
        </w:rPr>
        <w:t>s</w:t>
      </w:r>
      <w:r w:rsidR="006A278B">
        <w:rPr>
          <w:rFonts w:ascii="Arial" w:hAnsi="Arial"/>
        </w:rPr>
        <w:t xml:space="preserve">ind </w:t>
      </w:r>
      <w:r w:rsidR="00332044">
        <w:rPr>
          <w:rFonts w:ascii="Arial" w:hAnsi="Arial"/>
        </w:rPr>
        <w:t>zum Teil</w:t>
      </w:r>
      <w:r w:rsidR="006A278B" w:rsidRPr="00AA0AEA">
        <w:rPr>
          <w:rFonts w:ascii="Arial" w:hAnsi="Arial"/>
        </w:rPr>
        <w:t xml:space="preserve"> regionale Präferenz</w:t>
      </w:r>
      <w:r w:rsidR="006A278B">
        <w:rPr>
          <w:rFonts w:ascii="Arial" w:hAnsi="Arial"/>
        </w:rPr>
        <w:t>en</w:t>
      </w:r>
      <w:r w:rsidR="00AA0AEA" w:rsidRPr="00AA0AEA">
        <w:rPr>
          <w:rFonts w:ascii="Arial" w:hAnsi="Arial"/>
        </w:rPr>
        <w:t xml:space="preserve"> </w:t>
      </w:r>
      <w:r w:rsidRPr="00AA0AEA">
        <w:rPr>
          <w:rFonts w:ascii="Arial" w:hAnsi="Arial"/>
        </w:rPr>
        <w:t xml:space="preserve">festzustellen: </w:t>
      </w:r>
      <w:r w:rsidR="00AA0AEA">
        <w:rPr>
          <w:rFonts w:ascii="Arial" w:hAnsi="Arial"/>
        </w:rPr>
        <w:t xml:space="preserve">So gingen </w:t>
      </w:r>
      <w:r w:rsidR="00C12242">
        <w:rPr>
          <w:rFonts w:ascii="Arial" w:hAnsi="Arial"/>
        </w:rPr>
        <w:t xml:space="preserve">2014 </w:t>
      </w:r>
      <w:r w:rsidR="00AA0AEA" w:rsidRPr="00E24582">
        <w:rPr>
          <w:rFonts w:ascii="Arial" w:hAnsi="Arial"/>
        </w:rPr>
        <w:t xml:space="preserve">mehr als drei Viertel der Ölexporte aus dem Mittleren Osten in die Region Asien-Pazifik (76,2 Prozent). Die </w:t>
      </w:r>
      <w:r w:rsidR="00AA0AEA" w:rsidRPr="00AA0AEA">
        <w:rPr>
          <w:rFonts w:ascii="Arial" w:hAnsi="Arial"/>
        </w:rPr>
        <w:t>Nachfolgestaaten der UdSSR exportiert</w:t>
      </w:r>
      <w:r w:rsidR="00AA0AEA">
        <w:rPr>
          <w:rFonts w:ascii="Arial" w:hAnsi="Arial"/>
        </w:rPr>
        <w:t xml:space="preserve">en im selben Jahr </w:t>
      </w:r>
      <w:r w:rsidR="00F02425" w:rsidRPr="00AA0AEA">
        <w:rPr>
          <w:rFonts w:ascii="Arial" w:hAnsi="Arial"/>
        </w:rPr>
        <w:t>67</w:t>
      </w:r>
      <w:r w:rsidRPr="00AA0AEA">
        <w:rPr>
          <w:rFonts w:ascii="Arial" w:hAnsi="Arial"/>
        </w:rPr>
        <w:t>,</w:t>
      </w:r>
      <w:r w:rsidR="00F02425" w:rsidRPr="00AA0AEA">
        <w:rPr>
          <w:rFonts w:ascii="Arial" w:hAnsi="Arial"/>
        </w:rPr>
        <w:t xml:space="preserve">5 Prozent </w:t>
      </w:r>
      <w:r w:rsidR="00AA0AEA">
        <w:rPr>
          <w:rFonts w:ascii="Arial" w:hAnsi="Arial"/>
        </w:rPr>
        <w:t xml:space="preserve">ihres </w:t>
      </w:r>
      <w:r w:rsidR="00F02425" w:rsidRPr="00AA0AEA">
        <w:rPr>
          <w:rFonts w:ascii="Arial" w:hAnsi="Arial"/>
        </w:rPr>
        <w:t>Ölexports nach Europa</w:t>
      </w:r>
      <w:r w:rsidR="00E24582">
        <w:rPr>
          <w:rFonts w:ascii="Arial" w:hAnsi="Arial"/>
        </w:rPr>
        <w:t xml:space="preserve"> und </w:t>
      </w:r>
      <w:r w:rsidR="00F02425" w:rsidRPr="00AA0AEA">
        <w:rPr>
          <w:rFonts w:ascii="Arial" w:hAnsi="Arial"/>
        </w:rPr>
        <w:t xml:space="preserve">bei Nordafrika lag der entsprechende Wert bei 68,6 Prozent. </w:t>
      </w:r>
      <w:r w:rsidR="00AA0AEA" w:rsidRPr="00AA0AEA">
        <w:rPr>
          <w:rFonts w:ascii="Arial" w:hAnsi="Arial"/>
        </w:rPr>
        <w:t xml:space="preserve">Wie oben beschrieben </w:t>
      </w:r>
      <w:r w:rsidR="00AA0AEA">
        <w:rPr>
          <w:rFonts w:ascii="Arial" w:hAnsi="Arial"/>
        </w:rPr>
        <w:t xml:space="preserve">ist der </w:t>
      </w:r>
      <w:r w:rsidR="00AA0AEA" w:rsidRPr="00AA0AEA">
        <w:rPr>
          <w:rFonts w:ascii="Arial" w:hAnsi="Arial"/>
        </w:rPr>
        <w:t xml:space="preserve">Ölexport Nordamerikas intraregional geprägt. Entsprechend führten Kanada bzw. </w:t>
      </w:r>
      <w:r w:rsidRPr="00AA0AEA">
        <w:rPr>
          <w:rFonts w:ascii="Arial" w:hAnsi="Arial"/>
        </w:rPr>
        <w:t xml:space="preserve">Mexiko </w:t>
      </w:r>
      <w:r w:rsidR="00AA0AEA" w:rsidRPr="00AA0AEA">
        <w:rPr>
          <w:rFonts w:ascii="Arial" w:hAnsi="Arial"/>
        </w:rPr>
        <w:t>95</w:t>
      </w:r>
      <w:r w:rsidRPr="00AA0AEA">
        <w:rPr>
          <w:rFonts w:ascii="Arial" w:hAnsi="Arial"/>
        </w:rPr>
        <w:t xml:space="preserve">,9 </w:t>
      </w:r>
      <w:r w:rsidR="00AA0AEA" w:rsidRPr="00AA0AEA">
        <w:rPr>
          <w:rFonts w:ascii="Arial" w:hAnsi="Arial"/>
        </w:rPr>
        <w:t xml:space="preserve">bzw. 65,4 </w:t>
      </w:r>
      <w:r w:rsidRPr="00AA0AEA">
        <w:rPr>
          <w:rFonts w:ascii="Arial" w:hAnsi="Arial"/>
        </w:rPr>
        <w:t xml:space="preserve">Prozent </w:t>
      </w:r>
      <w:r w:rsidR="00AA0AEA" w:rsidRPr="00AA0AEA">
        <w:rPr>
          <w:rFonts w:ascii="Arial" w:hAnsi="Arial"/>
        </w:rPr>
        <w:t>ihrer Ölexporte in die USA aus</w:t>
      </w:r>
      <w:r w:rsidR="00045F55">
        <w:rPr>
          <w:rFonts w:ascii="Arial" w:hAnsi="Arial"/>
        </w:rPr>
        <w:t>.</w:t>
      </w:r>
    </w:p>
    <w:p w14:paraId="1B85F8C0" w14:textId="77777777" w:rsidR="00045F55" w:rsidRDefault="00045F55">
      <w:pPr>
        <w:rPr>
          <w:rFonts w:ascii="Arial" w:hAnsi="Arial"/>
        </w:rPr>
      </w:pPr>
    </w:p>
    <w:p w14:paraId="7DA49797" w14:textId="77777777" w:rsidR="00045F55" w:rsidRDefault="00AA3BDA">
      <w:pPr>
        <w:rPr>
          <w:rFonts w:ascii="Arial" w:hAnsi="Arial"/>
        </w:rPr>
      </w:pPr>
      <w:r>
        <w:rPr>
          <w:rFonts w:ascii="Arial" w:hAnsi="Arial"/>
        </w:rPr>
        <w:lastRenderedPageBreak/>
        <w:t xml:space="preserve">Bezogen auf die </w:t>
      </w:r>
      <w:r w:rsidR="00E24582" w:rsidRPr="00AA3BDA">
        <w:rPr>
          <w:rFonts w:ascii="Arial" w:hAnsi="Arial"/>
        </w:rPr>
        <w:t xml:space="preserve">Regionen, die </w:t>
      </w:r>
      <w:r w:rsidR="00FB37BE" w:rsidRPr="00AA3BDA">
        <w:rPr>
          <w:rFonts w:ascii="Arial" w:hAnsi="Arial"/>
        </w:rPr>
        <w:t>die höchsten Anteile am weltweiten Ö</w:t>
      </w:r>
      <w:r w:rsidR="00E24582" w:rsidRPr="00AA3BDA">
        <w:rPr>
          <w:rFonts w:ascii="Arial" w:hAnsi="Arial"/>
        </w:rPr>
        <w:t>limport</w:t>
      </w:r>
      <w:r w:rsidR="00FB37BE" w:rsidRPr="00AA3BDA">
        <w:rPr>
          <w:rFonts w:ascii="Arial" w:hAnsi="Arial"/>
        </w:rPr>
        <w:t xml:space="preserve"> haben, ist für die Region Asien-Pazifik </w:t>
      </w:r>
      <w:r w:rsidR="00E24582" w:rsidRPr="00AA3BDA">
        <w:rPr>
          <w:rFonts w:ascii="Arial" w:hAnsi="Arial"/>
        </w:rPr>
        <w:t xml:space="preserve">der Mittlere Osten </w:t>
      </w:r>
      <w:r>
        <w:rPr>
          <w:rFonts w:ascii="Arial" w:hAnsi="Arial"/>
        </w:rPr>
        <w:t xml:space="preserve">der </w:t>
      </w:r>
      <w:r w:rsidR="00E24582" w:rsidRPr="00AA3BDA">
        <w:rPr>
          <w:rFonts w:ascii="Arial" w:hAnsi="Arial"/>
        </w:rPr>
        <w:t>wichtigste</w:t>
      </w:r>
      <w:r>
        <w:rPr>
          <w:rFonts w:ascii="Arial" w:hAnsi="Arial"/>
        </w:rPr>
        <w:t xml:space="preserve"> Handelspartner</w:t>
      </w:r>
      <w:r w:rsidR="00FB37BE" w:rsidRPr="00AA3BDA">
        <w:rPr>
          <w:rFonts w:ascii="Arial" w:hAnsi="Arial"/>
        </w:rPr>
        <w:t>:</w:t>
      </w:r>
      <w:r w:rsidR="008731A3">
        <w:rPr>
          <w:rFonts w:ascii="Arial" w:hAnsi="Arial"/>
        </w:rPr>
        <w:t xml:space="preserve"> 65</w:t>
      </w:r>
      <w:r w:rsidR="00E24582" w:rsidRPr="00AA3BDA">
        <w:rPr>
          <w:rFonts w:ascii="Arial" w:hAnsi="Arial"/>
        </w:rPr>
        <w:t>,</w:t>
      </w:r>
      <w:r w:rsidR="008731A3">
        <w:rPr>
          <w:rFonts w:ascii="Arial" w:hAnsi="Arial"/>
        </w:rPr>
        <w:t xml:space="preserve">8 Prozent der </w:t>
      </w:r>
      <w:r w:rsidR="00E24582" w:rsidRPr="00AA3BDA">
        <w:rPr>
          <w:rFonts w:ascii="Arial" w:hAnsi="Arial"/>
        </w:rPr>
        <w:t xml:space="preserve">Ölimporte des Jahres 2014 </w:t>
      </w:r>
      <w:r w:rsidR="008731A3">
        <w:rPr>
          <w:rFonts w:ascii="Arial" w:hAnsi="Arial"/>
        </w:rPr>
        <w:t xml:space="preserve">(ohne intraregionalen Handel) </w:t>
      </w:r>
      <w:r w:rsidR="00FB37BE" w:rsidRPr="00AA3BDA">
        <w:rPr>
          <w:rFonts w:ascii="Arial" w:hAnsi="Arial"/>
        </w:rPr>
        <w:t xml:space="preserve">stammten </w:t>
      </w:r>
      <w:r w:rsidR="00E24582" w:rsidRPr="00AA3BDA">
        <w:rPr>
          <w:rFonts w:ascii="Arial" w:hAnsi="Arial"/>
        </w:rPr>
        <w:t xml:space="preserve">aus dem Mittleren Osten. </w:t>
      </w:r>
      <w:r w:rsidR="00FB37BE" w:rsidRPr="00AA3BDA">
        <w:rPr>
          <w:rFonts w:ascii="Arial" w:hAnsi="Arial"/>
        </w:rPr>
        <w:t>D</w:t>
      </w:r>
      <w:r w:rsidRPr="00AA3BDA">
        <w:rPr>
          <w:rFonts w:ascii="Arial" w:hAnsi="Arial"/>
        </w:rPr>
        <w:t xml:space="preserve">as von </w:t>
      </w:r>
      <w:r w:rsidR="00E24582" w:rsidRPr="00AA3BDA">
        <w:rPr>
          <w:rFonts w:ascii="Arial" w:hAnsi="Arial"/>
        </w:rPr>
        <w:t>Europa</w:t>
      </w:r>
      <w:r w:rsidRPr="00AA3BDA">
        <w:rPr>
          <w:rFonts w:ascii="Arial" w:hAnsi="Arial"/>
        </w:rPr>
        <w:t xml:space="preserve"> eingeführte Öl </w:t>
      </w:r>
      <w:r w:rsidR="00FB37BE" w:rsidRPr="00AA3BDA">
        <w:rPr>
          <w:rFonts w:ascii="Arial" w:hAnsi="Arial"/>
        </w:rPr>
        <w:t xml:space="preserve">wurde vor allem von den </w:t>
      </w:r>
      <w:r w:rsidR="00E24582" w:rsidRPr="00AA3BDA">
        <w:rPr>
          <w:rFonts w:ascii="Arial" w:hAnsi="Arial"/>
        </w:rPr>
        <w:t xml:space="preserve">Nachfolgestaaten der UdSSR </w:t>
      </w:r>
      <w:r w:rsidR="00FB37BE" w:rsidRPr="00AA3BDA">
        <w:rPr>
          <w:rFonts w:ascii="Arial" w:hAnsi="Arial"/>
        </w:rPr>
        <w:t xml:space="preserve">geliefert </w:t>
      </w:r>
      <w:r w:rsidR="00E24582" w:rsidRPr="00AA3BDA">
        <w:rPr>
          <w:rFonts w:ascii="Arial" w:hAnsi="Arial"/>
        </w:rPr>
        <w:t>(47,8 Prozent), gefolgt von West- und Nordafrika (22,2). Der Anteil des Mittleren Ostens an den Ölimporten Europas lag 2014 bei 16,4 Prozent. Bei den USA stammten im selben Jahr 46,0 Prozent der Ölimporte aus Kanada und Mexiko</w:t>
      </w:r>
      <w:r>
        <w:rPr>
          <w:rFonts w:ascii="Arial" w:hAnsi="Arial"/>
        </w:rPr>
        <w:t>. D</w:t>
      </w:r>
      <w:r w:rsidR="00E24582" w:rsidRPr="00AA3BDA">
        <w:rPr>
          <w:rFonts w:ascii="Arial" w:hAnsi="Arial"/>
        </w:rPr>
        <w:t xml:space="preserve">er </w:t>
      </w:r>
      <w:r>
        <w:rPr>
          <w:rFonts w:ascii="Arial" w:hAnsi="Arial"/>
        </w:rPr>
        <w:t xml:space="preserve">entsprechende </w:t>
      </w:r>
      <w:r w:rsidR="00E24582" w:rsidRPr="00AA3BDA">
        <w:rPr>
          <w:rFonts w:ascii="Arial" w:hAnsi="Arial"/>
        </w:rPr>
        <w:t>Anteil des Mittlere</w:t>
      </w:r>
      <w:r w:rsidRPr="00AA3BDA">
        <w:rPr>
          <w:rFonts w:ascii="Arial" w:hAnsi="Arial"/>
        </w:rPr>
        <w:t>n</w:t>
      </w:r>
      <w:r w:rsidR="00E24582" w:rsidRPr="00AA3BDA">
        <w:rPr>
          <w:rFonts w:ascii="Arial" w:hAnsi="Arial"/>
        </w:rPr>
        <w:t xml:space="preserve"> Ostens lag bei 20,4 Prozent</w:t>
      </w:r>
      <w:r w:rsidR="00045F55">
        <w:rPr>
          <w:rFonts w:ascii="Arial" w:hAnsi="Arial"/>
        </w:rPr>
        <w:t>.</w:t>
      </w:r>
    </w:p>
    <w:p w14:paraId="2E5884C0" w14:textId="77777777" w:rsidR="00045F55" w:rsidRDefault="00045F55">
      <w:pPr>
        <w:rPr>
          <w:rFonts w:ascii="Arial" w:hAnsi="Arial"/>
        </w:rPr>
      </w:pPr>
    </w:p>
    <w:p w14:paraId="14E98E32" w14:textId="77777777" w:rsidR="009E75FE" w:rsidRPr="00184144" w:rsidRDefault="009E75FE">
      <w:pPr>
        <w:rPr>
          <w:rFonts w:ascii="Arial" w:hAnsi="Arial"/>
          <w:color w:val="FF0000"/>
        </w:rPr>
      </w:pPr>
      <w:r w:rsidRPr="00184144">
        <w:rPr>
          <w:rFonts w:ascii="Arial" w:hAnsi="Arial"/>
          <w:color w:val="FF0000"/>
        </w:rPr>
        <w:t>Datenquelle</w:t>
      </w:r>
    </w:p>
    <w:p w14:paraId="5F00E2D6" w14:textId="77777777" w:rsidR="009E75FE" w:rsidRPr="00184144" w:rsidRDefault="009E75FE">
      <w:pPr>
        <w:rPr>
          <w:rFonts w:ascii="Arial" w:hAnsi="Arial"/>
          <w:color w:val="FF0000"/>
        </w:rPr>
      </w:pPr>
    </w:p>
    <w:p w14:paraId="400B214E" w14:textId="77777777" w:rsidR="00D211D7" w:rsidRPr="00184144" w:rsidRDefault="00D211D7" w:rsidP="00D211D7">
      <w:pPr>
        <w:tabs>
          <w:tab w:val="left" w:pos="3060"/>
        </w:tabs>
        <w:rPr>
          <w:rFonts w:ascii="Arial" w:hAnsi="Arial"/>
          <w:color w:val="000000"/>
        </w:rPr>
      </w:pPr>
      <w:r w:rsidRPr="00184144">
        <w:rPr>
          <w:rFonts w:ascii="Arial" w:hAnsi="Arial"/>
          <w:color w:val="000000"/>
        </w:rPr>
        <w:t>British Petroleum (BP): Statistical Review of World Energy 2015</w:t>
      </w:r>
    </w:p>
    <w:p w14:paraId="060986F4" w14:textId="77777777" w:rsidR="009E75FE" w:rsidRPr="00184144" w:rsidRDefault="009E75FE">
      <w:pPr>
        <w:rPr>
          <w:rFonts w:ascii="Arial" w:hAnsi="Arial"/>
        </w:rPr>
      </w:pPr>
    </w:p>
    <w:p w14:paraId="368AFB69" w14:textId="77777777" w:rsidR="009E75FE" w:rsidRDefault="009E75FE">
      <w:pPr>
        <w:rPr>
          <w:rFonts w:ascii="Arial" w:hAnsi="Arial"/>
          <w:color w:val="FF0000"/>
        </w:rPr>
      </w:pPr>
      <w:r>
        <w:rPr>
          <w:rFonts w:ascii="Arial" w:hAnsi="Arial"/>
          <w:color w:val="FF0000"/>
        </w:rPr>
        <w:t>Begriffe, methodische Anmerkungen oder Lesehilfen</w:t>
      </w:r>
    </w:p>
    <w:p w14:paraId="0CDBAA8A" w14:textId="77777777" w:rsidR="009E75FE" w:rsidRDefault="009E75FE">
      <w:pPr>
        <w:rPr>
          <w:rFonts w:ascii="Arial" w:hAnsi="Arial"/>
          <w:color w:val="FF0000"/>
        </w:rPr>
      </w:pPr>
    </w:p>
    <w:p w14:paraId="622A16DE" w14:textId="77777777" w:rsidR="00045F55" w:rsidRDefault="00D211D7" w:rsidP="00D211D7">
      <w:pPr>
        <w:rPr>
          <w:rFonts w:ascii="Arial" w:hAnsi="Arial" w:cs="Arial"/>
        </w:rPr>
      </w:pPr>
      <w:bookmarkStart w:id="1" w:name="Primaerenergie"/>
      <w:r w:rsidRPr="00EE4461">
        <w:rPr>
          <w:rStyle w:val="Fett"/>
          <w:rFonts w:ascii="Arial" w:hAnsi="Arial" w:cs="Arial"/>
        </w:rPr>
        <w:t>Primärenergie</w:t>
      </w:r>
      <w:bookmarkEnd w:id="1"/>
      <w:r w:rsidRPr="00EE4461">
        <w:rPr>
          <w:rFonts w:ascii="Arial" w:hAnsi="Arial" w:cs="Arial"/>
        </w:rPr>
        <w:t xml:space="preserve"> ist die von noch nicht weiterbearbeiteten Energieträgern stammende Energie. Primärenergieträger sind zum Beispiel Steinkohle, Braunkohle, Erdöl, Erdgas, Wasser, Wind, Kernbrennstoffe, Solarstrahlung und so weiter. Aus der Primärenergie wird durch Aufbereitung zum Beispiel in Kraftwerken oder Raffinerien die </w:t>
      </w:r>
      <w:r w:rsidRPr="00EE4461">
        <w:rPr>
          <w:rStyle w:val="Fett"/>
          <w:rFonts w:ascii="Arial" w:hAnsi="Arial" w:cs="Arial"/>
        </w:rPr>
        <w:t>Endenergie</w:t>
      </w:r>
      <w:r w:rsidRPr="00EE4461">
        <w:rPr>
          <w:rFonts w:ascii="Arial" w:hAnsi="Arial" w:cs="Arial"/>
        </w:rPr>
        <w:t xml:space="preserve"> (Sekundärenergie). Die Form der Energie, in der sie tatsächlich vom Anwender verwendet wird, wird </w:t>
      </w:r>
      <w:r w:rsidRPr="00EE4461">
        <w:rPr>
          <w:rStyle w:val="Fett"/>
          <w:rFonts w:ascii="Arial" w:hAnsi="Arial" w:cs="Arial"/>
        </w:rPr>
        <w:t>Nutzenergie</w:t>
      </w:r>
      <w:r w:rsidRPr="00EE4461">
        <w:rPr>
          <w:rFonts w:ascii="Arial" w:hAnsi="Arial" w:cs="Arial"/>
        </w:rPr>
        <w:t xml:space="preserve"> genannt. Ein Beispiel: Rohöl (Primärenergie) wird zu Heizöl (Endenergie/Sekundärenergie) wird zu Wärme (Nutzenergie)</w:t>
      </w:r>
      <w:r w:rsidR="00045F55">
        <w:rPr>
          <w:rFonts w:ascii="Arial" w:hAnsi="Arial" w:cs="Arial"/>
        </w:rPr>
        <w:t>.</w:t>
      </w:r>
    </w:p>
    <w:p w14:paraId="03BC3F55" w14:textId="77777777" w:rsidR="00045F55" w:rsidRDefault="00045F55" w:rsidP="00D211D7">
      <w:pPr>
        <w:rPr>
          <w:rFonts w:ascii="Arial" w:hAnsi="Arial" w:cs="Arial"/>
        </w:rPr>
      </w:pPr>
    </w:p>
    <w:p w14:paraId="67D65CF2" w14:textId="77777777" w:rsidR="00D211D7" w:rsidRPr="00D211D7" w:rsidRDefault="00D211D7" w:rsidP="00D211D7">
      <w:pPr>
        <w:rPr>
          <w:rFonts w:ascii="Arial" w:hAnsi="Arial" w:cs="Arial"/>
        </w:rPr>
      </w:pPr>
      <w:r w:rsidRPr="00D211D7">
        <w:rPr>
          <w:rFonts w:ascii="Arial" w:hAnsi="Arial" w:cs="Arial"/>
        </w:rPr>
        <w:t>Eine (metrische) Tonne Rohöl entspricht 7,33 Barrel.</w:t>
      </w:r>
    </w:p>
    <w:p w14:paraId="25B88B2E" w14:textId="77777777" w:rsidR="00D211D7" w:rsidRPr="00D211D7" w:rsidRDefault="00D211D7" w:rsidP="00D211D7">
      <w:pPr>
        <w:rPr>
          <w:rFonts w:ascii="Arial" w:hAnsi="Arial" w:cs="Arial"/>
        </w:rPr>
      </w:pPr>
    </w:p>
    <w:p w14:paraId="33C02054" w14:textId="77777777" w:rsidR="00D211D7" w:rsidRPr="00D211D7" w:rsidRDefault="00D211D7" w:rsidP="00D211D7">
      <w:pPr>
        <w:rPr>
          <w:rFonts w:ascii="Arial" w:hAnsi="Arial" w:cs="Arial"/>
        </w:rPr>
      </w:pPr>
      <w:r w:rsidRPr="00D211D7">
        <w:rPr>
          <w:rFonts w:ascii="Arial" w:hAnsi="Arial" w:cs="Arial"/>
        </w:rPr>
        <w:t>1 Barrel entspricht rund 159 Litern Öl.</w:t>
      </w:r>
    </w:p>
    <w:p w14:paraId="6CA50E54" w14:textId="77777777" w:rsidR="00D211D7" w:rsidRPr="00D211D7" w:rsidRDefault="00D211D7" w:rsidP="00D211D7">
      <w:pPr>
        <w:rPr>
          <w:rFonts w:ascii="Arial" w:hAnsi="Arial" w:cs="Arial"/>
        </w:rPr>
      </w:pPr>
    </w:p>
    <w:p w14:paraId="1323A83A" w14:textId="77777777" w:rsidR="00045F55" w:rsidRDefault="00D211D7" w:rsidP="00D211D7">
      <w:pPr>
        <w:rPr>
          <w:rFonts w:ascii="Arial" w:hAnsi="Arial" w:cs="Arial"/>
        </w:rPr>
      </w:pPr>
      <w:r w:rsidRPr="00D211D7">
        <w:rPr>
          <w:rFonts w:ascii="Arial" w:hAnsi="Arial" w:cs="Arial"/>
        </w:rPr>
        <w:t>1.000 Liter entsprechen 6,2898 Barrel Öl</w:t>
      </w:r>
      <w:r w:rsidR="00045F55">
        <w:rPr>
          <w:rFonts w:ascii="Arial" w:hAnsi="Arial" w:cs="Arial"/>
        </w:rPr>
        <w:t>.</w:t>
      </w:r>
    </w:p>
    <w:p w14:paraId="59F96859" w14:textId="77777777" w:rsidR="00AB16DA" w:rsidRDefault="00AB16DA" w:rsidP="00D211D7">
      <w:pPr>
        <w:rPr>
          <w:rFonts w:ascii="Arial" w:hAnsi="Arial" w:cs="Arial"/>
        </w:rPr>
      </w:pPr>
    </w:p>
    <w:p w14:paraId="50250FC6" w14:textId="77777777" w:rsidR="00AB16DA" w:rsidRDefault="00AB16DA" w:rsidP="00D211D7">
      <w:pPr>
        <w:rPr>
          <w:rFonts w:ascii="Arial" w:hAnsi="Arial" w:cs="Arial"/>
        </w:rPr>
      </w:pPr>
      <w:r w:rsidRPr="00AA0AEA">
        <w:rPr>
          <w:rFonts w:ascii="Arial" w:hAnsi="Arial"/>
        </w:rPr>
        <w:t>UdSSR</w:t>
      </w:r>
      <w:r>
        <w:rPr>
          <w:rFonts w:ascii="Arial" w:hAnsi="Arial"/>
        </w:rPr>
        <w:t xml:space="preserve"> – </w:t>
      </w:r>
      <w:r w:rsidRPr="00AB16DA">
        <w:rPr>
          <w:rFonts w:ascii="Arial" w:hAnsi="Arial"/>
        </w:rPr>
        <w:t>Union der Sozialistischen Sowjetrepubliken</w:t>
      </w:r>
    </w:p>
    <w:p w14:paraId="38DAF8EB" w14:textId="77777777" w:rsidR="00045F55" w:rsidRDefault="00045F55" w:rsidP="00D211D7">
      <w:pPr>
        <w:rPr>
          <w:rFonts w:ascii="Arial" w:hAnsi="Arial" w:cs="Arial"/>
        </w:rPr>
      </w:pPr>
    </w:p>
    <w:p w14:paraId="438C2EFB" w14:textId="77777777" w:rsidR="00D211D7" w:rsidRDefault="00D211D7" w:rsidP="00D211D7">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5"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14:paraId="73F32454" w14:textId="77777777" w:rsidR="009E75FE" w:rsidRPr="00D211D7" w:rsidRDefault="00D211D7">
      <w:pPr>
        <w:rPr>
          <w:rFonts w:ascii="Arial" w:hAnsi="Arial"/>
          <w:i/>
          <w:color w:val="000000"/>
        </w:rPr>
      </w:pPr>
      <w:r>
        <w:rPr>
          <w:rFonts w:ascii="Arial" w:hAnsi="Arial"/>
          <w:sz w:val="20"/>
          <w:szCs w:val="20"/>
        </w:rPr>
        <w:t xml:space="preserve">Bundeszentrale für politische Bildung 2016 | </w:t>
      </w:r>
      <w:hyperlink r:id="rId6" w:history="1">
        <w:r w:rsidRPr="00DB72F5">
          <w:rPr>
            <w:rFonts w:ascii="Arial" w:hAnsi="Arial"/>
            <w:sz w:val="20"/>
            <w:szCs w:val="20"/>
          </w:rPr>
          <w:t>www.bpb.de</w:t>
        </w:r>
      </w:hyperlink>
    </w:p>
    <w:sectPr w:rsidR="009E75FE" w:rsidRPr="00D211D7">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92596B" w15:done="0"/>
  <w15:commentEx w15:paraId="687C8412" w15:done="0"/>
  <w15:commentEx w15:paraId="768DFE90" w15:paraIdParent="687C841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DF4"/>
    <w:rsid w:val="00033BFF"/>
    <w:rsid w:val="00045F55"/>
    <w:rsid w:val="00081EA9"/>
    <w:rsid w:val="00122263"/>
    <w:rsid w:val="00163424"/>
    <w:rsid w:val="00176A65"/>
    <w:rsid w:val="00184144"/>
    <w:rsid w:val="00185233"/>
    <w:rsid w:val="00191E51"/>
    <w:rsid w:val="001A7B70"/>
    <w:rsid w:val="00332044"/>
    <w:rsid w:val="00442719"/>
    <w:rsid w:val="0045415A"/>
    <w:rsid w:val="00461850"/>
    <w:rsid w:val="004B0C30"/>
    <w:rsid w:val="004C6491"/>
    <w:rsid w:val="00522BA5"/>
    <w:rsid w:val="0056150D"/>
    <w:rsid w:val="00587B7F"/>
    <w:rsid w:val="005A3076"/>
    <w:rsid w:val="00612022"/>
    <w:rsid w:val="00660240"/>
    <w:rsid w:val="00695409"/>
    <w:rsid w:val="006A278B"/>
    <w:rsid w:val="006A3449"/>
    <w:rsid w:val="006F4042"/>
    <w:rsid w:val="00706DF4"/>
    <w:rsid w:val="008731A3"/>
    <w:rsid w:val="008F3039"/>
    <w:rsid w:val="00926450"/>
    <w:rsid w:val="00973610"/>
    <w:rsid w:val="0097762E"/>
    <w:rsid w:val="009B070B"/>
    <w:rsid w:val="009B08A4"/>
    <w:rsid w:val="009E75FE"/>
    <w:rsid w:val="00A15D55"/>
    <w:rsid w:val="00A270A8"/>
    <w:rsid w:val="00A42CD4"/>
    <w:rsid w:val="00A90AC8"/>
    <w:rsid w:val="00AA0AEA"/>
    <w:rsid w:val="00AA0F06"/>
    <w:rsid w:val="00AA3BDA"/>
    <w:rsid w:val="00AB16DA"/>
    <w:rsid w:val="00B658F2"/>
    <w:rsid w:val="00BF2F4E"/>
    <w:rsid w:val="00C12242"/>
    <w:rsid w:val="00C375CA"/>
    <w:rsid w:val="00CB78D5"/>
    <w:rsid w:val="00D211D7"/>
    <w:rsid w:val="00E24582"/>
    <w:rsid w:val="00E44765"/>
    <w:rsid w:val="00E80B9B"/>
    <w:rsid w:val="00F02425"/>
    <w:rsid w:val="00F6326E"/>
    <w:rsid w:val="00FA031A"/>
    <w:rsid w:val="00FB37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3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paragraph" w:styleId="Textkrper">
    <w:name w:val="Body Text"/>
    <w:basedOn w:val="Standard"/>
    <w:rPr>
      <w:rFonts w:ascii="Arial" w:hAnsi="Arial"/>
      <w:color w:val="0000FF"/>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706DF4"/>
    <w:rPr>
      <w:rFonts w:ascii="Tahoma" w:hAnsi="Tahoma" w:cs="Tahoma"/>
      <w:sz w:val="16"/>
      <w:szCs w:val="16"/>
    </w:rPr>
  </w:style>
  <w:style w:type="character" w:styleId="Fett">
    <w:name w:val="Strong"/>
    <w:uiPriority w:val="22"/>
    <w:qFormat/>
    <w:rsid w:val="00D211D7"/>
    <w:rPr>
      <w:b/>
      <w:bCs/>
    </w:rPr>
  </w:style>
  <w:style w:type="paragraph" w:styleId="Kommentarthema">
    <w:name w:val="annotation subject"/>
    <w:basedOn w:val="Kommentartext"/>
    <w:next w:val="Kommentartext"/>
    <w:link w:val="KommentarthemaZchn"/>
    <w:uiPriority w:val="99"/>
    <w:semiHidden/>
    <w:unhideWhenUsed/>
    <w:rsid w:val="00191E51"/>
    <w:rPr>
      <w:b/>
      <w:bCs/>
      <w:szCs w:val="20"/>
    </w:rPr>
  </w:style>
  <w:style w:type="character" w:customStyle="1" w:styleId="KommentartextZchn">
    <w:name w:val="Kommentartext Zchn"/>
    <w:basedOn w:val="Absatz-Standardschriftart"/>
    <w:link w:val="Kommentartext"/>
    <w:semiHidden/>
    <w:rsid w:val="00191E51"/>
    <w:rPr>
      <w:szCs w:val="24"/>
    </w:rPr>
  </w:style>
  <w:style w:type="character" w:customStyle="1" w:styleId="KommentarthemaZchn">
    <w:name w:val="Kommentarthema Zchn"/>
    <w:basedOn w:val="KommentartextZchn"/>
    <w:link w:val="Kommentarthema"/>
    <w:uiPriority w:val="99"/>
    <w:semiHidden/>
    <w:rsid w:val="00191E5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paragraph" w:styleId="Textkrper">
    <w:name w:val="Body Text"/>
    <w:basedOn w:val="Standard"/>
    <w:rPr>
      <w:rFonts w:ascii="Arial" w:hAnsi="Arial"/>
      <w:color w:val="0000FF"/>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706DF4"/>
    <w:rPr>
      <w:rFonts w:ascii="Tahoma" w:hAnsi="Tahoma" w:cs="Tahoma"/>
      <w:sz w:val="16"/>
      <w:szCs w:val="16"/>
    </w:rPr>
  </w:style>
  <w:style w:type="character" w:styleId="Fett">
    <w:name w:val="Strong"/>
    <w:uiPriority w:val="22"/>
    <w:qFormat/>
    <w:rsid w:val="00D211D7"/>
    <w:rPr>
      <w:b/>
      <w:bCs/>
    </w:rPr>
  </w:style>
  <w:style w:type="paragraph" w:styleId="Kommentarthema">
    <w:name w:val="annotation subject"/>
    <w:basedOn w:val="Kommentartext"/>
    <w:next w:val="Kommentartext"/>
    <w:link w:val="KommentarthemaZchn"/>
    <w:uiPriority w:val="99"/>
    <w:semiHidden/>
    <w:unhideWhenUsed/>
    <w:rsid w:val="00191E51"/>
    <w:rPr>
      <w:b/>
      <w:bCs/>
      <w:szCs w:val="20"/>
    </w:rPr>
  </w:style>
  <w:style w:type="character" w:customStyle="1" w:styleId="KommentartextZchn">
    <w:name w:val="Kommentartext Zchn"/>
    <w:basedOn w:val="Absatz-Standardschriftart"/>
    <w:link w:val="Kommentartext"/>
    <w:semiHidden/>
    <w:rsid w:val="00191E51"/>
    <w:rPr>
      <w:szCs w:val="24"/>
    </w:rPr>
  </w:style>
  <w:style w:type="character" w:customStyle="1" w:styleId="KommentarthemaZchn">
    <w:name w:val="Kommentarthema Zchn"/>
    <w:basedOn w:val="KommentartextZchn"/>
    <w:link w:val="Kommentarthema"/>
    <w:uiPriority w:val="99"/>
    <w:semiHidden/>
    <w:rsid w:val="00191E5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5" Type="http://schemas.openxmlformats.org/officeDocument/2006/relationships/hyperlink" Target="http://creativecommons.org/licenses/by-nc-nd/3.0/de/" TargetMode="Externa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4222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Christian Boetel</dc:creator>
  <cp:lastModifiedBy>Christian Hartmann</cp:lastModifiedBy>
  <cp:revision>2</cp:revision>
  <dcterms:created xsi:type="dcterms:W3CDTF">2016-10-17T08:28:00Z</dcterms:created>
  <dcterms:modified xsi:type="dcterms:W3CDTF">2016-10-17T08:28:00Z</dcterms:modified>
</cp:coreProperties>
</file>