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F8E0B" w14:textId="77777777" w:rsidR="00617B21" w:rsidRDefault="00827BB7" w:rsidP="00A41F87">
      <w:pPr>
        <w:pStyle w:val="Listenabsatz"/>
        <w:numPr>
          <w:ilvl w:val="0"/>
          <w:numId w:val="6"/>
        </w:numPr>
        <w:rPr>
          <w:rFonts w:ascii="Arial" w:hAnsi="Arial" w:cs="Arial"/>
          <w:b/>
          <w:color w:val="000000"/>
        </w:rPr>
      </w:pPr>
      <w:bookmarkStart w:id="0" w:name="_GoBack"/>
      <w:bookmarkEnd w:id="0"/>
      <w:r w:rsidRPr="00510A3C">
        <w:rPr>
          <w:rFonts w:ascii="Arial" w:hAnsi="Arial" w:cs="Arial"/>
          <w:b/>
          <w:color w:val="000000"/>
        </w:rPr>
        <w:t>Bei einem Handelsbilanzüberschuss bzw. -defizit erhöht sich die Gläubiger- bzw. Schuldnerposition gegenüber dem Ausland.</w:t>
      </w:r>
    </w:p>
    <w:p w14:paraId="1EC92905" w14:textId="77777777" w:rsidR="00A41F87" w:rsidRPr="00510A3C" w:rsidRDefault="00A41F87" w:rsidP="00A41F87">
      <w:pPr>
        <w:pStyle w:val="Listenabsatz"/>
        <w:rPr>
          <w:rFonts w:ascii="Arial" w:hAnsi="Arial" w:cs="Arial"/>
          <w:b/>
          <w:color w:val="000000"/>
        </w:rPr>
      </w:pPr>
    </w:p>
    <w:p w14:paraId="26376362" w14:textId="77777777" w:rsidR="00510A3C" w:rsidRPr="00A41F87" w:rsidRDefault="00510A3C" w:rsidP="00A41F87">
      <w:pPr>
        <w:pStyle w:val="Listenabsatz"/>
        <w:numPr>
          <w:ilvl w:val="0"/>
          <w:numId w:val="6"/>
        </w:numPr>
        <w:rPr>
          <w:rFonts w:ascii="Arial" w:hAnsi="Arial" w:cs="Arial"/>
          <w:b/>
          <w:color w:val="000000"/>
        </w:rPr>
      </w:pPr>
      <w:r w:rsidRPr="00510A3C">
        <w:rPr>
          <w:rFonts w:ascii="Arial" w:hAnsi="Arial"/>
          <w:b/>
          <w:color w:val="000000"/>
        </w:rPr>
        <w:t>Die USA sind seit Jahrzehnten der größte Absatzmarkt für Importgüter.</w:t>
      </w:r>
    </w:p>
    <w:p w14:paraId="35EC73C7" w14:textId="77777777" w:rsidR="00A41F87" w:rsidRPr="00A41F87" w:rsidRDefault="00A41F87" w:rsidP="00A41F87">
      <w:pPr>
        <w:rPr>
          <w:rFonts w:ascii="Arial" w:hAnsi="Arial" w:cs="Arial"/>
          <w:b/>
          <w:color w:val="000000"/>
        </w:rPr>
      </w:pPr>
    </w:p>
    <w:p w14:paraId="4B227694" w14:textId="77777777" w:rsidR="00510A3C" w:rsidRPr="00A41F87" w:rsidRDefault="00510A3C" w:rsidP="00A41F87">
      <w:pPr>
        <w:pStyle w:val="Listenabsatz"/>
        <w:numPr>
          <w:ilvl w:val="0"/>
          <w:numId w:val="6"/>
        </w:numPr>
        <w:rPr>
          <w:rFonts w:ascii="Arial" w:hAnsi="Arial" w:cs="Arial"/>
          <w:b/>
          <w:color w:val="000000"/>
        </w:rPr>
      </w:pPr>
      <w:r w:rsidRPr="00510A3C">
        <w:rPr>
          <w:rFonts w:ascii="Arial" w:hAnsi="Arial"/>
          <w:b/>
          <w:color w:val="000000"/>
        </w:rPr>
        <w:t>Neben den USA verzeichnen auch das Vereinigte Königreich, Indien, Frankreich sowie die Türkei auffällig hohe Handelsbilanzdefizite.</w:t>
      </w:r>
    </w:p>
    <w:p w14:paraId="042BEB14" w14:textId="77777777" w:rsidR="00A41F87" w:rsidRPr="00A41F87" w:rsidRDefault="00A41F87" w:rsidP="00A41F87">
      <w:pPr>
        <w:rPr>
          <w:rFonts w:ascii="Arial" w:hAnsi="Arial" w:cs="Arial"/>
          <w:b/>
          <w:color w:val="000000"/>
        </w:rPr>
      </w:pPr>
    </w:p>
    <w:p w14:paraId="23E6138B" w14:textId="77777777" w:rsidR="00510A3C" w:rsidRPr="00510A3C" w:rsidRDefault="00A41F87" w:rsidP="00A41F87">
      <w:pPr>
        <w:pStyle w:val="Listenabsatz"/>
        <w:numPr>
          <w:ilvl w:val="0"/>
          <w:numId w:val="6"/>
        </w:numPr>
        <w:rPr>
          <w:rFonts w:ascii="Arial" w:hAnsi="Arial" w:cs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Den Defiziten </w:t>
      </w:r>
      <w:r w:rsidR="00510A3C" w:rsidRPr="00510A3C">
        <w:rPr>
          <w:rFonts w:ascii="Arial" w:hAnsi="Arial"/>
          <w:b/>
          <w:color w:val="000000"/>
        </w:rPr>
        <w:t xml:space="preserve">stehen </w:t>
      </w:r>
      <w:r>
        <w:rPr>
          <w:rFonts w:ascii="Arial" w:hAnsi="Arial"/>
          <w:b/>
          <w:color w:val="000000"/>
        </w:rPr>
        <w:t xml:space="preserve">hohe </w:t>
      </w:r>
      <w:r w:rsidR="00510A3C" w:rsidRPr="00510A3C">
        <w:rPr>
          <w:rFonts w:ascii="Arial" w:hAnsi="Arial"/>
          <w:b/>
          <w:color w:val="000000"/>
        </w:rPr>
        <w:t xml:space="preserve">Handelsbilanzüberschüsse insbesondere von China und Deutschland sowie </w:t>
      </w:r>
      <w:r w:rsidR="00510A3C">
        <w:rPr>
          <w:rFonts w:ascii="Arial" w:hAnsi="Arial"/>
          <w:b/>
          <w:color w:val="000000"/>
        </w:rPr>
        <w:t xml:space="preserve">mehreren </w:t>
      </w:r>
      <w:r w:rsidR="00510A3C" w:rsidRPr="00510A3C">
        <w:rPr>
          <w:rFonts w:ascii="Arial" w:hAnsi="Arial"/>
          <w:b/>
          <w:color w:val="000000"/>
        </w:rPr>
        <w:t>Öl- und Gasexporteuren (z.B. Russland und Saudi-Arabien)</w:t>
      </w:r>
      <w:r>
        <w:rPr>
          <w:rFonts w:ascii="Arial" w:hAnsi="Arial"/>
          <w:b/>
          <w:color w:val="000000"/>
        </w:rPr>
        <w:t xml:space="preserve"> gegenüber</w:t>
      </w:r>
      <w:r w:rsidR="00510A3C" w:rsidRPr="00510A3C">
        <w:rPr>
          <w:rFonts w:ascii="Arial" w:hAnsi="Arial"/>
          <w:b/>
          <w:color w:val="000000"/>
        </w:rPr>
        <w:t>.</w:t>
      </w:r>
    </w:p>
    <w:p w14:paraId="4C887497" w14:textId="77777777" w:rsidR="00827BB7" w:rsidRPr="005836B5" w:rsidRDefault="00827BB7">
      <w:pPr>
        <w:rPr>
          <w:rFonts w:ascii="Arial" w:hAnsi="Arial"/>
          <w:b/>
          <w:color w:val="000000"/>
        </w:rPr>
      </w:pPr>
    </w:p>
    <w:p w14:paraId="29EDAE6E" w14:textId="77777777" w:rsidR="00774CF9" w:rsidRPr="008B3587" w:rsidRDefault="00774CF9" w:rsidP="00774CF9">
      <w:pPr>
        <w:rPr>
          <w:rFonts w:ascii="Arial" w:hAnsi="Arial"/>
          <w:color w:val="FF0000"/>
        </w:rPr>
      </w:pPr>
      <w:r w:rsidRPr="008B3587">
        <w:rPr>
          <w:rFonts w:ascii="Arial" w:hAnsi="Arial"/>
          <w:color w:val="FF0000"/>
        </w:rPr>
        <w:t>Fakten</w:t>
      </w:r>
    </w:p>
    <w:p w14:paraId="1E49892E" w14:textId="77777777" w:rsidR="00774CF9" w:rsidRPr="007451E3" w:rsidRDefault="00774CF9">
      <w:pPr>
        <w:rPr>
          <w:rFonts w:ascii="Arial" w:hAnsi="Arial"/>
          <w:color w:val="000000"/>
        </w:rPr>
      </w:pPr>
    </w:p>
    <w:p w14:paraId="06206DAD" w14:textId="77777777" w:rsidR="00665F4F" w:rsidRDefault="00665F4F">
      <w:pPr>
        <w:rPr>
          <w:rFonts w:ascii="Arial" w:hAnsi="Arial"/>
          <w:color w:val="000000"/>
        </w:rPr>
      </w:pPr>
      <w:r w:rsidRPr="007451E3">
        <w:rPr>
          <w:rFonts w:ascii="Arial" w:hAnsi="Arial"/>
          <w:color w:val="000000"/>
        </w:rPr>
        <w:t xml:space="preserve">Bei einem Vergleich der Handelsbilanzen fallen insbesondere zwei Staaten auf: Die USA mit dem weltweit größten Handelsbilanzdefizit und China mit dem weltweit größten Handelsbilanzüberschuss. </w:t>
      </w:r>
      <w:r w:rsidR="009268BD" w:rsidRPr="007451E3">
        <w:rPr>
          <w:rFonts w:ascii="Arial" w:hAnsi="Arial"/>
          <w:color w:val="000000"/>
        </w:rPr>
        <w:t>Während die USA in den 1950er- und 1960er-Jahren in fast allen Jahren einen Überschuss bei der Handelsbilanz erwirtschafteten,</w:t>
      </w:r>
      <w:r w:rsidR="00241FC7">
        <w:rPr>
          <w:rFonts w:ascii="Arial" w:hAnsi="Arial"/>
          <w:color w:val="000000"/>
        </w:rPr>
        <w:t xml:space="preserve"> </w:t>
      </w:r>
      <w:r w:rsidR="009268BD" w:rsidRPr="007451E3">
        <w:rPr>
          <w:rFonts w:ascii="Arial" w:hAnsi="Arial"/>
          <w:color w:val="000000"/>
        </w:rPr>
        <w:t>waren die folgenden Jahrzehnte von einer Ausweitung des Handelsbilanzdefizits geprägt.</w:t>
      </w:r>
      <w:r w:rsidR="007905CC" w:rsidRPr="007451E3">
        <w:rPr>
          <w:rFonts w:ascii="Arial" w:hAnsi="Arial"/>
          <w:color w:val="000000"/>
        </w:rPr>
        <w:t xml:space="preserve"> </w:t>
      </w:r>
      <w:r w:rsidR="00F14664" w:rsidRPr="007451E3">
        <w:rPr>
          <w:rFonts w:ascii="Arial" w:hAnsi="Arial"/>
          <w:color w:val="000000"/>
        </w:rPr>
        <w:t>Während das Defizit im Durchschnitt der</w:t>
      </w:r>
      <w:r w:rsidR="007451E3" w:rsidRPr="007451E3">
        <w:rPr>
          <w:rFonts w:ascii="Arial" w:hAnsi="Arial"/>
          <w:color w:val="000000"/>
        </w:rPr>
        <w:t xml:space="preserve"> </w:t>
      </w:r>
      <w:r w:rsidR="00F14664" w:rsidRPr="007451E3">
        <w:rPr>
          <w:rFonts w:ascii="Arial" w:hAnsi="Arial"/>
          <w:color w:val="000000"/>
        </w:rPr>
        <w:t>1990er-Jahre noch bei jährlich 185 Milliarden US-Dollar lag (ø 2,3 Prozent des BIP), stieg es im Zeitraum 2000 bis 2009 auf durchschnittlich 675 Milliarden US-Dollar pro Jahr (ø 5,3 Prozent des BIP).</w:t>
      </w:r>
      <w:r w:rsidR="0041561B" w:rsidRPr="007451E3">
        <w:rPr>
          <w:rFonts w:ascii="Arial" w:hAnsi="Arial"/>
          <w:color w:val="000000"/>
        </w:rPr>
        <w:t xml:space="preserve"> </w:t>
      </w:r>
      <w:r w:rsidR="006D5577" w:rsidRPr="007451E3">
        <w:rPr>
          <w:rFonts w:ascii="Arial" w:hAnsi="Arial"/>
          <w:color w:val="000000"/>
        </w:rPr>
        <w:t>I</w:t>
      </w:r>
      <w:r w:rsidR="00F14664" w:rsidRPr="007451E3">
        <w:rPr>
          <w:rFonts w:ascii="Arial" w:hAnsi="Arial"/>
          <w:color w:val="000000"/>
        </w:rPr>
        <w:t xml:space="preserve">n den Jahren von </w:t>
      </w:r>
      <w:r w:rsidR="006D5577" w:rsidRPr="007451E3">
        <w:rPr>
          <w:rFonts w:ascii="Arial" w:hAnsi="Arial"/>
          <w:color w:val="000000"/>
        </w:rPr>
        <w:t>2015 bis 2022 lag das Handelsbilanzdefizit der USA im Durchschnitt bei 978 Milliarden US-Dollar pro Jahr</w:t>
      </w:r>
      <w:r w:rsidR="00F14664" w:rsidRPr="007451E3">
        <w:rPr>
          <w:rFonts w:ascii="Arial" w:hAnsi="Arial"/>
          <w:color w:val="000000"/>
        </w:rPr>
        <w:t xml:space="preserve"> (ø 4,6 Prozent des BIP)</w:t>
      </w:r>
      <w:r w:rsidR="007A23E4">
        <w:rPr>
          <w:rFonts w:ascii="Arial" w:hAnsi="Arial"/>
          <w:color w:val="000000"/>
        </w:rPr>
        <w:t>.</w:t>
      </w:r>
    </w:p>
    <w:p w14:paraId="251C2FA9" w14:textId="77777777" w:rsidR="00241FC7" w:rsidRDefault="00241FC7">
      <w:pPr>
        <w:rPr>
          <w:rFonts w:ascii="Arial" w:hAnsi="Arial"/>
          <w:color w:val="000000"/>
        </w:rPr>
      </w:pPr>
    </w:p>
    <w:p w14:paraId="455D2782" w14:textId="77777777" w:rsidR="00972112" w:rsidRDefault="00F46B0C" w:rsidP="00B17878">
      <w:pPr>
        <w:rPr>
          <w:rFonts w:ascii="Arial" w:hAnsi="Arial"/>
          <w:color w:val="000000"/>
        </w:rPr>
      </w:pPr>
      <w:r w:rsidRPr="00B17878">
        <w:rPr>
          <w:rFonts w:ascii="Arial" w:hAnsi="Arial"/>
          <w:color w:val="000000"/>
        </w:rPr>
        <w:t xml:space="preserve">Die USA </w:t>
      </w:r>
      <w:r w:rsidR="00CF3313" w:rsidRPr="00B17878">
        <w:rPr>
          <w:rFonts w:ascii="Arial" w:hAnsi="Arial"/>
          <w:color w:val="000000"/>
        </w:rPr>
        <w:t xml:space="preserve">sind </w:t>
      </w:r>
      <w:r w:rsidR="00EB78E5" w:rsidRPr="00B17878">
        <w:rPr>
          <w:rFonts w:ascii="Arial" w:hAnsi="Arial"/>
          <w:color w:val="000000"/>
        </w:rPr>
        <w:t xml:space="preserve">seit Jahrzehnten </w:t>
      </w:r>
      <w:r w:rsidR="00C60CD5" w:rsidRPr="00B17878">
        <w:rPr>
          <w:rFonts w:ascii="Arial" w:hAnsi="Arial"/>
          <w:color w:val="000000"/>
        </w:rPr>
        <w:t xml:space="preserve">der </w:t>
      </w:r>
      <w:r w:rsidRPr="00B17878">
        <w:rPr>
          <w:rFonts w:ascii="Arial" w:hAnsi="Arial"/>
          <w:color w:val="000000"/>
        </w:rPr>
        <w:t>größte Absatzmarkt für Importgüter</w:t>
      </w:r>
      <w:r w:rsidR="00EB78E5" w:rsidRPr="00B17878">
        <w:rPr>
          <w:rFonts w:ascii="Arial" w:hAnsi="Arial"/>
          <w:color w:val="000000"/>
        </w:rPr>
        <w:t xml:space="preserve">. Im Jahr 2022 importierten die USA Waren im Wert von 3,38 </w:t>
      </w:r>
      <w:r w:rsidR="00EB78E5" w:rsidRPr="007451E3">
        <w:rPr>
          <w:rFonts w:ascii="Arial" w:hAnsi="Arial"/>
          <w:color w:val="000000"/>
        </w:rPr>
        <w:t>Billionen US-Dollar</w:t>
      </w:r>
      <w:r w:rsidR="00EB78E5">
        <w:rPr>
          <w:rFonts w:ascii="Arial" w:hAnsi="Arial"/>
          <w:color w:val="000000"/>
        </w:rPr>
        <w:t xml:space="preserve">. Gleichzeitig gehören die USA </w:t>
      </w:r>
      <w:r w:rsidR="00CF3313">
        <w:rPr>
          <w:rFonts w:ascii="Arial" w:hAnsi="Arial"/>
          <w:color w:val="000000"/>
        </w:rPr>
        <w:t xml:space="preserve">durchgehend </w:t>
      </w:r>
      <w:r w:rsidR="00EB78E5">
        <w:rPr>
          <w:rFonts w:ascii="Arial" w:hAnsi="Arial"/>
          <w:color w:val="000000"/>
        </w:rPr>
        <w:t xml:space="preserve">zu den </w:t>
      </w:r>
      <w:r w:rsidR="00CF3313">
        <w:rPr>
          <w:rFonts w:ascii="Arial" w:hAnsi="Arial"/>
          <w:color w:val="000000"/>
        </w:rPr>
        <w:t xml:space="preserve">drei </w:t>
      </w:r>
      <w:r w:rsidR="00EB78E5">
        <w:rPr>
          <w:rFonts w:ascii="Arial" w:hAnsi="Arial"/>
          <w:color w:val="000000"/>
        </w:rPr>
        <w:t xml:space="preserve">größten </w:t>
      </w:r>
      <w:r w:rsidRPr="00B17878">
        <w:rPr>
          <w:rFonts w:ascii="Arial" w:hAnsi="Arial"/>
          <w:color w:val="000000"/>
        </w:rPr>
        <w:t>Warenexporteur</w:t>
      </w:r>
      <w:r w:rsidR="00EB78E5" w:rsidRPr="00B17878">
        <w:rPr>
          <w:rFonts w:ascii="Arial" w:hAnsi="Arial"/>
          <w:color w:val="000000"/>
        </w:rPr>
        <w:t>en der Welt.</w:t>
      </w:r>
      <w:r w:rsidR="00CF3313" w:rsidRPr="00B17878">
        <w:rPr>
          <w:rFonts w:ascii="Arial" w:hAnsi="Arial"/>
          <w:color w:val="000000"/>
        </w:rPr>
        <w:t xml:space="preserve"> Während Deutschland zwischen 2003 und 2008 sechsmal in Folge mehr Waren als jedes andere Land exportierte</w:t>
      </w:r>
      <w:r w:rsidR="00B17878" w:rsidRPr="00B17878">
        <w:rPr>
          <w:rFonts w:ascii="Arial" w:hAnsi="Arial"/>
          <w:color w:val="000000"/>
        </w:rPr>
        <w:t xml:space="preserve"> und </w:t>
      </w:r>
      <w:r w:rsidR="00D03A1B">
        <w:rPr>
          <w:rFonts w:ascii="Arial" w:hAnsi="Arial"/>
          <w:color w:val="000000"/>
        </w:rPr>
        <w:t xml:space="preserve">zuletzt </w:t>
      </w:r>
      <w:r w:rsidR="00B17878" w:rsidRPr="00B17878">
        <w:rPr>
          <w:rFonts w:ascii="Arial" w:hAnsi="Arial"/>
          <w:color w:val="000000"/>
        </w:rPr>
        <w:t>2009 vor den USA lag</w:t>
      </w:r>
      <w:r w:rsidR="00CF3313" w:rsidRPr="00B17878">
        <w:rPr>
          <w:rFonts w:ascii="Arial" w:hAnsi="Arial"/>
          <w:color w:val="000000"/>
        </w:rPr>
        <w:t xml:space="preserve">, </w:t>
      </w:r>
      <w:r w:rsidR="00B17878" w:rsidRPr="00B17878">
        <w:rPr>
          <w:rFonts w:ascii="Arial" w:hAnsi="Arial"/>
          <w:color w:val="000000"/>
        </w:rPr>
        <w:t xml:space="preserve">übersteigen die Warenexporte </w:t>
      </w:r>
      <w:r w:rsidR="00CF3313" w:rsidRPr="00B17878">
        <w:rPr>
          <w:rFonts w:ascii="Arial" w:hAnsi="Arial"/>
          <w:color w:val="000000"/>
        </w:rPr>
        <w:t>China</w:t>
      </w:r>
      <w:r w:rsidR="00B17878" w:rsidRPr="00B17878">
        <w:rPr>
          <w:rFonts w:ascii="Arial" w:hAnsi="Arial"/>
          <w:color w:val="000000"/>
        </w:rPr>
        <w:t>s die der USA</w:t>
      </w:r>
      <w:r w:rsidR="00CF3313" w:rsidRPr="00B17878">
        <w:rPr>
          <w:rFonts w:ascii="Arial" w:hAnsi="Arial"/>
          <w:color w:val="000000"/>
        </w:rPr>
        <w:t xml:space="preserve"> </w:t>
      </w:r>
      <w:r w:rsidR="00B17878" w:rsidRPr="00B17878">
        <w:rPr>
          <w:rFonts w:ascii="Arial" w:hAnsi="Arial"/>
          <w:color w:val="000000"/>
        </w:rPr>
        <w:t xml:space="preserve">durchgehend </w:t>
      </w:r>
      <w:r w:rsidR="00CF3313" w:rsidRPr="00B17878">
        <w:rPr>
          <w:rFonts w:ascii="Arial" w:hAnsi="Arial"/>
          <w:color w:val="000000"/>
        </w:rPr>
        <w:t xml:space="preserve">seit 2007. Im Jahr 2022 exportierten die USA Waren im Wert von </w:t>
      </w:r>
      <w:r w:rsidR="00B17878" w:rsidRPr="00B17878">
        <w:rPr>
          <w:rFonts w:ascii="Arial" w:hAnsi="Arial"/>
          <w:color w:val="000000"/>
        </w:rPr>
        <w:t>2,06</w:t>
      </w:r>
      <w:r w:rsidR="00CF3313" w:rsidRPr="00B17878">
        <w:rPr>
          <w:rFonts w:ascii="Arial" w:hAnsi="Arial"/>
          <w:color w:val="000000"/>
        </w:rPr>
        <w:t xml:space="preserve"> </w:t>
      </w:r>
      <w:r w:rsidR="00CF3313" w:rsidRPr="007451E3">
        <w:rPr>
          <w:rFonts w:ascii="Arial" w:hAnsi="Arial"/>
          <w:color w:val="000000"/>
        </w:rPr>
        <w:t>Billionen US-Dollar</w:t>
      </w:r>
      <w:r w:rsidR="00CF3313">
        <w:rPr>
          <w:rFonts w:ascii="Arial" w:hAnsi="Arial"/>
          <w:color w:val="000000"/>
        </w:rPr>
        <w:t>.</w:t>
      </w:r>
      <w:r w:rsidR="00241FC7">
        <w:rPr>
          <w:rFonts w:ascii="Arial" w:hAnsi="Arial"/>
          <w:color w:val="000000"/>
        </w:rPr>
        <w:t xml:space="preserve"> </w:t>
      </w:r>
      <w:r w:rsidR="00972112">
        <w:rPr>
          <w:rFonts w:ascii="Arial" w:hAnsi="Arial"/>
          <w:color w:val="000000"/>
        </w:rPr>
        <w:t xml:space="preserve">Aus dem Saldo der Warenimporte und -exporte der USA ergibt sich für das </w:t>
      </w:r>
      <w:r w:rsidR="00D03A1B">
        <w:rPr>
          <w:rFonts w:ascii="Arial" w:hAnsi="Arial"/>
          <w:color w:val="000000"/>
        </w:rPr>
        <w:t xml:space="preserve">Jahr </w:t>
      </w:r>
      <w:r w:rsidR="00B17878" w:rsidRPr="007451E3">
        <w:rPr>
          <w:rFonts w:ascii="Arial" w:hAnsi="Arial"/>
          <w:color w:val="000000"/>
        </w:rPr>
        <w:t>2022 mit 1,31 Billionen US-Dollar das bisher größte Handelsbilanzdefizit der USA (5,1 Prozent des BIP).</w:t>
      </w:r>
    </w:p>
    <w:p w14:paraId="21C17A26" w14:textId="77777777" w:rsidR="00241FC7" w:rsidRDefault="00241FC7" w:rsidP="00B17878">
      <w:pPr>
        <w:rPr>
          <w:rFonts w:ascii="Arial" w:hAnsi="Arial"/>
          <w:color w:val="000000"/>
        </w:rPr>
      </w:pPr>
    </w:p>
    <w:p w14:paraId="1677C811" w14:textId="3B10D60F" w:rsidR="00CC7579" w:rsidRPr="00CD0729" w:rsidRDefault="00F46B0C">
      <w:pPr>
        <w:rPr>
          <w:rFonts w:ascii="Arial" w:hAnsi="Arial"/>
          <w:color w:val="000000"/>
          <w:lang w:val="en-US"/>
        </w:rPr>
      </w:pPr>
      <w:r w:rsidRPr="0079745C">
        <w:rPr>
          <w:rFonts w:ascii="Arial" w:hAnsi="Arial"/>
          <w:color w:val="000000"/>
        </w:rPr>
        <w:t>Nach Angaben de</w:t>
      </w:r>
      <w:r w:rsidR="007E1F50" w:rsidRPr="0079745C">
        <w:rPr>
          <w:rFonts w:ascii="Arial" w:hAnsi="Arial"/>
          <w:color w:val="000000"/>
        </w:rPr>
        <w:t>r</w:t>
      </w:r>
      <w:r w:rsidRPr="0079745C">
        <w:rPr>
          <w:rFonts w:ascii="Arial" w:hAnsi="Arial"/>
          <w:color w:val="000000"/>
        </w:rPr>
        <w:t xml:space="preserve"> </w:t>
      </w:r>
      <w:r w:rsidR="007E1F50" w:rsidRPr="0079745C">
        <w:rPr>
          <w:rFonts w:ascii="Arial" w:hAnsi="Arial"/>
          <w:color w:val="000000"/>
        </w:rPr>
        <w:t xml:space="preserve">United Nations Conference on Trade and Development (UNCTAD) </w:t>
      </w:r>
      <w:r w:rsidR="00CD4F23" w:rsidRPr="0079745C">
        <w:rPr>
          <w:rFonts w:ascii="Arial" w:hAnsi="Arial"/>
          <w:color w:val="000000"/>
        </w:rPr>
        <w:t xml:space="preserve">lag im Jahr 2022 </w:t>
      </w:r>
      <w:r w:rsidRPr="0079745C">
        <w:rPr>
          <w:rFonts w:ascii="Arial" w:hAnsi="Arial"/>
          <w:color w:val="000000"/>
        </w:rPr>
        <w:t xml:space="preserve">allein das Defizit </w:t>
      </w:r>
      <w:r w:rsidR="00CD4F23" w:rsidRPr="0079745C">
        <w:rPr>
          <w:rFonts w:ascii="Arial" w:hAnsi="Arial"/>
          <w:color w:val="000000"/>
        </w:rPr>
        <w:t xml:space="preserve">der USA </w:t>
      </w:r>
      <w:r w:rsidR="007E1F50" w:rsidRPr="0079745C">
        <w:rPr>
          <w:rFonts w:ascii="Arial" w:hAnsi="Arial"/>
          <w:color w:val="000000"/>
        </w:rPr>
        <w:t xml:space="preserve">beim Warenhandel </w:t>
      </w:r>
      <w:r w:rsidRPr="0079745C">
        <w:rPr>
          <w:rFonts w:ascii="Arial" w:hAnsi="Arial"/>
          <w:color w:val="000000"/>
        </w:rPr>
        <w:t>mit China</w:t>
      </w:r>
      <w:r w:rsidR="00CD4F23" w:rsidRPr="0079745C">
        <w:rPr>
          <w:rFonts w:ascii="Arial" w:hAnsi="Arial"/>
          <w:color w:val="000000"/>
        </w:rPr>
        <w:t xml:space="preserve"> bei 422 </w:t>
      </w:r>
      <w:r w:rsidR="00CD4F23" w:rsidRPr="007451E3">
        <w:rPr>
          <w:rFonts w:ascii="Arial" w:hAnsi="Arial"/>
          <w:color w:val="000000"/>
        </w:rPr>
        <w:t>Milliarden US-Dollar</w:t>
      </w:r>
      <w:r w:rsidR="00CD4F23">
        <w:rPr>
          <w:rFonts w:ascii="Arial" w:hAnsi="Arial"/>
          <w:color w:val="000000"/>
        </w:rPr>
        <w:t xml:space="preserve">. Gegenüber der Europäischen Union lag das </w:t>
      </w:r>
      <w:r w:rsidR="00CD4F23" w:rsidRPr="007451E3">
        <w:rPr>
          <w:rFonts w:ascii="Arial" w:hAnsi="Arial"/>
          <w:color w:val="000000"/>
        </w:rPr>
        <w:t>Handelsbilanzdefizit</w:t>
      </w:r>
      <w:r w:rsidR="00CD0729">
        <w:rPr>
          <w:rFonts w:ascii="Arial" w:hAnsi="Arial"/>
          <w:color w:val="000000"/>
        </w:rPr>
        <w:t xml:space="preserve"> der USA</w:t>
      </w:r>
      <w:r w:rsidR="00CD4F23">
        <w:rPr>
          <w:rFonts w:ascii="Arial" w:hAnsi="Arial"/>
          <w:color w:val="000000"/>
        </w:rPr>
        <w:t xml:space="preserve"> im selben Jahr bei 219 </w:t>
      </w:r>
      <w:r w:rsidR="00CD4F23" w:rsidRPr="007451E3">
        <w:rPr>
          <w:rFonts w:ascii="Arial" w:hAnsi="Arial"/>
          <w:color w:val="000000"/>
        </w:rPr>
        <w:t>Milliarden US-Dollar</w:t>
      </w:r>
      <w:r w:rsidR="00D43CF0" w:rsidRPr="0079745C">
        <w:rPr>
          <w:rFonts w:ascii="Arial" w:hAnsi="Arial"/>
          <w:color w:val="000000"/>
        </w:rPr>
        <w:t xml:space="preserve">. </w:t>
      </w:r>
      <w:r w:rsidR="007E1F50" w:rsidRPr="0079745C">
        <w:rPr>
          <w:rFonts w:ascii="Arial" w:hAnsi="Arial"/>
          <w:color w:val="000000"/>
        </w:rPr>
        <w:t xml:space="preserve">Deutschlands Anteil lag dabei bei </w:t>
      </w:r>
      <w:r w:rsidR="0079745C" w:rsidRPr="0079745C">
        <w:rPr>
          <w:rFonts w:ascii="Arial" w:hAnsi="Arial"/>
          <w:color w:val="000000"/>
        </w:rPr>
        <w:t>78</w:t>
      </w:r>
      <w:r w:rsidR="007E1F50" w:rsidRPr="0079745C">
        <w:rPr>
          <w:rFonts w:ascii="Arial" w:hAnsi="Arial"/>
          <w:color w:val="000000"/>
        </w:rPr>
        <w:t xml:space="preserve"> </w:t>
      </w:r>
      <w:r w:rsidR="0079745C" w:rsidRPr="007451E3">
        <w:rPr>
          <w:rFonts w:ascii="Arial" w:hAnsi="Arial"/>
          <w:color w:val="000000"/>
        </w:rPr>
        <w:t xml:space="preserve">Milliarden </w:t>
      </w:r>
      <w:r w:rsidR="007E1F50" w:rsidRPr="0079745C">
        <w:rPr>
          <w:rFonts w:ascii="Arial" w:hAnsi="Arial"/>
          <w:color w:val="000000"/>
        </w:rPr>
        <w:t>US-Dollar</w:t>
      </w:r>
      <w:r w:rsidR="0079745C" w:rsidRPr="0079745C">
        <w:rPr>
          <w:rFonts w:ascii="Arial" w:hAnsi="Arial"/>
          <w:color w:val="000000"/>
        </w:rPr>
        <w:t xml:space="preserve"> </w:t>
      </w:r>
      <w:r w:rsidR="00D43CF0" w:rsidRPr="0079745C">
        <w:rPr>
          <w:rFonts w:ascii="Arial" w:hAnsi="Arial"/>
          <w:color w:val="000000"/>
        </w:rPr>
        <w:t xml:space="preserve">– </w:t>
      </w:r>
      <w:r w:rsidR="007E1F50" w:rsidRPr="0079745C">
        <w:rPr>
          <w:rFonts w:ascii="Arial" w:hAnsi="Arial"/>
          <w:color w:val="000000"/>
        </w:rPr>
        <w:t xml:space="preserve">das </w:t>
      </w:r>
      <w:r w:rsidR="0079745C" w:rsidRPr="0079745C">
        <w:rPr>
          <w:rFonts w:ascii="Arial" w:hAnsi="Arial"/>
          <w:color w:val="000000"/>
        </w:rPr>
        <w:t>fünft</w:t>
      </w:r>
      <w:r w:rsidRPr="0079745C">
        <w:rPr>
          <w:rFonts w:ascii="Arial" w:hAnsi="Arial"/>
          <w:color w:val="000000"/>
        </w:rPr>
        <w:t>höchste Handelsbilanzdefizit</w:t>
      </w:r>
      <w:r w:rsidR="007E1F50" w:rsidRPr="0079745C">
        <w:rPr>
          <w:rFonts w:ascii="Arial" w:hAnsi="Arial"/>
          <w:color w:val="000000"/>
        </w:rPr>
        <w:t xml:space="preserve"> der USA gegenüber einem einzelnen Staat.</w:t>
      </w:r>
      <w:r w:rsidR="00790D08">
        <w:rPr>
          <w:rFonts w:ascii="Arial" w:hAnsi="Arial"/>
          <w:color w:val="000000"/>
        </w:rPr>
        <w:t xml:space="preserve"> Vor Deutschland bzw. hinter China standen im Jahr 2022 die </w:t>
      </w:r>
      <w:r w:rsidR="00790D08" w:rsidRPr="007451E3">
        <w:rPr>
          <w:rFonts w:ascii="Arial" w:hAnsi="Arial"/>
          <w:color w:val="000000"/>
        </w:rPr>
        <w:t>Handelsbilanzdefizit</w:t>
      </w:r>
      <w:r w:rsidR="00790D08">
        <w:rPr>
          <w:rFonts w:ascii="Arial" w:hAnsi="Arial"/>
          <w:color w:val="000000"/>
        </w:rPr>
        <w:t xml:space="preserve">e </w:t>
      </w:r>
      <w:r w:rsidR="00D34CBC">
        <w:rPr>
          <w:rFonts w:ascii="Arial" w:hAnsi="Arial"/>
          <w:color w:val="000000"/>
        </w:rPr>
        <w:t xml:space="preserve">der USA </w:t>
      </w:r>
      <w:r w:rsidR="00790D08">
        <w:rPr>
          <w:rFonts w:ascii="Arial" w:hAnsi="Arial"/>
          <w:color w:val="000000"/>
        </w:rPr>
        <w:t xml:space="preserve">gegenüber </w:t>
      </w:r>
      <w:r w:rsidR="00790D08" w:rsidRPr="00790D08">
        <w:rPr>
          <w:rFonts w:ascii="Arial" w:hAnsi="Arial"/>
          <w:color w:val="000000"/>
        </w:rPr>
        <w:t xml:space="preserve">Mexiko (135 Mrd. </w:t>
      </w:r>
      <w:r w:rsidR="00790D08" w:rsidRPr="00CD0729">
        <w:rPr>
          <w:rFonts w:ascii="Arial" w:hAnsi="Arial"/>
          <w:color w:val="000000"/>
          <w:lang w:val="en-US"/>
        </w:rPr>
        <w:t xml:space="preserve">US-Dollar), Vietnam (124 </w:t>
      </w:r>
      <w:proofErr w:type="spellStart"/>
      <w:r w:rsidR="00790D08" w:rsidRPr="00CD0729">
        <w:rPr>
          <w:rFonts w:ascii="Arial" w:hAnsi="Arial"/>
          <w:color w:val="000000"/>
          <w:lang w:val="en-US"/>
        </w:rPr>
        <w:t>Mrd</w:t>
      </w:r>
      <w:proofErr w:type="spellEnd"/>
      <w:r w:rsidR="00790D08" w:rsidRPr="00CD0729">
        <w:rPr>
          <w:rFonts w:ascii="Arial" w:hAnsi="Arial"/>
          <w:color w:val="000000"/>
          <w:lang w:val="en-US"/>
        </w:rPr>
        <w:t xml:space="preserve">. US-Dollar) und </w:t>
      </w:r>
      <w:proofErr w:type="spellStart"/>
      <w:r w:rsidR="00790D08" w:rsidRPr="00CD0729">
        <w:rPr>
          <w:rFonts w:ascii="Arial" w:hAnsi="Arial"/>
          <w:color w:val="000000"/>
          <w:lang w:val="en-US"/>
        </w:rPr>
        <w:t>Kanada</w:t>
      </w:r>
      <w:proofErr w:type="spellEnd"/>
      <w:r w:rsidR="00790D08" w:rsidRPr="00CD0729">
        <w:rPr>
          <w:rFonts w:ascii="Arial" w:hAnsi="Arial"/>
          <w:color w:val="000000"/>
          <w:lang w:val="en-US"/>
        </w:rPr>
        <w:t xml:space="preserve"> (92 </w:t>
      </w:r>
      <w:proofErr w:type="spellStart"/>
      <w:r w:rsidR="00790D08" w:rsidRPr="00CD0729">
        <w:rPr>
          <w:rFonts w:ascii="Arial" w:hAnsi="Arial"/>
          <w:color w:val="000000"/>
          <w:lang w:val="en-US"/>
        </w:rPr>
        <w:t>Mrd</w:t>
      </w:r>
      <w:proofErr w:type="spellEnd"/>
      <w:r w:rsidR="00790D08" w:rsidRPr="00CD0729">
        <w:rPr>
          <w:rFonts w:ascii="Arial" w:hAnsi="Arial"/>
          <w:color w:val="000000"/>
          <w:lang w:val="en-US"/>
        </w:rPr>
        <w:t>. US-Dollar).</w:t>
      </w:r>
    </w:p>
    <w:p w14:paraId="0C42F9DD" w14:textId="77777777" w:rsidR="00241FC7" w:rsidRPr="00CD0729" w:rsidRDefault="00241FC7">
      <w:pPr>
        <w:rPr>
          <w:rFonts w:ascii="Arial" w:hAnsi="Arial"/>
          <w:color w:val="000000"/>
          <w:lang w:val="en-US"/>
        </w:rPr>
      </w:pPr>
    </w:p>
    <w:p w14:paraId="007843EB" w14:textId="77777777" w:rsidR="008B71AA" w:rsidRDefault="00F46B0C">
      <w:pPr>
        <w:rPr>
          <w:rFonts w:ascii="Arial" w:hAnsi="Arial"/>
          <w:color w:val="000000"/>
        </w:rPr>
      </w:pPr>
      <w:r w:rsidRPr="008B71AA">
        <w:rPr>
          <w:rFonts w:ascii="Arial" w:hAnsi="Arial"/>
          <w:color w:val="000000"/>
        </w:rPr>
        <w:t>Neben de</w:t>
      </w:r>
      <w:r w:rsidR="00C64FF4">
        <w:rPr>
          <w:rFonts w:ascii="Arial" w:hAnsi="Arial"/>
          <w:color w:val="000000"/>
        </w:rPr>
        <w:t>m</w:t>
      </w:r>
      <w:r w:rsidRPr="008B71AA">
        <w:rPr>
          <w:rFonts w:ascii="Arial" w:hAnsi="Arial"/>
          <w:color w:val="000000"/>
        </w:rPr>
        <w:t xml:space="preserve"> Handelsbilanzdefizit der USA weitet</w:t>
      </w:r>
      <w:r w:rsidR="008B71AA" w:rsidRPr="008B71AA">
        <w:rPr>
          <w:rFonts w:ascii="Arial" w:hAnsi="Arial"/>
          <w:color w:val="000000"/>
        </w:rPr>
        <w:t>e</w:t>
      </w:r>
      <w:r w:rsidRPr="008B71AA">
        <w:rPr>
          <w:rFonts w:ascii="Arial" w:hAnsi="Arial"/>
          <w:color w:val="000000"/>
        </w:rPr>
        <w:t xml:space="preserve"> sich seit </w:t>
      </w:r>
      <w:r w:rsidR="00C64FF4">
        <w:rPr>
          <w:rFonts w:ascii="Arial" w:hAnsi="Arial"/>
          <w:color w:val="000000"/>
        </w:rPr>
        <w:t xml:space="preserve">Ende der 1990er-Jahre </w:t>
      </w:r>
      <w:r w:rsidRPr="008B71AA">
        <w:rPr>
          <w:rFonts w:ascii="Arial" w:hAnsi="Arial"/>
          <w:color w:val="000000"/>
        </w:rPr>
        <w:t>auch d</w:t>
      </w:r>
      <w:r w:rsidR="00C64FF4">
        <w:rPr>
          <w:rFonts w:ascii="Arial" w:hAnsi="Arial"/>
          <w:color w:val="000000"/>
        </w:rPr>
        <w:t xml:space="preserve">as </w:t>
      </w:r>
      <w:r w:rsidRPr="008B71AA">
        <w:rPr>
          <w:rFonts w:ascii="Arial" w:hAnsi="Arial"/>
          <w:color w:val="000000"/>
        </w:rPr>
        <w:t xml:space="preserve">Defizit </w:t>
      </w:r>
      <w:r w:rsidR="00DA69E0" w:rsidRPr="008B71AA">
        <w:rPr>
          <w:rFonts w:ascii="Arial" w:hAnsi="Arial"/>
          <w:color w:val="000000"/>
        </w:rPr>
        <w:t xml:space="preserve">des Vereinigten Königreichs </w:t>
      </w:r>
      <w:r w:rsidR="008B71AA" w:rsidRPr="008B71AA">
        <w:rPr>
          <w:rFonts w:ascii="Arial" w:hAnsi="Arial"/>
          <w:color w:val="000000"/>
        </w:rPr>
        <w:t xml:space="preserve">aus – im Zeitraum 2015 bis 2022 lag das Minus bei 222 </w:t>
      </w:r>
      <w:r w:rsidR="008B71AA" w:rsidRPr="007451E3">
        <w:rPr>
          <w:rFonts w:ascii="Arial" w:hAnsi="Arial"/>
          <w:color w:val="000000"/>
        </w:rPr>
        <w:t xml:space="preserve">Milliarden </w:t>
      </w:r>
      <w:r w:rsidRPr="008B71AA">
        <w:rPr>
          <w:rFonts w:ascii="Arial" w:hAnsi="Arial"/>
          <w:color w:val="000000"/>
        </w:rPr>
        <w:t>US-Dollar</w:t>
      </w:r>
      <w:r w:rsidR="008B71AA" w:rsidRPr="008B71AA">
        <w:rPr>
          <w:rFonts w:ascii="Arial" w:hAnsi="Arial"/>
          <w:color w:val="000000"/>
        </w:rPr>
        <w:t xml:space="preserve"> pro Jahr</w:t>
      </w:r>
      <w:r w:rsidR="008A013B">
        <w:rPr>
          <w:rFonts w:ascii="Arial" w:hAnsi="Arial"/>
          <w:color w:val="000000"/>
        </w:rPr>
        <w:t xml:space="preserve"> (</w:t>
      </w:r>
      <w:r w:rsidR="008A013B" w:rsidRPr="007451E3">
        <w:rPr>
          <w:rFonts w:ascii="Arial" w:hAnsi="Arial"/>
          <w:color w:val="000000"/>
        </w:rPr>
        <w:t xml:space="preserve">ø </w:t>
      </w:r>
      <w:r w:rsidR="008A013B">
        <w:rPr>
          <w:rFonts w:ascii="Arial" w:hAnsi="Arial"/>
          <w:color w:val="000000"/>
        </w:rPr>
        <w:t>7,7</w:t>
      </w:r>
      <w:r w:rsidR="008A013B" w:rsidRPr="007451E3">
        <w:rPr>
          <w:rFonts w:ascii="Arial" w:hAnsi="Arial"/>
          <w:color w:val="000000"/>
        </w:rPr>
        <w:t xml:space="preserve"> Prozent des BIP</w:t>
      </w:r>
      <w:r w:rsidR="008A013B">
        <w:rPr>
          <w:rFonts w:ascii="Arial" w:hAnsi="Arial"/>
          <w:color w:val="000000"/>
        </w:rPr>
        <w:t>)</w:t>
      </w:r>
      <w:r w:rsidR="008B71AA" w:rsidRPr="008B71AA">
        <w:rPr>
          <w:rFonts w:ascii="Arial" w:hAnsi="Arial"/>
          <w:color w:val="000000"/>
        </w:rPr>
        <w:t>. Seit 200</w:t>
      </w:r>
      <w:r w:rsidR="00D03A1B">
        <w:rPr>
          <w:rFonts w:ascii="Arial" w:hAnsi="Arial"/>
          <w:color w:val="000000"/>
        </w:rPr>
        <w:t>5</w:t>
      </w:r>
      <w:r w:rsidR="008B71AA" w:rsidRPr="008B71AA">
        <w:rPr>
          <w:rFonts w:ascii="Arial" w:hAnsi="Arial"/>
          <w:color w:val="000000"/>
        </w:rPr>
        <w:t xml:space="preserve"> verzeichnen insbesondere </w:t>
      </w:r>
      <w:r w:rsidR="007414AA" w:rsidRPr="008B71AA">
        <w:rPr>
          <w:rFonts w:ascii="Arial" w:hAnsi="Arial"/>
          <w:color w:val="000000"/>
        </w:rPr>
        <w:t>Indien, Frankreich</w:t>
      </w:r>
      <w:r w:rsidR="008B71AA" w:rsidRPr="008B71AA">
        <w:rPr>
          <w:rFonts w:ascii="Arial" w:hAnsi="Arial"/>
          <w:color w:val="000000"/>
        </w:rPr>
        <w:t xml:space="preserve"> </w:t>
      </w:r>
      <w:r w:rsidR="007414AA" w:rsidRPr="008B71AA">
        <w:rPr>
          <w:rFonts w:ascii="Arial" w:hAnsi="Arial"/>
          <w:color w:val="000000"/>
        </w:rPr>
        <w:t xml:space="preserve">sowie </w:t>
      </w:r>
      <w:r w:rsidR="008B71AA" w:rsidRPr="008B71AA">
        <w:rPr>
          <w:rFonts w:ascii="Arial" w:hAnsi="Arial"/>
          <w:color w:val="000000"/>
        </w:rPr>
        <w:t xml:space="preserve">die </w:t>
      </w:r>
      <w:r w:rsidR="007414AA" w:rsidRPr="008B71AA">
        <w:rPr>
          <w:rFonts w:ascii="Arial" w:hAnsi="Arial"/>
          <w:color w:val="000000"/>
        </w:rPr>
        <w:t xml:space="preserve">Türkei </w:t>
      </w:r>
      <w:r w:rsidRPr="008B71AA">
        <w:rPr>
          <w:rFonts w:ascii="Arial" w:hAnsi="Arial"/>
          <w:color w:val="000000"/>
        </w:rPr>
        <w:t xml:space="preserve">auffällig </w:t>
      </w:r>
      <w:r w:rsidR="008B71AA" w:rsidRPr="008B71AA">
        <w:rPr>
          <w:rFonts w:ascii="Arial" w:hAnsi="Arial"/>
          <w:color w:val="000000"/>
        </w:rPr>
        <w:t xml:space="preserve">hohe Handelsbilanzdefizite – in den Jahren 2015 bis 2022 lagen die Defizite bei durchschnittlich </w:t>
      </w:r>
      <w:r w:rsidR="008B71AA">
        <w:rPr>
          <w:rFonts w:ascii="Arial" w:hAnsi="Arial"/>
          <w:color w:val="000000"/>
        </w:rPr>
        <w:t>159</w:t>
      </w:r>
      <w:r w:rsidR="008B71AA" w:rsidRPr="008B71AA">
        <w:rPr>
          <w:rFonts w:ascii="Arial" w:hAnsi="Arial"/>
          <w:color w:val="000000"/>
        </w:rPr>
        <w:t xml:space="preserve">, </w:t>
      </w:r>
      <w:r w:rsidR="008B71AA">
        <w:rPr>
          <w:rFonts w:ascii="Arial" w:hAnsi="Arial"/>
          <w:color w:val="000000"/>
        </w:rPr>
        <w:t>102</w:t>
      </w:r>
      <w:r w:rsidR="008B71AA" w:rsidRPr="008B71AA">
        <w:rPr>
          <w:rFonts w:ascii="Arial" w:hAnsi="Arial"/>
          <w:color w:val="000000"/>
        </w:rPr>
        <w:t xml:space="preserve"> bzw. </w:t>
      </w:r>
      <w:r w:rsidR="008B71AA">
        <w:rPr>
          <w:rFonts w:ascii="Arial" w:hAnsi="Arial"/>
          <w:color w:val="000000"/>
        </w:rPr>
        <w:t>6</w:t>
      </w:r>
      <w:r w:rsidR="008B71AA" w:rsidRPr="008B71AA">
        <w:rPr>
          <w:rFonts w:ascii="Arial" w:hAnsi="Arial"/>
          <w:color w:val="000000"/>
        </w:rPr>
        <w:t xml:space="preserve">0 </w:t>
      </w:r>
      <w:r w:rsidR="008B71AA" w:rsidRPr="007451E3">
        <w:rPr>
          <w:rFonts w:ascii="Arial" w:hAnsi="Arial"/>
          <w:color w:val="000000"/>
        </w:rPr>
        <w:t xml:space="preserve">Milliarden </w:t>
      </w:r>
      <w:r w:rsidR="008B71AA" w:rsidRPr="008B71AA">
        <w:rPr>
          <w:rFonts w:ascii="Arial" w:hAnsi="Arial"/>
          <w:color w:val="000000"/>
        </w:rPr>
        <w:t>US-Dollar.</w:t>
      </w:r>
    </w:p>
    <w:p w14:paraId="20D23D6E" w14:textId="77777777" w:rsidR="00241FC7" w:rsidRDefault="00241FC7">
      <w:pPr>
        <w:rPr>
          <w:rFonts w:ascii="Arial" w:hAnsi="Arial"/>
          <w:color w:val="000000"/>
        </w:rPr>
      </w:pPr>
    </w:p>
    <w:p w14:paraId="3C8B5B23" w14:textId="77777777" w:rsidR="0092465D" w:rsidRDefault="006E67FA" w:rsidP="00CC7579">
      <w:pPr>
        <w:rPr>
          <w:rFonts w:ascii="Arial" w:hAnsi="Arial"/>
          <w:color w:val="000000"/>
        </w:rPr>
      </w:pPr>
      <w:r w:rsidRPr="00CB7A88">
        <w:rPr>
          <w:rFonts w:ascii="Arial" w:hAnsi="Arial"/>
          <w:color w:val="000000"/>
        </w:rPr>
        <w:t>D</w:t>
      </w:r>
      <w:r w:rsidR="00DF11A6" w:rsidRPr="00CB7A88">
        <w:rPr>
          <w:rFonts w:ascii="Arial" w:hAnsi="Arial"/>
          <w:color w:val="000000"/>
        </w:rPr>
        <w:t>i</w:t>
      </w:r>
      <w:r w:rsidRPr="00CB7A88">
        <w:rPr>
          <w:rFonts w:ascii="Arial" w:hAnsi="Arial"/>
          <w:color w:val="000000"/>
        </w:rPr>
        <w:t>e</w:t>
      </w:r>
      <w:r w:rsidR="00DF11A6" w:rsidRPr="00CB7A88">
        <w:rPr>
          <w:rFonts w:ascii="Arial" w:hAnsi="Arial"/>
          <w:color w:val="000000"/>
        </w:rPr>
        <w:t>se</w:t>
      </w:r>
      <w:r w:rsidRPr="00CB7A88">
        <w:rPr>
          <w:rFonts w:ascii="Arial" w:hAnsi="Arial"/>
          <w:color w:val="000000"/>
        </w:rPr>
        <w:t xml:space="preserve">n Handelsbilanzdefiziten stehen Handelsbilanzüberschüsse </w:t>
      </w:r>
      <w:r w:rsidR="00510A3C" w:rsidRPr="00CB7A88">
        <w:rPr>
          <w:rFonts w:ascii="Arial" w:hAnsi="Arial"/>
          <w:color w:val="000000"/>
        </w:rPr>
        <w:t xml:space="preserve">insbesondere </w:t>
      </w:r>
      <w:r w:rsidRPr="00CB7A88">
        <w:rPr>
          <w:rFonts w:ascii="Arial" w:hAnsi="Arial"/>
          <w:color w:val="000000"/>
        </w:rPr>
        <w:t xml:space="preserve">von </w:t>
      </w:r>
      <w:r w:rsidR="006C135C" w:rsidRPr="00CB7A88">
        <w:rPr>
          <w:rFonts w:ascii="Arial" w:hAnsi="Arial"/>
          <w:color w:val="000000"/>
        </w:rPr>
        <w:t>China</w:t>
      </w:r>
      <w:r w:rsidR="00DF11A6" w:rsidRPr="00CB7A88">
        <w:rPr>
          <w:rFonts w:ascii="Arial" w:hAnsi="Arial"/>
          <w:color w:val="000000"/>
        </w:rPr>
        <w:t xml:space="preserve"> </w:t>
      </w:r>
      <w:r w:rsidR="006C135C" w:rsidRPr="00CB7A88">
        <w:rPr>
          <w:rFonts w:ascii="Arial" w:hAnsi="Arial"/>
          <w:color w:val="000000"/>
        </w:rPr>
        <w:t xml:space="preserve">und </w:t>
      </w:r>
      <w:r w:rsidRPr="00CB7A88">
        <w:rPr>
          <w:rFonts w:ascii="Arial" w:hAnsi="Arial"/>
          <w:color w:val="000000"/>
        </w:rPr>
        <w:t xml:space="preserve">Deutschland sowie </w:t>
      </w:r>
      <w:r w:rsidR="00DF11A6" w:rsidRPr="00CB7A88">
        <w:rPr>
          <w:rFonts w:ascii="Arial" w:hAnsi="Arial"/>
          <w:color w:val="000000"/>
        </w:rPr>
        <w:t xml:space="preserve">den </w:t>
      </w:r>
      <w:r w:rsidRPr="00CB7A88">
        <w:rPr>
          <w:rFonts w:ascii="Arial" w:hAnsi="Arial"/>
          <w:color w:val="000000"/>
        </w:rPr>
        <w:t>Öl</w:t>
      </w:r>
      <w:r w:rsidR="000C2A8B" w:rsidRPr="00CB7A88">
        <w:rPr>
          <w:rFonts w:ascii="Arial" w:hAnsi="Arial"/>
          <w:color w:val="000000"/>
        </w:rPr>
        <w:t>-</w:t>
      </w:r>
      <w:r w:rsidRPr="00CB7A88">
        <w:rPr>
          <w:rFonts w:ascii="Arial" w:hAnsi="Arial"/>
          <w:color w:val="000000"/>
        </w:rPr>
        <w:t xml:space="preserve"> und Gas</w:t>
      </w:r>
      <w:r w:rsidR="000C2A8B" w:rsidRPr="00CB7A88">
        <w:rPr>
          <w:rFonts w:ascii="Arial" w:hAnsi="Arial"/>
          <w:color w:val="000000"/>
        </w:rPr>
        <w:t>exporteuren</w:t>
      </w:r>
      <w:r w:rsidRPr="00CB7A88">
        <w:rPr>
          <w:rFonts w:ascii="Arial" w:hAnsi="Arial"/>
          <w:color w:val="000000"/>
        </w:rPr>
        <w:t xml:space="preserve"> </w:t>
      </w:r>
      <w:r w:rsidR="00DF11A6" w:rsidRPr="00CB7A88">
        <w:rPr>
          <w:rFonts w:ascii="Arial" w:hAnsi="Arial"/>
          <w:color w:val="000000"/>
        </w:rPr>
        <w:t xml:space="preserve">Russland, </w:t>
      </w:r>
      <w:r w:rsidR="006C135C" w:rsidRPr="00CB7A88">
        <w:rPr>
          <w:rFonts w:ascii="Arial" w:hAnsi="Arial"/>
          <w:color w:val="000000"/>
        </w:rPr>
        <w:t xml:space="preserve">Saudi-Arabien </w:t>
      </w:r>
      <w:r w:rsidR="00DF11A6" w:rsidRPr="00CB7A88">
        <w:rPr>
          <w:rFonts w:ascii="Arial" w:hAnsi="Arial"/>
          <w:color w:val="000000"/>
        </w:rPr>
        <w:t xml:space="preserve">und den </w:t>
      </w:r>
      <w:r w:rsidR="009A0D06" w:rsidRPr="00CB7A88">
        <w:rPr>
          <w:rFonts w:ascii="Arial" w:hAnsi="Arial"/>
          <w:color w:val="000000"/>
        </w:rPr>
        <w:t>Vereinigte</w:t>
      </w:r>
      <w:r w:rsidR="00DF11A6" w:rsidRPr="00CB7A88">
        <w:rPr>
          <w:rFonts w:ascii="Arial" w:hAnsi="Arial"/>
          <w:color w:val="000000"/>
        </w:rPr>
        <w:t>n</w:t>
      </w:r>
      <w:r w:rsidR="009A0D06" w:rsidRPr="00CB7A88">
        <w:rPr>
          <w:rFonts w:ascii="Arial" w:hAnsi="Arial"/>
          <w:color w:val="000000"/>
        </w:rPr>
        <w:t xml:space="preserve"> Arabische</w:t>
      </w:r>
      <w:r w:rsidR="00DF11A6" w:rsidRPr="00CB7A88">
        <w:rPr>
          <w:rFonts w:ascii="Arial" w:hAnsi="Arial"/>
          <w:color w:val="000000"/>
        </w:rPr>
        <w:t>n</w:t>
      </w:r>
      <w:r w:rsidR="009A0D06" w:rsidRPr="00CB7A88">
        <w:rPr>
          <w:rFonts w:ascii="Arial" w:hAnsi="Arial"/>
          <w:color w:val="000000"/>
        </w:rPr>
        <w:t xml:space="preserve"> Emirate</w:t>
      </w:r>
      <w:r w:rsidR="00DF11A6" w:rsidRPr="00CB7A88">
        <w:rPr>
          <w:rFonts w:ascii="Arial" w:hAnsi="Arial"/>
          <w:color w:val="000000"/>
        </w:rPr>
        <w:t>n gegenüber</w:t>
      </w:r>
      <w:r w:rsidR="006C135C" w:rsidRPr="00CB7A88">
        <w:rPr>
          <w:rFonts w:ascii="Arial" w:hAnsi="Arial"/>
          <w:color w:val="000000"/>
        </w:rPr>
        <w:t>.</w:t>
      </w:r>
      <w:r w:rsidR="00DF11A6" w:rsidRPr="00CB7A88">
        <w:rPr>
          <w:rFonts w:ascii="Arial" w:hAnsi="Arial"/>
          <w:color w:val="000000"/>
        </w:rPr>
        <w:t xml:space="preserve"> </w:t>
      </w:r>
      <w:r w:rsidR="00DA1330" w:rsidRPr="00CB7A88">
        <w:rPr>
          <w:rFonts w:ascii="Arial" w:hAnsi="Arial"/>
          <w:color w:val="000000"/>
        </w:rPr>
        <w:t xml:space="preserve">War die Handelsbilanz Chinas in den 1970er- und 1980er-Jahren insgesamt noch negativ, weitete sich der Handelsbilanzüberschuss </w:t>
      </w:r>
      <w:r w:rsidR="00CB7A88" w:rsidRPr="00CB7A88">
        <w:rPr>
          <w:rFonts w:ascii="Arial" w:hAnsi="Arial"/>
          <w:color w:val="000000"/>
        </w:rPr>
        <w:t xml:space="preserve">in den folgenden Jahrzehnten immer weiter aus: Von durchschnittlich 16 </w:t>
      </w:r>
      <w:r w:rsidR="00CB7A88" w:rsidRPr="007451E3">
        <w:rPr>
          <w:rFonts w:ascii="Arial" w:hAnsi="Arial"/>
          <w:color w:val="000000"/>
        </w:rPr>
        <w:t xml:space="preserve">Milliarden </w:t>
      </w:r>
      <w:r w:rsidR="00CB7A88" w:rsidRPr="008B71AA">
        <w:rPr>
          <w:rFonts w:ascii="Arial" w:hAnsi="Arial"/>
          <w:color w:val="000000"/>
        </w:rPr>
        <w:t>US-Dollar</w:t>
      </w:r>
      <w:r w:rsidR="00CB7A88">
        <w:rPr>
          <w:rFonts w:ascii="Arial" w:hAnsi="Arial"/>
          <w:color w:val="000000"/>
        </w:rPr>
        <w:t xml:space="preserve"> in den 1990er-Jahren – über 117</w:t>
      </w:r>
      <w:r w:rsidR="00CB7A88" w:rsidRPr="00CB7A88">
        <w:rPr>
          <w:rFonts w:ascii="Arial" w:hAnsi="Arial"/>
          <w:color w:val="000000"/>
        </w:rPr>
        <w:t xml:space="preserve"> </w:t>
      </w:r>
      <w:r w:rsidR="00CB7A88" w:rsidRPr="007451E3">
        <w:rPr>
          <w:rFonts w:ascii="Arial" w:hAnsi="Arial"/>
          <w:color w:val="000000"/>
        </w:rPr>
        <w:t xml:space="preserve">Milliarden </w:t>
      </w:r>
      <w:r w:rsidR="00CB7A88" w:rsidRPr="008B71AA">
        <w:rPr>
          <w:rFonts w:ascii="Arial" w:hAnsi="Arial"/>
          <w:color w:val="000000"/>
        </w:rPr>
        <w:t>US-Dollar</w:t>
      </w:r>
      <w:r w:rsidR="00CB7A88">
        <w:rPr>
          <w:rFonts w:ascii="Arial" w:hAnsi="Arial"/>
          <w:color w:val="000000"/>
        </w:rPr>
        <w:t xml:space="preserve"> in den Jahren 2000 bis 2009 – auf jährlich 350 </w:t>
      </w:r>
      <w:r w:rsidR="00CB7A88" w:rsidRPr="007451E3">
        <w:rPr>
          <w:rFonts w:ascii="Arial" w:hAnsi="Arial"/>
          <w:color w:val="000000"/>
        </w:rPr>
        <w:t xml:space="preserve">Milliarden </w:t>
      </w:r>
      <w:r w:rsidR="00CB7A88" w:rsidRPr="008B71AA">
        <w:rPr>
          <w:rFonts w:ascii="Arial" w:hAnsi="Arial"/>
          <w:color w:val="000000"/>
        </w:rPr>
        <w:t>US-Dollar</w:t>
      </w:r>
      <w:r w:rsidR="00CB7A88">
        <w:rPr>
          <w:rFonts w:ascii="Arial" w:hAnsi="Arial"/>
          <w:color w:val="000000"/>
        </w:rPr>
        <w:t xml:space="preserve"> im Zeitraum 2010 bis 2019. Von 2020 bis 2022 lag der </w:t>
      </w:r>
      <w:r w:rsidR="00CB7A88" w:rsidRPr="00CB7A88">
        <w:rPr>
          <w:rFonts w:ascii="Arial" w:hAnsi="Arial"/>
          <w:color w:val="000000"/>
        </w:rPr>
        <w:t xml:space="preserve">Handelsbilanzüberschuss Chinas bei 691 </w:t>
      </w:r>
      <w:r w:rsidR="00CB7A88" w:rsidRPr="007451E3">
        <w:rPr>
          <w:rFonts w:ascii="Arial" w:hAnsi="Arial"/>
          <w:color w:val="000000"/>
        </w:rPr>
        <w:t xml:space="preserve">Milliarden </w:t>
      </w:r>
      <w:r w:rsidR="00CB7A88" w:rsidRPr="008B71AA">
        <w:rPr>
          <w:rFonts w:ascii="Arial" w:hAnsi="Arial"/>
          <w:color w:val="000000"/>
        </w:rPr>
        <w:t>US-Dollar</w:t>
      </w:r>
      <w:r w:rsidR="00CB7A88">
        <w:rPr>
          <w:rFonts w:ascii="Arial" w:hAnsi="Arial"/>
          <w:color w:val="000000"/>
        </w:rPr>
        <w:t xml:space="preserve"> pro Jahr (2022: 878 Mrd. US-Dollar).</w:t>
      </w:r>
    </w:p>
    <w:p w14:paraId="49341934" w14:textId="77777777" w:rsidR="00241FC7" w:rsidRDefault="00241FC7" w:rsidP="00CC7579">
      <w:pPr>
        <w:rPr>
          <w:rFonts w:ascii="Arial" w:hAnsi="Arial"/>
          <w:color w:val="000000"/>
        </w:rPr>
      </w:pPr>
    </w:p>
    <w:p w14:paraId="6EB7CCFC" w14:textId="77777777" w:rsidR="00113E50" w:rsidRDefault="00113E50" w:rsidP="00113E50">
      <w:pPr>
        <w:rPr>
          <w:rFonts w:ascii="Arial" w:hAnsi="Arial"/>
          <w:color w:val="000000"/>
        </w:rPr>
      </w:pPr>
      <w:r w:rsidRPr="00813A3F">
        <w:rPr>
          <w:rFonts w:ascii="Arial" w:hAnsi="Arial"/>
          <w:color w:val="000000"/>
        </w:rPr>
        <w:t>Deutschland hat in allen Jahren seit 1952 mehr Waren aus- als eingeführt</w:t>
      </w:r>
      <w:r w:rsidR="006E69A8" w:rsidRPr="00813A3F">
        <w:rPr>
          <w:rFonts w:ascii="Arial" w:hAnsi="Arial"/>
          <w:color w:val="000000"/>
        </w:rPr>
        <w:t>.</w:t>
      </w:r>
      <w:r w:rsidR="00241FC7">
        <w:rPr>
          <w:rFonts w:ascii="Arial" w:hAnsi="Arial"/>
          <w:color w:val="000000"/>
        </w:rPr>
        <w:t xml:space="preserve"> </w:t>
      </w:r>
      <w:r w:rsidR="006E69A8" w:rsidRPr="00813A3F">
        <w:rPr>
          <w:rFonts w:ascii="Arial" w:hAnsi="Arial"/>
          <w:color w:val="000000"/>
        </w:rPr>
        <w:t>Und i</w:t>
      </w:r>
      <w:r w:rsidR="00E11638" w:rsidRPr="00813A3F">
        <w:rPr>
          <w:rFonts w:ascii="Arial" w:hAnsi="Arial"/>
          <w:color w:val="000000"/>
        </w:rPr>
        <w:t xml:space="preserve">m Laufe der Zeit </w:t>
      </w:r>
      <w:r w:rsidRPr="00813A3F">
        <w:rPr>
          <w:rFonts w:ascii="Arial" w:hAnsi="Arial"/>
          <w:color w:val="000000"/>
        </w:rPr>
        <w:t xml:space="preserve">konnte der </w:t>
      </w:r>
      <w:r w:rsidRPr="00CB7A88">
        <w:rPr>
          <w:rFonts w:ascii="Arial" w:hAnsi="Arial"/>
          <w:color w:val="000000"/>
        </w:rPr>
        <w:t>Handelsbilanzüberschuss</w:t>
      </w:r>
      <w:r w:rsidR="00E11638">
        <w:rPr>
          <w:rFonts w:ascii="Arial" w:hAnsi="Arial"/>
          <w:color w:val="000000"/>
        </w:rPr>
        <w:t xml:space="preserve"> insgesamt deutlich gesteigert werden. In den 16 Jahren von 2006 bis 2021 wurde 15-mal ein </w:t>
      </w:r>
      <w:r w:rsidR="00E11638" w:rsidRPr="00CB7A88">
        <w:rPr>
          <w:rFonts w:ascii="Arial" w:hAnsi="Arial"/>
          <w:color w:val="000000"/>
        </w:rPr>
        <w:t>Handelsbilanzüberschuss</w:t>
      </w:r>
      <w:r w:rsidR="00E11638">
        <w:rPr>
          <w:rFonts w:ascii="Arial" w:hAnsi="Arial"/>
          <w:color w:val="000000"/>
        </w:rPr>
        <w:t xml:space="preserve"> von mehr als 200</w:t>
      </w:r>
      <w:r w:rsidR="00E11638" w:rsidRPr="00E11638">
        <w:rPr>
          <w:rFonts w:ascii="Arial" w:hAnsi="Arial"/>
          <w:color w:val="000000"/>
        </w:rPr>
        <w:t xml:space="preserve"> </w:t>
      </w:r>
      <w:r w:rsidR="00E11638" w:rsidRPr="007451E3">
        <w:rPr>
          <w:rFonts w:ascii="Arial" w:hAnsi="Arial"/>
          <w:color w:val="000000"/>
        </w:rPr>
        <w:t xml:space="preserve">Milliarden </w:t>
      </w:r>
      <w:r w:rsidR="00E11638" w:rsidRPr="008B71AA">
        <w:rPr>
          <w:rFonts w:ascii="Arial" w:hAnsi="Arial"/>
          <w:color w:val="000000"/>
        </w:rPr>
        <w:t>US-Dollar</w:t>
      </w:r>
      <w:r w:rsidR="00E11638">
        <w:rPr>
          <w:rFonts w:ascii="Arial" w:hAnsi="Arial"/>
          <w:color w:val="000000"/>
        </w:rPr>
        <w:t xml:space="preserve"> erzielt (2014: 287 Mrd. US-Dollar). </w:t>
      </w:r>
      <w:r w:rsidR="006E69A8">
        <w:rPr>
          <w:rFonts w:ascii="Arial" w:hAnsi="Arial"/>
          <w:color w:val="000000"/>
        </w:rPr>
        <w:t xml:space="preserve">Im Zeitraum 2015 bis 2022 lag der </w:t>
      </w:r>
      <w:r w:rsidR="006E69A8" w:rsidRPr="00CB7A88">
        <w:rPr>
          <w:rFonts w:ascii="Arial" w:hAnsi="Arial"/>
          <w:color w:val="000000"/>
        </w:rPr>
        <w:t>Handelsbilanzüberschuss</w:t>
      </w:r>
      <w:r w:rsidR="006E69A8">
        <w:rPr>
          <w:rFonts w:ascii="Arial" w:hAnsi="Arial"/>
          <w:color w:val="000000"/>
        </w:rPr>
        <w:t xml:space="preserve"> bei durchschnittlich 235 </w:t>
      </w:r>
      <w:r w:rsidR="006E69A8" w:rsidRPr="007451E3">
        <w:rPr>
          <w:rFonts w:ascii="Arial" w:hAnsi="Arial"/>
          <w:color w:val="000000"/>
        </w:rPr>
        <w:t xml:space="preserve">Milliarden </w:t>
      </w:r>
      <w:r w:rsidR="006E69A8" w:rsidRPr="008B71AA">
        <w:rPr>
          <w:rFonts w:ascii="Arial" w:hAnsi="Arial"/>
          <w:color w:val="000000"/>
        </w:rPr>
        <w:t>US-Dollar</w:t>
      </w:r>
      <w:r w:rsidR="006E69A8">
        <w:rPr>
          <w:rFonts w:ascii="Arial" w:hAnsi="Arial"/>
          <w:color w:val="000000"/>
        </w:rPr>
        <w:t xml:space="preserve"> pro Jahr</w:t>
      </w:r>
      <w:r w:rsidR="005E7885">
        <w:rPr>
          <w:rFonts w:ascii="Arial" w:hAnsi="Arial"/>
          <w:color w:val="000000"/>
        </w:rPr>
        <w:t>.</w:t>
      </w:r>
      <w:r w:rsidR="00241FC7">
        <w:rPr>
          <w:rFonts w:ascii="Arial" w:hAnsi="Arial"/>
          <w:color w:val="000000"/>
        </w:rPr>
        <w:t xml:space="preserve"> </w:t>
      </w:r>
      <w:r w:rsidR="005E7885">
        <w:rPr>
          <w:rFonts w:ascii="Arial" w:hAnsi="Arial"/>
          <w:color w:val="000000"/>
        </w:rPr>
        <w:t>A</w:t>
      </w:r>
      <w:r w:rsidR="006E69A8">
        <w:rPr>
          <w:rFonts w:ascii="Arial" w:hAnsi="Arial"/>
          <w:color w:val="000000"/>
        </w:rPr>
        <w:t xml:space="preserve">llerdings </w:t>
      </w:r>
      <w:r w:rsidR="005E7885">
        <w:rPr>
          <w:rFonts w:ascii="Arial" w:hAnsi="Arial"/>
          <w:color w:val="000000"/>
        </w:rPr>
        <w:t xml:space="preserve">hat </w:t>
      </w:r>
      <w:r w:rsidR="006E69A8" w:rsidRPr="006E69A8">
        <w:rPr>
          <w:rFonts w:ascii="Arial" w:hAnsi="Arial"/>
          <w:color w:val="000000"/>
        </w:rPr>
        <w:t xml:space="preserve">sich der Exportüberschuss </w:t>
      </w:r>
      <w:r w:rsidR="005E7885" w:rsidRPr="005E7885">
        <w:rPr>
          <w:rFonts w:ascii="Arial" w:hAnsi="Arial"/>
          <w:color w:val="000000"/>
        </w:rPr>
        <w:t xml:space="preserve">Deutschlands </w:t>
      </w:r>
      <w:r w:rsidR="005E7885">
        <w:rPr>
          <w:rFonts w:ascii="Arial" w:hAnsi="Arial"/>
          <w:color w:val="000000"/>
        </w:rPr>
        <w:t xml:space="preserve">von 2021 auf </w:t>
      </w:r>
      <w:r w:rsidR="006E69A8" w:rsidRPr="006E69A8">
        <w:rPr>
          <w:rFonts w:ascii="Arial" w:hAnsi="Arial"/>
          <w:color w:val="000000"/>
        </w:rPr>
        <w:t xml:space="preserve">2022 </w:t>
      </w:r>
      <w:r w:rsidR="005E7885">
        <w:rPr>
          <w:rFonts w:ascii="Arial" w:hAnsi="Arial"/>
          <w:color w:val="000000"/>
        </w:rPr>
        <w:t>mehr als halbiert</w:t>
      </w:r>
      <w:r w:rsidR="006E69A8" w:rsidRPr="005E7885">
        <w:rPr>
          <w:rFonts w:ascii="Arial" w:hAnsi="Arial"/>
          <w:color w:val="000000"/>
        </w:rPr>
        <w:t>. Ein wichtiger Grund hierfür waren die stark gestiegenen Preise für die Einfuhr von</w:t>
      </w:r>
      <w:r w:rsidR="006E69A8" w:rsidRPr="00B45373">
        <w:rPr>
          <w:rFonts w:ascii="Arial" w:hAnsi="Arial"/>
          <w:color w:val="000000"/>
        </w:rPr>
        <w:t xml:space="preserve"> </w:t>
      </w:r>
      <w:r w:rsidR="006E69A8" w:rsidRPr="005E7885">
        <w:rPr>
          <w:rFonts w:ascii="Arial" w:hAnsi="Arial"/>
          <w:color w:val="000000"/>
        </w:rPr>
        <w:t>Energie. Zudem verzeichnete Deutschland im Außenhandel mit China im Jahr</w:t>
      </w:r>
      <w:r w:rsidR="006E69A8" w:rsidRPr="00B45373">
        <w:rPr>
          <w:rFonts w:ascii="Arial" w:hAnsi="Arial"/>
          <w:color w:val="000000"/>
        </w:rPr>
        <w:t xml:space="preserve"> 2022 </w:t>
      </w:r>
      <w:r w:rsidR="006E69A8" w:rsidRPr="005E7885">
        <w:rPr>
          <w:rFonts w:ascii="Arial" w:hAnsi="Arial"/>
          <w:color w:val="000000"/>
        </w:rPr>
        <w:t>das größte Handelsdefizit seit Beginn der Zeitreihe des Statistischen Bundesamtes</w:t>
      </w:r>
      <w:r w:rsidR="006E69A8" w:rsidRPr="00B45373">
        <w:rPr>
          <w:rFonts w:ascii="Arial" w:hAnsi="Arial"/>
          <w:color w:val="000000"/>
        </w:rPr>
        <w:t xml:space="preserve"> </w:t>
      </w:r>
      <w:r w:rsidR="006E69A8" w:rsidRPr="005E7885">
        <w:rPr>
          <w:rFonts w:ascii="Arial" w:hAnsi="Arial"/>
          <w:color w:val="000000"/>
        </w:rPr>
        <w:t>im Jahr 1950</w:t>
      </w:r>
      <w:r w:rsidR="00C64FF4">
        <w:rPr>
          <w:rFonts w:ascii="Arial" w:hAnsi="Arial"/>
          <w:color w:val="000000"/>
        </w:rPr>
        <w:t xml:space="preserve"> (minus 85 Mrd. Euro)</w:t>
      </w:r>
      <w:r w:rsidR="006E69A8" w:rsidRPr="005E7885">
        <w:rPr>
          <w:rFonts w:ascii="Arial" w:hAnsi="Arial"/>
          <w:color w:val="000000"/>
        </w:rPr>
        <w:t>.</w:t>
      </w:r>
    </w:p>
    <w:p w14:paraId="1C3FCB5F" w14:textId="77777777" w:rsidR="00241FC7" w:rsidRDefault="00241FC7" w:rsidP="00113E50">
      <w:pPr>
        <w:rPr>
          <w:rFonts w:ascii="Arial" w:hAnsi="Arial"/>
          <w:color w:val="000000"/>
        </w:rPr>
      </w:pPr>
    </w:p>
    <w:p w14:paraId="5669BDAC" w14:textId="77777777" w:rsidR="00CC7579" w:rsidRDefault="00830048" w:rsidP="00DC4A77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Bezogen auf </w:t>
      </w:r>
      <w:r w:rsidR="00D03A1B">
        <w:rPr>
          <w:rFonts w:ascii="Arial" w:hAnsi="Arial"/>
          <w:color w:val="000000"/>
        </w:rPr>
        <w:t xml:space="preserve">den Zeitraum </w:t>
      </w:r>
      <w:r>
        <w:rPr>
          <w:rFonts w:ascii="Arial" w:hAnsi="Arial"/>
          <w:color w:val="000000"/>
        </w:rPr>
        <w:t xml:space="preserve">2015 bis 2022 folgten </w:t>
      </w:r>
      <w:r w:rsidR="006D75CB">
        <w:rPr>
          <w:rFonts w:ascii="Arial" w:hAnsi="Arial"/>
          <w:color w:val="000000"/>
        </w:rPr>
        <w:t xml:space="preserve">bei den </w:t>
      </w:r>
      <w:r w:rsidR="006D75CB" w:rsidRPr="00A850C8">
        <w:rPr>
          <w:rFonts w:ascii="Arial" w:hAnsi="Arial"/>
          <w:color w:val="000000"/>
        </w:rPr>
        <w:t>Handelsbilanzübersch</w:t>
      </w:r>
      <w:r w:rsidR="006D75CB">
        <w:rPr>
          <w:rFonts w:ascii="Arial" w:hAnsi="Arial"/>
          <w:color w:val="000000"/>
        </w:rPr>
        <w:t>üssen a</w:t>
      </w:r>
      <w:r>
        <w:rPr>
          <w:rFonts w:ascii="Arial" w:hAnsi="Arial"/>
          <w:color w:val="000000"/>
        </w:rPr>
        <w:t xml:space="preserve">uf </w:t>
      </w:r>
      <w:r w:rsidR="00113E50" w:rsidRPr="00CB7A88">
        <w:rPr>
          <w:rFonts w:ascii="Arial" w:hAnsi="Arial"/>
          <w:color w:val="000000"/>
        </w:rPr>
        <w:t xml:space="preserve">China </w:t>
      </w:r>
      <w:r>
        <w:rPr>
          <w:rFonts w:ascii="Arial" w:hAnsi="Arial"/>
          <w:color w:val="000000"/>
        </w:rPr>
        <w:t xml:space="preserve">und Deutschland </w:t>
      </w:r>
      <w:r w:rsidR="006D75CB">
        <w:rPr>
          <w:rFonts w:ascii="Arial" w:hAnsi="Arial"/>
          <w:color w:val="000000"/>
        </w:rPr>
        <w:t xml:space="preserve">drei wichtige Energieexporteure: </w:t>
      </w:r>
      <w:r w:rsidRPr="00830048">
        <w:rPr>
          <w:rFonts w:ascii="Arial" w:hAnsi="Arial"/>
          <w:color w:val="000000"/>
        </w:rPr>
        <w:t>Russland</w:t>
      </w:r>
      <w:r>
        <w:rPr>
          <w:rFonts w:ascii="Arial" w:hAnsi="Arial"/>
          <w:color w:val="000000"/>
        </w:rPr>
        <w:t xml:space="preserve"> (plus 161 Mrd. US-Dollar)</w:t>
      </w:r>
      <w:r w:rsidRPr="00830048">
        <w:rPr>
          <w:rFonts w:ascii="Arial" w:hAnsi="Arial"/>
          <w:color w:val="000000"/>
        </w:rPr>
        <w:t xml:space="preserve">, Saudi-Arabien </w:t>
      </w:r>
      <w:r>
        <w:rPr>
          <w:rFonts w:ascii="Arial" w:hAnsi="Arial"/>
          <w:color w:val="000000"/>
        </w:rPr>
        <w:t xml:space="preserve">(plus 101 Mrd. US-Dollar) </w:t>
      </w:r>
      <w:r w:rsidRPr="00830048">
        <w:rPr>
          <w:rFonts w:ascii="Arial" w:hAnsi="Arial"/>
          <w:color w:val="000000"/>
        </w:rPr>
        <w:t>und die Vereinigten Arabischen Emirat</w:t>
      </w:r>
      <w:r>
        <w:rPr>
          <w:rFonts w:ascii="Arial" w:hAnsi="Arial"/>
          <w:color w:val="000000"/>
        </w:rPr>
        <w:t>e (plus 88 Mrd. US-Dollar).</w:t>
      </w:r>
      <w:r w:rsidR="00D03A1B">
        <w:rPr>
          <w:rFonts w:ascii="Arial" w:hAnsi="Arial"/>
          <w:color w:val="000000"/>
        </w:rPr>
        <w:t xml:space="preserve"> </w:t>
      </w:r>
      <w:r w:rsidR="00BF6FDA">
        <w:rPr>
          <w:rFonts w:ascii="Arial" w:hAnsi="Arial"/>
          <w:color w:val="000000"/>
        </w:rPr>
        <w:t>U</w:t>
      </w:r>
      <w:r w:rsidR="006D75CB">
        <w:rPr>
          <w:rFonts w:ascii="Arial" w:hAnsi="Arial"/>
          <w:color w:val="000000"/>
        </w:rPr>
        <w:t xml:space="preserve">nter den </w:t>
      </w:r>
      <w:r w:rsidR="006D75CB" w:rsidRPr="00A850C8">
        <w:rPr>
          <w:rFonts w:ascii="Arial" w:hAnsi="Arial"/>
          <w:color w:val="000000"/>
        </w:rPr>
        <w:t>25 Staaten mit dem höchsten Handelsbilanzüberschuss in den Jahren 2015 bis 2022</w:t>
      </w:r>
      <w:r w:rsidR="006D75CB">
        <w:rPr>
          <w:rFonts w:ascii="Arial" w:hAnsi="Arial"/>
          <w:color w:val="000000"/>
        </w:rPr>
        <w:t xml:space="preserve"> </w:t>
      </w:r>
      <w:r w:rsidR="00BF6FDA">
        <w:rPr>
          <w:rFonts w:ascii="Arial" w:hAnsi="Arial"/>
          <w:color w:val="000000"/>
        </w:rPr>
        <w:t xml:space="preserve">waren insgesamt zehn, </w:t>
      </w:r>
      <w:r w:rsidR="00A850C8">
        <w:rPr>
          <w:rFonts w:ascii="Arial" w:hAnsi="Arial"/>
          <w:color w:val="000000"/>
        </w:rPr>
        <w:t xml:space="preserve">bei denen </w:t>
      </w:r>
      <w:r w:rsidR="00DC4A77">
        <w:rPr>
          <w:rFonts w:ascii="Arial" w:hAnsi="Arial"/>
          <w:color w:val="000000"/>
        </w:rPr>
        <w:t xml:space="preserve">die </w:t>
      </w:r>
      <w:r w:rsidR="00DC4A77" w:rsidRPr="00A850C8">
        <w:rPr>
          <w:rFonts w:ascii="Arial" w:hAnsi="Arial"/>
          <w:color w:val="000000"/>
        </w:rPr>
        <w:t>Handelsbilanzübersch</w:t>
      </w:r>
      <w:r w:rsidR="00DC4A77">
        <w:rPr>
          <w:rFonts w:ascii="Arial" w:hAnsi="Arial"/>
          <w:color w:val="000000"/>
        </w:rPr>
        <w:t>üsse</w:t>
      </w:r>
      <w:r w:rsidR="00BF6FDA">
        <w:rPr>
          <w:rFonts w:ascii="Arial" w:hAnsi="Arial"/>
          <w:color w:val="000000"/>
        </w:rPr>
        <w:t xml:space="preserve"> m</w:t>
      </w:r>
      <w:r w:rsidR="00DC4A77">
        <w:rPr>
          <w:rFonts w:ascii="Arial" w:hAnsi="Arial"/>
          <w:color w:val="000000"/>
        </w:rPr>
        <w:t>aßgeblich aus dem Energieexport resultieren</w:t>
      </w:r>
      <w:r w:rsidR="00BF6FDA">
        <w:rPr>
          <w:rFonts w:ascii="Arial" w:hAnsi="Arial"/>
          <w:color w:val="000000"/>
        </w:rPr>
        <w:t xml:space="preserve">. Neben den drei genannten </w:t>
      </w:r>
      <w:r w:rsidR="00D03A1B">
        <w:rPr>
          <w:rFonts w:ascii="Arial" w:hAnsi="Arial"/>
          <w:color w:val="000000"/>
        </w:rPr>
        <w:t xml:space="preserve">galt dies für </w:t>
      </w:r>
      <w:r w:rsidR="00BF6FDA">
        <w:rPr>
          <w:rFonts w:ascii="Arial" w:hAnsi="Arial"/>
          <w:color w:val="000000"/>
        </w:rPr>
        <w:t>K</w:t>
      </w:r>
      <w:r w:rsidR="00DC4A77" w:rsidRPr="00DC4A77">
        <w:rPr>
          <w:rFonts w:ascii="Arial" w:hAnsi="Arial"/>
          <w:color w:val="000000"/>
        </w:rPr>
        <w:t>atar, Norwegen, Kuwait, Iran, Kasachstan, Angola und Irak.</w:t>
      </w:r>
    </w:p>
    <w:p w14:paraId="319E583C" w14:textId="77777777" w:rsidR="00241FC7" w:rsidRDefault="00241FC7" w:rsidP="00DC4A77">
      <w:pPr>
        <w:rPr>
          <w:rFonts w:ascii="Arial" w:hAnsi="Arial"/>
          <w:color w:val="000000"/>
        </w:rPr>
      </w:pPr>
    </w:p>
    <w:p w14:paraId="22ABCD17" w14:textId="77777777" w:rsidR="00F46B0C" w:rsidRPr="00C8461D" w:rsidRDefault="00F46B0C" w:rsidP="00B55E72">
      <w:pPr>
        <w:rPr>
          <w:rFonts w:ascii="Arial" w:hAnsi="Arial"/>
          <w:color w:val="FF0000"/>
          <w:lang w:val="en-GB"/>
        </w:rPr>
      </w:pPr>
      <w:r w:rsidRPr="00C8461D">
        <w:rPr>
          <w:rFonts w:ascii="Arial" w:hAnsi="Arial"/>
          <w:color w:val="FF0000"/>
          <w:lang w:val="en-GB"/>
        </w:rPr>
        <w:t>Datenquelle</w:t>
      </w:r>
    </w:p>
    <w:p w14:paraId="33E7B649" w14:textId="77777777" w:rsidR="00F46B0C" w:rsidRPr="00C8461D" w:rsidRDefault="00F46B0C" w:rsidP="00B55E72">
      <w:pPr>
        <w:rPr>
          <w:rFonts w:ascii="Arial" w:hAnsi="Arial"/>
          <w:color w:val="000000"/>
          <w:lang w:val="en-US"/>
        </w:rPr>
      </w:pPr>
    </w:p>
    <w:p w14:paraId="5B48DA92" w14:textId="77777777" w:rsidR="00366331" w:rsidRDefault="00366331" w:rsidP="00B55E72">
      <w:pPr>
        <w:rPr>
          <w:rFonts w:ascii="Arial" w:hAnsi="Arial" w:cs="Arial"/>
        </w:rPr>
      </w:pPr>
      <w:r w:rsidRPr="00D51B8D">
        <w:rPr>
          <w:rFonts w:ascii="Arial" w:hAnsi="Arial" w:cs="Arial"/>
        </w:rPr>
        <w:t xml:space="preserve">United </w:t>
      </w:r>
      <w:proofErr w:type="spellStart"/>
      <w:r w:rsidRPr="00D51B8D">
        <w:rPr>
          <w:rFonts w:ascii="Arial" w:hAnsi="Arial" w:cs="Arial"/>
        </w:rPr>
        <w:t>Nations</w:t>
      </w:r>
      <w:proofErr w:type="spellEnd"/>
      <w:r w:rsidRPr="00D51B8D">
        <w:rPr>
          <w:rFonts w:ascii="Arial" w:hAnsi="Arial" w:cs="Arial"/>
        </w:rPr>
        <w:t xml:space="preserve"> Conference on Trade and Development (UNCTAD): Online-Datenbank: </w:t>
      </w:r>
      <w:proofErr w:type="spellStart"/>
      <w:r w:rsidRPr="00D51B8D">
        <w:rPr>
          <w:rFonts w:ascii="Arial" w:hAnsi="Arial" w:cs="Arial"/>
        </w:rPr>
        <w:t>UNCTADstat</w:t>
      </w:r>
      <w:proofErr w:type="spellEnd"/>
      <w:r w:rsidRPr="00D51B8D">
        <w:rPr>
          <w:rFonts w:ascii="Arial" w:hAnsi="Arial" w:cs="Arial"/>
        </w:rPr>
        <w:t xml:space="preserve"> (0</w:t>
      </w:r>
      <w:r>
        <w:rPr>
          <w:rFonts w:ascii="Arial" w:hAnsi="Arial" w:cs="Arial"/>
        </w:rPr>
        <w:t>8</w:t>
      </w:r>
      <w:r w:rsidRPr="00D51B8D">
        <w:rPr>
          <w:rFonts w:ascii="Arial" w:hAnsi="Arial" w:cs="Arial"/>
        </w:rPr>
        <w:t>/2023)</w:t>
      </w:r>
      <w:r w:rsidR="006E69A8">
        <w:rPr>
          <w:rFonts w:ascii="Arial" w:hAnsi="Arial" w:cs="Arial"/>
        </w:rPr>
        <w:t xml:space="preserve">; </w:t>
      </w:r>
      <w:r w:rsidR="006E69A8" w:rsidRPr="006E69A8">
        <w:rPr>
          <w:rFonts w:ascii="Arial" w:hAnsi="Arial" w:cs="Arial"/>
        </w:rPr>
        <w:t>Statistisches Bundesamt: Außenhandel</w:t>
      </w:r>
    </w:p>
    <w:p w14:paraId="14F5FAE5" w14:textId="77777777" w:rsidR="00D6383E" w:rsidRDefault="00D6383E" w:rsidP="00B55E72">
      <w:pPr>
        <w:rPr>
          <w:rFonts w:ascii="Arial" w:hAnsi="Arial" w:cs="Arial"/>
        </w:rPr>
      </w:pPr>
    </w:p>
    <w:p w14:paraId="3BA6CD3A" w14:textId="77777777" w:rsidR="00F46B0C" w:rsidRDefault="00F46B0C" w:rsidP="00B55E72">
      <w:pPr>
        <w:rPr>
          <w:rFonts w:ascii="Arial" w:hAnsi="Arial"/>
          <w:color w:val="FF0000"/>
        </w:rPr>
      </w:pPr>
      <w:r w:rsidRPr="008B3587">
        <w:rPr>
          <w:rFonts w:ascii="Arial" w:hAnsi="Arial"/>
          <w:color w:val="FF0000"/>
        </w:rPr>
        <w:t>Begriffe, methodische Anmerkungen oder Lesehilfen</w:t>
      </w:r>
    </w:p>
    <w:p w14:paraId="091C0017" w14:textId="77777777" w:rsidR="00B55E72" w:rsidRPr="00D6383E" w:rsidRDefault="00B55E72" w:rsidP="00B55E72">
      <w:pPr>
        <w:rPr>
          <w:rFonts w:ascii="Arial" w:hAnsi="Arial" w:cs="Arial"/>
        </w:rPr>
      </w:pPr>
    </w:p>
    <w:p w14:paraId="123C39EA" w14:textId="77777777" w:rsidR="00D458F2" w:rsidRDefault="00D458F2" w:rsidP="00B55E72">
      <w:pPr>
        <w:pStyle w:val="StandardWeb"/>
        <w:spacing w:before="0" w:beforeAutospacing="0" w:after="0" w:afterAutospacing="0"/>
        <w:rPr>
          <w:rFonts w:ascii="Arial" w:hAnsi="Arial" w:cs="Arial"/>
          <w:color w:val="000000"/>
        </w:rPr>
      </w:pPr>
      <w:r w:rsidRPr="00D6383E">
        <w:rPr>
          <w:rFonts w:ascii="Arial" w:hAnsi="Arial" w:cs="Arial"/>
          <w:color w:val="000000"/>
        </w:rPr>
        <w:t xml:space="preserve">Die </w:t>
      </w:r>
      <w:r w:rsidRPr="00D6383E">
        <w:rPr>
          <w:rFonts w:ascii="Arial" w:hAnsi="Arial" w:cs="Arial"/>
          <w:b/>
          <w:bCs/>
          <w:color w:val="000000"/>
        </w:rPr>
        <w:t>Handelsbilanz</w:t>
      </w:r>
      <w:r w:rsidRPr="00D6383E">
        <w:rPr>
          <w:rFonts w:ascii="Arial" w:hAnsi="Arial" w:cs="Arial"/>
          <w:color w:val="000000"/>
        </w:rPr>
        <w:t xml:space="preserve"> ist auf einen Zeitraum bezogen und gibt den Saldo der Warenausfuhren und -einfuhren eines Staates oder einer Staatengruppe an. Bei einem Handelsbilanzüberschuss bzw. -defizit erhöht sich die Gläubiger- bzw. Schuldnerposition gegenüber dem Ausland. Da die Handelsbilanz eine Teilbilanz der Leistungsbilanz ist, kann ein Ungleichgewicht der Handelsbilanz durch die Salden anderer Teilbilanzen ausgeglichen werden.</w:t>
      </w:r>
    </w:p>
    <w:p w14:paraId="2B868B65" w14:textId="77777777" w:rsidR="00241FC7" w:rsidRDefault="00241FC7" w:rsidP="00B55E72">
      <w:pPr>
        <w:pStyle w:val="Standard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39E5CCF" w14:textId="77777777" w:rsidR="0029317F" w:rsidRDefault="00D6383E" w:rsidP="0029317F">
      <w:pPr>
        <w:rPr>
          <w:rFonts w:ascii="Arial" w:hAnsi="Arial"/>
          <w:color w:val="000000"/>
        </w:rPr>
      </w:pPr>
      <w:r w:rsidRPr="00D6383E">
        <w:rPr>
          <w:rFonts w:ascii="Arial" w:hAnsi="Arial"/>
          <w:color w:val="000000"/>
        </w:rPr>
        <w:t>Nach der Defin</w:t>
      </w:r>
      <w:r w:rsidR="00E32927">
        <w:rPr>
          <w:rFonts w:ascii="Arial" w:hAnsi="Arial"/>
          <w:color w:val="000000"/>
        </w:rPr>
        <w:t>i</w:t>
      </w:r>
      <w:r w:rsidRPr="00D6383E">
        <w:rPr>
          <w:rFonts w:ascii="Arial" w:hAnsi="Arial"/>
          <w:color w:val="000000"/>
        </w:rPr>
        <w:t>tion der UNCTAD lag i</w:t>
      </w:r>
      <w:r w:rsidR="0029317F" w:rsidRPr="0029317F">
        <w:rPr>
          <w:rFonts w:ascii="Arial" w:hAnsi="Arial"/>
          <w:color w:val="000000"/>
        </w:rPr>
        <w:t xml:space="preserve">n </w:t>
      </w:r>
      <w:r w:rsidR="0029317F" w:rsidRPr="0029317F">
        <w:rPr>
          <w:rFonts w:ascii="Arial" w:hAnsi="Arial"/>
          <w:b/>
          <w:color w:val="000000"/>
        </w:rPr>
        <w:t>ökonomisch sich entwickelnde</w:t>
      </w:r>
      <w:r w:rsidR="00CE6E78">
        <w:rPr>
          <w:rFonts w:ascii="Arial" w:hAnsi="Arial"/>
          <w:b/>
          <w:color w:val="000000"/>
        </w:rPr>
        <w:t>n</w:t>
      </w:r>
      <w:r w:rsidR="0029317F" w:rsidRPr="0029317F">
        <w:rPr>
          <w:rFonts w:ascii="Arial" w:hAnsi="Arial"/>
          <w:b/>
          <w:color w:val="000000"/>
        </w:rPr>
        <w:t xml:space="preserve"> Staaten</w:t>
      </w:r>
      <w:r w:rsidR="0029317F" w:rsidRPr="0029317F">
        <w:rPr>
          <w:rFonts w:ascii="Arial" w:hAnsi="Arial"/>
          <w:color w:val="000000"/>
        </w:rPr>
        <w:t xml:space="preserve"> das BIP pro Kopf im Durchschnitt der Jahre 2019 bis 2021</w:t>
      </w:r>
      <w:r w:rsidR="0029317F">
        <w:rPr>
          <w:rFonts w:ascii="Arial" w:hAnsi="Arial"/>
          <w:color w:val="000000"/>
        </w:rPr>
        <w:t>…</w:t>
      </w:r>
    </w:p>
    <w:p w14:paraId="4D5B571A" w14:textId="77777777" w:rsidR="00092256" w:rsidRDefault="00092256" w:rsidP="0029317F">
      <w:pPr>
        <w:rPr>
          <w:rFonts w:ascii="Arial" w:hAnsi="Arial"/>
          <w:color w:val="000000"/>
        </w:rPr>
      </w:pPr>
    </w:p>
    <w:p w14:paraId="44295B7C" w14:textId="77777777" w:rsidR="0029317F" w:rsidRPr="0029317F" w:rsidRDefault="0029317F" w:rsidP="0029317F">
      <w:pPr>
        <w:pStyle w:val="Listenabsatz"/>
        <w:numPr>
          <w:ilvl w:val="0"/>
          <w:numId w:val="4"/>
        </w:numPr>
        <w:rPr>
          <w:rFonts w:ascii="Arial" w:hAnsi="Arial"/>
          <w:color w:val="000000"/>
        </w:rPr>
      </w:pPr>
      <w:r w:rsidRPr="0029317F">
        <w:rPr>
          <w:rFonts w:ascii="Arial" w:hAnsi="Arial"/>
          <w:color w:val="000000"/>
        </w:rPr>
        <w:t xml:space="preserve">bei Staaten mit </w:t>
      </w:r>
      <w:r w:rsidRPr="0029317F">
        <w:rPr>
          <w:rFonts w:ascii="Arial" w:hAnsi="Arial"/>
          <w:b/>
          <w:color w:val="000000"/>
        </w:rPr>
        <w:t>niedrigem</w:t>
      </w:r>
      <w:r w:rsidRPr="0029317F">
        <w:rPr>
          <w:rFonts w:ascii="Arial" w:hAnsi="Arial"/>
          <w:color w:val="000000"/>
        </w:rPr>
        <w:t xml:space="preserve"> </w:t>
      </w:r>
      <w:r w:rsidRPr="0029317F">
        <w:rPr>
          <w:rFonts w:ascii="Arial" w:hAnsi="Arial"/>
          <w:b/>
          <w:color w:val="000000"/>
        </w:rPr>
        <w:t>Einkommen</w:t>
      </w:r>
      <w:r w:rsidRPr="0029317F">
        <w:rPr>
          <w:rFonts w:ascii="Arial" w:hAnsi="Arial"/>
          <w:color w:val="000000"/>
        </w:rPr>
        <w:t xml:space="preserve"> bei weniger als 1.313 US$.</w:t>
      </w:r>
    </w:p>
    <w:p w14:paraId="01A77220" w14:textId="77777777" w:rsidR="0029317F" w:rsidRPr="0029317F" w:rsidRDefault="0029317F" w:rsidP="0029317F">
      <w:pPr>
        <w:pStyle w:val="Listenabsatz"/>
        <w:numPr>
          <w:ilvl w:val="0"/>
          <w:numId w:val="4"/>
        </w:numPr>
        <w:rPr>
          <w:rFonts w:ascii="Arial" w:hAnsi="Arial"/>
          <w:color w:val="000000"/>
        </w:rPr>
      </w:pPr>
      <w:r w:rsidRPr="0029317F">
        <w:rPr>
          <w:rFonts w:ascii="Arial" w:hAnsi="Arial"/>
          <w:color w:val="000000"/>
        </w:rPr>
        <w:t xml:space="preserve">bei Staaten mit </w:t>
      </w:r>
      <w:r w:rsidRPr="0029317F">
        <w:rPr>
          <w:rFonts w:ascii="Arial" w:hAnsi="Arial"/>
          <w:b/>
          <w:color w:val="000000"/>
        </w:rPr>
        <w:t>mittlerem</w:t>
      </w:r>
      <w:r w:rsidRPr="0029317F">
        <w:rPr>
          <w:rFonts w:ascii="Arial" w:hAnsi="Arial"/>
          <w:color w:val="000000"/>
        </w:rPr>
        <w:t xml:space="preserve"> </w:t>
      </w:r>
      <w:r w:rsidRPr="0029317F">
        <w:rPr>
          <w:rFonts w:ascii="Arial" w:hAnsi="Arial"/>
          <w:b/>
          <w:color w:val="000000"/>
        </w:rPr>
        <w:t>Einkommen</w:t>
      </w:r>
      <w:r w:rsidRPr="0029317F">
        <w:rPr>
          <w:rFonts w:ascii="Arial" w:hAnsi="Arial"/>
          <w:color w:val="000000"/>
        </w:rPr>
        <w:t xml:space="preserve"> zwischen 1.313 und 5.907 US$.</w:t>
      </w:r>
    </w:p>
    <w:p w14:paraId="0FD1F372" w14:textId="77777777" w:rsidR="0029317F" w:rsidRPr="0029317F" w:rsidRDefault="0029317F" w:rsidP="0029317F">
      <w:pPr>
        <w:pStyle w:val="Listenabsatz"/>
        <w:numPr>
          <w:ilvl w:val="0"/>
          <w:numId w:val="4"/>
        </w:numPr>
        <w:rPr>
          <w:rFonts w:ascii="Arial" w:hAnsi="Arial"/>
          <w:color w:val="000000"/>
        </w:rPr>
      </w:pPr>
      <w:r w:rsidRPr="0029317F">
        <w:rPr>
          <w:rFonts w:ascii="Arial" w:hAnsi="Arial"/>
          <w:color w:val="000000"/>
        </w:rPr>
        <w:lastRenderedPageBreak/>
        <w:t xml:space="preserve">bei Staaten mit </w:t>
      </w:r>
      <w:r w:rsidRPr="0029317F">
        <w:rPr>
          <w:rFonts w:ascii="Arial" w:hAnsi="Arial"/>
          <w:b/>
          <w:color w:val="000000"/>
        </w:rPr>
        <w:t>hohem</w:t>
      </w:r>
      <w:r w:rsidRPr="0029317F">
        <w:rPr>
          <w:rFonts w:ascii="Arial" w:hAnsi="Arial"/>
          <w:color w:val="000000"/>
        </w:rPr>
        <w:t xml:space="preserve"> </w:t>
      </w:r>
      <w:r w:rsidRPr="0029317F">
        <w:rPr>
          <w:rFonts w:ascii="Arial" w:hAnsi="Arial"/>
          <w:b/>
          <w:color w:val="000000"/>
        </w:rPr>
        <w:t>Einkommen</w:t>
      </w:r>
      <w:r w:rsidRPr="0029317F">
        <w:rPr>
          <w:rFonts w:ascii="Arial" w:hAnsi="Arial"/>
          <w:color w:val="000000"/>
        </w:rPr>
        <w:t xml:space="preserve"> bei mehr als 5.907 US$.</w:t>
      </w:r>
    </w:p>
    <w:p w14:paraId="04750A46" w14:textId="77777777" w:rsidR="00241FC7" w:rsidRDefault="00241FC7">
      <w:pPr>
        <w:rPr>
          <w:rFonts w:ascii="Arial" w:hAnsi="Arial" w:cs="Arial"/>
          <w:color w:val="000000"/>
          <w:spacing w:val="-2"/>
        </w:rPr>
      </w:pPr>
    </w:p>
    <w:p w14:paraId="1917E4B4" w14:textId="77777777" w:rsidR="000B7175" w:rsidRPr="008C338A" w:rsidRDefault="000B7175" w:rsidP="000B7175">
      <w:pPr>
        <w:rPr>
          <w:rStyle w:val="Hyperlink"/>
          <w:rFonts w:cs="Arial"/>
        </w:rPr>
      </w:pPr>
      <w:r w:rsidRPr="008C338A">
        <w:rPr>
          <w:rFonts w:ascii="Arial" w:hAnsi="Arial"/>
        </w:rPr>
        <w:t xml:space="preserve">Ausführliche Informationen, welche Staaten die UNCTAD welcher Einkommensgruppe zuordnet, finden Sie hier: </w:t>
      </w:r>
      <w:hyperlink r:id="rId8" w:history="1">
        <w:r w:rsidRPr="008C338A">
          <w:rPr>
            <w:rStyle w:val="Hyperlink"/>
            <w:rFonts w:ascii="Arial" w:hAnsi="Arial" w:cs="Arial"/>
          </w:rPr>
          <w:t>http://unctadstat.unctad.org/EN/Classifications.html</w:t>
        </w:r>
      </w:hyperlink>
    </w:p>
    <w:p w14:paraId="44AD913D" w14:textId="77777777" w:rsidR="000B7175" w:rsidRDefault="000B7175">
      <w:pPr>
        <w:rPr>
          <w:rFonts w:ascii="Arial" w:hAnsi="Arial" w:cs="Arial"/>
          <w:color w:val="000000"/>
          <w:spacing w:val="-2"/>
        </w:rPr>
      </w:pPr>
    </w:p>
    <w:p w14:paraId="51A9AA10" w14:textId="77777777" w:rsidR="00F61648" w:rsidRDefault="00F61648">
      <w:pPr>
        <w:rPr>
          <w:rFonts w:ascii="Arial" w:hAnsi="Arial" w:cs="Arial"/>
          <w:color w:val="000000"/>
          <w:spacing w:val="-2"/>
        </w:rPr>
      </w:pPr>
      <w:r w:rsidRPr="00F61648">
        <w:rPr>
          <w:rFonts w:ascii="Arial" w:hAnsi="Arial" w:cs="Arial"/>
          <w:color w:val="000000"/>
          <w:spacing w:val="-2"/>
        </w:rPr>
        <w:t>Die </w:t>
      </w:r>
      <w:r w:rsidRPr="00F61648">
        <w:rPr>
          <w:rStyle w:val="Fett"/>
          <w:rFonts w:ascii="Arial" w:hAnsi="Arial" w:cs="Arial"/>
          <w:color w:val="000000"/>
          <w:spacing w:val="-2"/>
          <w:bdr w:val="none" w:sz="0" w:space="0" w:color="auto" w:frame="1"/>
        </w:rPr>
        <w:t>EU-27 (ab 2020)</w:t>
      </w:r>
      <w:r w:rsidRPr="00F61648">
        <w:rPr>
          <w:rFonts w:ascii="Arial" w:hAnsi="Arial" w:cs="Arial"/>
          <w:color w:val="000000"/>
          <w:spacing w:val="-2"/>
        </w:rPr>
        <w:t> entspricht der EU-28 nach dem Austritt des Vereinigten Königreichs aus der Europäischen Union (</w:t>
      </w:r>
      <w:r w:rsidRPr="00F61648">
        <w:rPr>
          <w:rStyle w:val="Fett"/>
          <w:rFonts w:ascii="Arial" w:hAnsi="Arial" w:cs="Arial"/>
          <w:color w:val="000000"/>
          <w:spacing w:val="-2"/>
          <w:bdr w:val="none" w:sz="0" w:space="0" w:color="auto" w:frame="1"/>
        </w:rPr>
        <w:t>"Brexit"</w:t>
      </w:r>
      <w:r w:rsidRPr="00F61648">
        <w:rPr>
          <w:rFonts w:ascii="Arial" w:hAnsi="Arial" w:cs="Arial"/>
          <w:color w:val="000000"/>
          <w:spacing w:val="-2"/>
        </w:rPr>
        <w:t>).</w:t>
      </w:r>
    </w:p>
    <w:p w14:paraId="74EE0253" w14:textId="77777777" w:rsidR="00241FC7" w:rsidRDefault="00241FC7">
      <w:pPr>
        <w:rPr>
          <w:rFonts w:ascii="Arial" w:hAnsi="Arial" w:cs="Arial"/>
          <w:color w:val="000000"/>
          <w:spacing w:val="-2"/>
        </w:rPr>
      </w:pPr>
    </w:p>
    <w:p w14:paraId="69DC142C" w14:textId="77777777" w:rsidR="00D57B62" w:rsidRDefault="00D57B62" w:rsidP="00D57B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Zu </w:t>
      </w:r>
      <w:r w:rsidRPr="000B7175">
        <w:rPr>
          <w:rFonts w:ascii="Arial" w:hAnsi="Arial" w:cs="Arial"/>
          <w:b/>
        </w:rPr>
        <w:t>West-Asien</w:t>
      </w:r>
      <w:r>
        <w:rPr>
          <w:rFonts w:ascii="Arial" w:hAnsi="Arial" w:cs="Arial"/>
        </w:rPr>
        <w:t xml:space="preserve"> gehören nach Angaben der UNCTAD: </w:t>
      </w:r>
      <w:r w:rsidRPr="00DA4805">
        <w:rPr>
          <w:rFonts w:ascii="Arial" w:hAnsi="Arial" w:cs="Arial"/>
        </w:rPr>
        <w:t>Armenien, Aserbaidschan, Bahrain, Georgien, Irak, Israel, Jemen, Jordanien, Katar, Kuwait, Libanon, Oman, die palästinensischen Gebiete, Saudi-Arabien, Syrien, Türkei sowie die Vereinigten Arabischen Emirate</w:t>
      </w:r>
      <w:r>
        <w:rPr>
          <w:rFonts w:ascii="Arial" w:hAnsi="Arial" w:cs="Arial"/>
        </w:rPr>
        <w:t>.</w:t>
      </w:r>
    </w:p>
    <w:p w14:paraId="3AFEDD16" w14:textId="77777777" w:rsidR="00802214" w:rsidRDefault="00802214" w:rsidP="00D57B62">
      <w:pPr>
        <w:rPr>
          <w:rFonts w:ascii="Arial" w:hAnsi="Arial" w:cs="Arial"/>
        </w:rPr>
      </w:pPr>
    </w:p>
    <w:p w14:paraId="5E746D8E" w14:textId="77777777" w:rsidR="00802214" w:rsidRDefault="00802214" w:rsidP="00D57B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Informationen zum Thema </w:t>
      </w:r>
      <w:r w:rsidRPr="00802214">
        <w:rPr>
          <w:rFonts w:ascii="Arial" w:hAnsi="Arial" w:cs="Arial"/>
          <w:b/>
        </w:rPr>
        <w:t>Leistungsbilanzen</w:t>
      </w:r>
      <w:r>
        <w:rPr>
          <w:rFonts w:ascii="Arial" w:hAnsi="Arial" w:cs="Arial"/>
        </w:rPr>
        <w:t xml:space="preserve"> erhalten Sie hier: </w:t>
      </w:r>
      <w:hyperlink r:id="rId9" w:history="1">
        <w:r w:rsidRPr="00226B90">
          <w:rPr>
            <w:rStyle w:val="Hyperlink"/>
            <w:rFonts w:ascii="Arial" w:hAnsi="Arial" w:cs="Arial"/>
          </w:rPr>
          <w:t>https://www.bpb.de/52571</w:t>
        </w:r>
      </w:hyperlink>
    </w:p>
    <w:p w14:paraId="339BD540" w14:textId="77777777" w:rsidR="00802214" w:rsidRDefault="00802214" w:rsidP="00D57B62">
      <w:pPr>
        <w:rPr>
          <w:rFonts w:ascii="Arial" w:hAnsi="Arial" w:cs="Arial"/>
        </w:rPr>
      </w:pPr>
    </w:p>
    <w:p w14:paraId="7C50CAF8" w14:textId="77777777" w:rsidR="00366331" w:rsidRPr="00366331" w:rsidRDefault="00366331" w:rsidP="00366331">
      <w:pPr>
        <w:rPr>
          <w:rFonts w:ascii="Arial" w:hAnsi="Arial"/>
          <w:sz w:val="20"/>
          <w:szCs w:val="20"/>
        </w:rPr>
      </w:pPr>
      <w:r w:rsidRPr="00366331">
        <w:rPr>
          <w:rFonts w:ascii="Arial" w:hAnsi="Arial"/>
          <w:sz w:val="20"/>
          <w:szCs w:val="20"/>
        </w:rPr>
        <w:t>Dieser Text ist unter der Creative Commons Lizenz CC BY-NC-ND 4.0 veröffentlicht.</w:t>
      </w:r>
    </w:p>
    <w:p w14:paraId="42877A50" w14:textId="77777777" w:rsidR="00774CF9" w:rsidRPr="00774CF9" w:rsidRDefault="00366331" w:rsidP="00366331">
      <w:pPr>
        <w:rPr>
          <w:rFonts w:ascii="Arial" w:hAnsi="Arial"/>
          <w:sz w:val="20"/>
          <w:szCs w:val="20"/>
        </w:rPr>
      </w:pPr>
      <w:r w:rsidRPr="00366331">
        <w:rPr>
          <w:rFonts w:ascii="Arial" w:hAnsi="Arial"/>
          <w:sz w:val="20"/>
          <w:szCs w:val="20"/>
        </w:rPr>
        <w:t>Bundeszentrale für politische Bildung 2023 | www.bpb.de</w:t>
      </w:r>
    </w:p>
    <w:sectPr w:rsidR="00774CF9" w:rsidRPr="00774C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672D47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72D477" w16cid:durableId="295124E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A8FFA" w14:textId="77777777" w:rsidR="00B54020" w:rsidRDefault="00B54020" w:rsidP="008E3E33">
      <w:r>
        <w:separator/>
      </w:r>
    </w:p>
  </w:endnote>
  <w:endnote w:type="continuationSeparator" w:id="0">
    <w:p w14:paraId="3EA719BE" w14:textId="77777777" w:rsidR="00B54020" w:rsidRDefault="00B54020" w:rsidP="008E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CA449" w14:textId="77777777" w:rsidR="008E3E33" w:rsidRDefault="008E3E3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424A5" w14:textId="77777777" w:rsidR="008E3E33" w:rsidRDefault="008E3E3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6AC16" w14:textId="77777777" w:rsidR="008E3E33" w:rsidRDefault="008E3E3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3619B" w14:textId="77777777" w:rsidR="00B54020" w:rsidRDefault="00B54020" w:rsidP="008E3E33">
      <w:r>
        <w:separator/>
      </w:r>
    </w:p>
  </w:footnote>
  <w:footnote w:type="continuationSeparator" w:id="0">
    <w:p w14:paraId="1B3F12BC" w14:textId="77777777" w:rsidR="00B54020" w:rsidRDefault="00B54020" w:rsidP="008E3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BF76F" w14:textId="77777777" w:rsidR="008E3E33" w:rsidRDefault="008E3E3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614D4" w14:textId="77777777" w:rsidR="008E3E33" w:rsidRDefault="008E3E3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89FBF" w14:textId="77777777" w:rsidR="008E3E33" w:rsidRDefault="008E3E3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32875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8E4738"/>
    <w:multiLevelType w:val="hybridMultilevel"/>
    <w:tmpl w:val="EA1CC0E0"/>
    <w:lvl w:ilvl="0" w:tplc="94CCBA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37C21"/>
    <w:multiLevelType w:val="multilevel"/>
    <w:tmpl w:val="A7EA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491E6C"/>
    <w:multiLevelType w:val="hybridMultilevel"/>
    <w:tmpl w:val="BC0829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51ADC"/>
    <w:multiLevelType w:val="hybridMultilevel"/>
    <w:tmpl w:val="3AAAFD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CD14C9"/>
    <w:multiLevelType w:val="multilevel"/>
    <w:tmpl w:val="4FF8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CC"/>
    <w:rsid w:val="000068C3"/>
    <w:rsid w:val="0002708E"/>
    <w:rsid w:val="00033B8A"/>
    <w:rsid w:val="00066177"/>
    <w:rsid w:val="00092256"/>
    <w:rsid w:val="000B7175"/>
    <w:rsid w:val="000C2A8B"/>
    <w:rsid w:val="00113E50"/>
    <w:rsid w:val="00117EC8"/>
    <w:rsid w:val="00126F35"/>
    <w:rsid w:val="00167C92"/>
    <w:rsid w:val="001802CC"/>
    <w:rsid w:val="001856EC"/>
    <w:rsid w:val="0021142D"/>
    <w:rsid w:val="00241FC7"/>
    <w:rsid w:val="00290D6A"/>
    <w:rsid w:val="0029317F"/>
    <w:rsid w:val="00313D3F"/>
    <w:rsid w:val="00321BF2"/>
    <w:rsid w:val="003230FD"/>
    <w:rsid w:val="00345A88"/>
    <w:rsid w:val="00351D5F"/>
    <w:rsid w:val="003550A5"/>
    <w:rsid w:val="00366331"/>
    <w:rsid w:val="003D14FC"/>
    <w:rsid w:val="003F1DB3"/>
    <w:rsid w:val="003F6420"/>
    <w:rsid w:val="003F7DF8"/>
    <w:rsid w:val="0040430C"/>
    <w:rsid w:val="004072F2"/>
    <w:rsid w:val="0041561B"/>
    <w:rsid w:val="00424AF5"/>
    <w:rsid w:val="00430FF3"/>
    <w:rsid w:val="00434B01"/>
    <w:rsid w:val="004359BF"/>
    <w:rsid w:val="00480A96"/>
    <w:rsid w:val="004B4D18"/>
    <w:rsid w:val="004D29F8"/>
    <w:rsid w:val="005072FB"/>
    <w:rsid w:val="00510A3C"/>
    <w:rsid w:val="00510C57"/>
    <w:rsid w:val="00516B2E"/>
    <w:rsid w:val="00561521"/>
    <w:rsid w:val="00561972"/>
    <w:rsid w:val="005836B5"/>
    <w:rsid w:val="005C70AB"/>
    <w:rsid w:val="005D6355"/>
    <w:rsid w:val="005E7885"/>
    <w:rsid w:val="005E7CD9"/>
    <w:rsid w:val="00606711"/>
    <w:rsid w:val="00617B21"/>
    <w:rsid w:val="00653051"/>
    <w:rsid w:val="00654B83"/>
    <w:rsid w:val="00665F4F"/>
    <w:rsid w:val="00673A0A"/>
    <w:rsid w:val="006838CF"/>
    <w:rsid w:val="006C135C"/>
    <w:rsid w:val="006C3592"/>
    <w:rsid w:val="006D5577"/>
    <w:rsid w:val="006D75CB"/>
    <w:rsid w:val="006E1360"/>
    <w:rsid w:val="006E5395"/>
    <w:rsid w:val="006E67FA"/>
    <w:rsid w:val="006E69A8"/>
    <w:rsid w:val="007004F9"/>
    <w:rsid w:val="00716FDB"/>
    <w:rsid w:val="00722EA8"/>
    <w:rsid w:val="00724226"/>
    <w:rsid w:val="007414AA"/>
    <w:rsid w:val="007451E3"/>
    <w:rsid w:val="00751505"/>
    <w:rsid w:val="00760016"/>
    <w:rsid w:val="00774CF9"/>
    <w:rsid w:val="007905CC"/>
    <w:rsid w:val="00790D08"/>
    <w:rsid w:val="007924E2"/>
    <w:rsid w:val="00796F82"/>
    <w:rsid w:val="0079745C"/>
    <w:rsid w:val="007A23E4"/>
    <w:rsid w:val="007D2C16"/>
    <w:rsid w:val="007D5067"/>
    <w:rsid w:val="007E1F50"/>
    <w:rsid w:val="00801B75"/>
    <w:rsid w:val="00802214"/>
    <w:rsid w:val="00813A3F"/>
    <w:rsid w:val="00827BB7"/>
    <w:rsid w:val="00830048"/>
    <w:rsid w:val="00861F7B"/>
    <w:rsid w:val="008A013B"/>
    <w:rsid w:val="008A3836"/>
    <w:rsid w:val="008B3587"/>
    <w:rsid w:val="008B71AA"/>
    <w:rsid w:val="008C5348"/>
    <w:rsid w:val="008E3E33"/>
    <w:rsid w:val="009017F2"/>
    <w:rsid w:val="009060B6"/>
    <w:rsid w:val="0092465D"/>
    <w:rsid w:val="009268BD"/>
    <w:rsid w:val="009414F8"/>
    <w:rsid w:val="00947722"/>
    <w:rsid w:val="00961383"/>
    <w:rsid w:val="00971D88"/>
    <w:rsid w:val="00972112"/>
    <w:rsid w:val="009A0D06"/>
    <w:rsid w:val="00A05BED"/>
    <w:rsid w:val="00A41F87"/>
    <w:rsid w:val="00A60B66"/>
    <w:rsid w:val="00A613AC"/>
    <w:rsid w:val="00A850C8"/>
    <w:rsid w:val="00A938CE"/>
    <w:rsid w:val="00AA3ACE"/>
    <w:rsid w:val="00AC7A87"/>
    <w:rsid w:val="00B16DF1"/>
    <w:rsid w:val="00B17878"/>
    <w:rsid w:val="00B21575"/>
    <w:rsid w:val="00B37BC7"/>
    <w:rsid w:val="00B45373"/>
    <w:rsid w:val="00B54020"/>
    <w:rsid w:val="00B55E72"/>
    <w:rsid w:val="00B672B5"/>
    <w:rsid w:val="00B918FA"/>
    <w:rsid w:val="00BA7B80"/>
    <w:rsid w:val="00BB547F"/>
    <w:rsid w:val="00BF6FDA"/>
    <w:rsid w:val="00C16B6E"/>
    <w:rsid w:val="00C20CA8"/>
    <w:rsid w:val="00C30168"/>
    <w:rsid w:val="00C37B87"/>
    <w:rsid w:val="00C60CD5"/>
    <w:rsid w:val="00C64FF4"/>
    <w:rsid w:val="00C8461D"/>
    <w:rsid w:val="00CB10A7"/>
    <w:rsid w:val="00CB7A88"/>
    <w:rsid w:val="00CC7579"/>
    <w:rsid w:val="00CD0729"/>
    <w:rsid w:val="00CD4F23"/>
    <w:rsid w:val="00CE6E78"/>
    <w:rsid w:val="00CF3313"/>
    <w:rsid w:val="00D00FF7"/>
    <w:rsid w:val="00D03A1B"/>
    <w:rsid w:val="00D154AE"/>
    <w:rsid w:val="00D308AE"/>
    <w:rsid w:val="00D34CBC"/>
    <w:rsid w:val="00D43CF0"/>
    <w:rsid w:val="00D458F2"/>
    <w:rsid w:val="00D57B62"/>
    <w:rsid w:val="00D601D9"/>
    <w:rsid w:val="00D6383E"/>
    <w:rsid w:val="00D91140"/>
    <w:rsid w:val="00DA1330"/>
    <w:rsid w:val="00DA69E0"/>
    <w:rsid w:val="00DC2D67"/>
    <w:rsid w:val="00DC3A9F"/>
    <w:rsid w:val="00DC3FCC"/>
    <w:rsid w:val="00DC4A77"/>
    <w:rsid w:val="00DF11A6"/>
    <w:rsid w:val="00E07A75"/>
    <w:rsid w:val="00E11638"/>
    <w:rsid w:val="00E25180"/>
    <w:rsid w:val="00E31B0A"/>
    <w:rsid w:val="00E32927"/>
    <w:rsid w:val="00E36A35"/>
    <w:rsid w:val="00E46999"/>
    <w:rsid w:val="00EB78E5"/>
    <w:rsid w:val="00EC5068"/>
    <w:rsid w:val="00EE224D"/>
    <w:rsid w:val="00EF093D"/>
    <w:rsid w:val="00F14664"/>
    <w:rsid w:val="00F36ED7"/>
    <w:rsid w:val="00F46B0C"/>
    <w:rsid w:val="00F61648"/>
    <w:rsid w:val="00FB4941"/>
    <w:rsid w:val="00FF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695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0A3C"/>
    <w:rPr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Standard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extkrper21">
    <w:name w:val="Textkörper 21"/>
    <w:basedOn w:val="Standard"/>
    <w:pPr>
      <w:overflowPunct w:val="0"/>
      <w:autoSpaceDE w:val="0"/>
      <w:autoSpaceDN w:val="0"/>
      <w:adjustRightInd w:val="0"/>
      <w:spacing w:line="480" w:lineRule="auto"/>
      <w:textAlignment w:val="baseline"/>
    </w:pPr>
    <w:rPr>
      <w:b/>
      <w:szCs w:val="20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Hervorhebung">
    <w:name w:val="Emphasis"/>
    <w:qFormat/>
    <w:rPr>
      <w:i/>
      <w:iCs/>
    </w:rPr>
  </w:style>
  <w:style w:type="paragraph" w:styleId="Textkrper">
    <w:name w:val="Body Text"/>
    <w:basedOn w:val="Standard"/>
    <w:rPr>
      <w:rFonts w:ascii="Arial" w:hAnsi="Arial" w:cs="Arial"/>
      <w:i/>
      <w:iCs/>
      <w:color w:val="0000FF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Fett">
    <w:name w:val="Strong"/>
    <w:uiPriority w:val="22"/>
    <w:qFormat/>
    <w:rsid w:val="003230FD"/>
    <w:rPr>
      <w:b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0A96"/>
    <w:rPr>
      <w:b/>
      <w:bCs/>
      <w:szCs w:val="20"/>
    </w:rPr>
  </w:style>
  <w:style w:type="character" w:customStyle="1" w:styleId="KommentartextZchn">
    <w:name w:val="Kommentartext Zchn"/>
    <w:link w:val="Kommentartext"/>
    <w:semiHidden/>
    <w:rsid w:val="00480A96"/>
    <w:rPr>
      <w:szCs w:val="24"/>
    </w:rPr>
  </w:style>
  <w:style w:type="character" w:customStyle="1" w:styleId="KommentarthemaZchn">
    <w:name w:val="Kommentarthema Zchn"/>
    <w:link w:val="Kommentarthema"/>
    <w:uiPriority w:val="99"/>
    <w:semiHidden/>
    <w:rsid w:val="00480A96"/>
    <w:rPr>
      <w:b/>
      <w:bCs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8E3E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3E33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293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0A3C"/>
    <w:rPr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Standard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extkrper21">
    <w:name w:val="Textkörper 21"/>
    <w:basedOn w:val="Standard"/>
    <w:pPr>
      <w:overflowPunct w:val="0"/>
      <w:autoSpaceDE w:val="0"/>
      <w:autoSpaceDN w:val="0"/>
      <w:adjustRightInd w:val="0"/>
      <w:spacing w:line="480" w:lineRule="auto"/>
      <w:textAlignment w:val="baseline"/>
    </w:pPr>
    <w:rPr>
      <w:b/>
      <w:szCs w:val="20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Hervorhebung">
    <w:name w:val="Emphasis"/>
    <w:qFormat/>
    <w:rPr>
      <w:i/>
      <w:iCs/>
    </w:rPr>
  </w:style>
  <w:style w:type="paragraph" w:styleId="Textkrper">
    <w:name w:val="Body Text"/>
    <w:basedOn w:val="Standard"/>
    <w:rPr>
      <w:rFonts w:ascii="Arial" w:hAnsi="Arial" w:cs="Arial"/>
      <w:i/>
      <w:iCs/>
      <w:color w:val="0000FF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Fett">
    <w:name w:val="Strong"/>
    <w:uiPriority w:val="22"/>
    <w:qFormat/>
    <w:rsid w:val="003230FD"/>
    <w:rPr>
      <w:b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0A96"/>
    <w:rPr>
      <w:b/>
      <w:bCs/>
      <w:szCs w:val="20"/>
    </w:rPr>
  </w:style>
  <w:style w:type="character" w:customStyle="1" w:styleId="KommentartextZchn">
    <w:name w:val="Kommentartext Zchn"/>
    <w:link w:val="Kommentartext"/>
    <w:semiHidden/>
    <w:rsid w:val="00480A96"/>
    <w:rPr>
      <w:szCs w:val="24"/>
    </w:rPr>
  </w:style>
  <w:style w:type="character" w:customStyle="1" w:styleId="KommentarthemaZchn">
    <w:name w:val="Kommentarthema Zchn"/>
    <w:link w:val="Kommentarthema"/>
    <w:uiPriority w:val="99"/>
    <w:semiHidden/>
    <w:rsid w:val="00480A96"/>
    <w:rPr>
      <w:b/>
      <w:bCs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8E3E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3E33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293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ctadstat.unctad.org/EN/Classifications.html" TargetMode="Externa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www.bpb.de/5257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6040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2024-01-16T14:55:00Z</dcterms:created>
  <dcterms:modified xsi:type="dcterms:W3CDTF">2024-02-08T15:49:00Z</dcterms:modified>
</cp:coreProperties>
</file>