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BF10" w14:textId="77777777" w:rsidR="00712C79" w:rsidRPr="00712C79" w:rsidRDefault="00712C79" w:rsidP="00712C79">
      <w:pPr>
        <w:pStyle w:val="StandardWeb"/>
        <w:numPr>
          <w:ilvl w:val="0"/>
          <w:numId w:val="10"/>
        </w:numPr>
        <w:spacing w:before="0" w:beforeAutospacing="0" w:after="0" w:afterAutospacing="0"/>
        <w:rPr>
          <w:rFonts w:ascii="Arial" w:hAnsi="Arial" w:cs="Arial"/>
          <w:b/>
        </w:rPr>
      </w:pPr>
      <w:r w:rsidRPr="00712C79">
        <w:rPr>
          <w:rFonts w:ascii="Arial" w:hAnsi="Arial" w:cs="Arial"/>
          <w:b/>
        </w:rPr>
        <w:t>Es gibt eine Vielzahl von Modellen, die langfristig eine Anpassung der</w:t>
      </w:r>
      <w:r w:rsidR="002636B7">
        <w:rPr>
          <w:rFonts w:ascii="Arial" w:hAnsi="Arial" w:cs="Arial"/>
          <w:b/>
        </w:rPr>
        <w:t xml:space="preserve"> P</w:t>
      </w:r>
      <w:r w:rsidRPr="00712C79">
        <w:rPr>
          <w:rFonts w:ascii="Arial" w:hAnsi="Arial" w:cs="Arial"/>
          <w:b/>
        </w:rPr>
        <w:t>reise zwischen den Ländern annehmen.</w:t>
      </w:r>
    </w:p>
    <w:p w14:paraId="5456AE0A" w14:textId="77777777" w:rsidR="00712C79" w:rsidRPr="00712C79" w:rsidRDefault="00712C79" w:rsidP="00EA07E1">
      <w:pPr>
        <w:pStyle w:val="StandardWeb"/>
        <w:spacing w:before="0" w:beforeAutospacing="0" w:after="0" w:afterAutospacing="0"/>
        <w:rPr>
          <w:rFonts w:ascii="Arial" w:hAnsi="Arial" w:cs="Arial"/>
          <w:b/>
        </w:rPr>
      </w:pPr>
    </w:p>
    <w:p w14:paraId="1C5F9EC2" w14:textId="77777777" w:rsidR="00712C79" w:rsidRPr="00712C79" w:rsidRDefault="00712C79" w:rsidP="00712C79">
      <w:pPr>
        <w:pStyle w:val="StandardWeb"/>
        <w:numPr>
          <w:ilvl w:val="0"/>
          <w:numId w:val="10"/>
        </w:numPr>
        <w:spacing w:before="0" w:beforeAutospacing="0" w:after="0" w:afterAutospacing="0"/>
        <w:rPr>
          <w:rFonts w:ascii="Arial" w:hAnsi="Arial" w:cs="Arial"/>
          <w:b/>
        </w:rPr>
      </w:pPr>
      <w:r w:rsidRPr="00712C79">
        <w:rPr>
          <w:rFonts w:ascii="Arial" w:hAnsi="Arial" w:cs="Arial"/>
          <w:b/>
        </w:rPr>
        <w:t>Zwei wichtige Größen, die die Wechselkursbewegungen beeinflussen</w:t>
      </w:r>
      <w:r w:rsidR="00C03034">
        <w:rPr>
          <w:rFonts w:ascii="Arial" w:hAnsi="Arial" w:cs="Arial"/>
          <w:b/>
        </w:rPr>
        <w:t>,</w:t>
      </w:r>
      <w:r w:rsidRPr="00712C79">
        <w:rPr>
          <w:rFonts w:ascii="Arial" w:hAnsi="Arial" w:cs="Arial"/>
          <w:b/>
        </w:rPr>
        <w:t xml:space="preserve"> sind die Kaufkraft und die Zinsen in den einzelnen Staaten bzw. Währungsräumen.</w:t>
      </w:r>
    </w:p>
    <w:p w14:paraId="1B5A4C40" w14:textId="77777777" w:rsidR="00712C79" w:rsidRPr="00712C79" w:rsidRDefault="00712C79" w:rsidP="00EA07E1">
      <w:pPr>
        <w:pStyle w:val="StandardWeb"/>
        <w:spacing w:before="0" w:beforeAutospacing="0" w:after="0" w:afterAutospacing="0"/>
        <w:rPr>
          <w:rFonts w:ascii="Arial" w:hAnsi="Arial" w:cs="Arial"/>
          <w:b/>
        </w:rPr>
      </w:pPr>
    </w:p>
    <w:p w14:paraId="722BE992" w14:textId="77777777" w:rsidR="005E08DD" w:rsidRPr="00712C79" w:rsidRDefault="00EA07E1" w:rsidP="00712C79">
      <w:pPr>
        <w:pStyle w:val="StandardWeb"/>
        <w:numPr>
          <w:ilvl w:val="0"/>
          <w:numId w:val="10"/>
        </w:numPr>
        <w:spacing w:before="0" w:beforeAutospacing="0" w:after="0" w:afterAutospacing="0"/>
        <w:rPr>
          <w:rFonts w:ascii="Arial" w:hAnsi="Arial" w:cs="Arial"/>
          <w:b/>
        </w:rPr>
      </w:pPr>
      <w:r w:rsidRPr="00712C79">
        <w:rPr>
          <w:rFonts w:ascii="Arial" w:hAnsi="Arial" w:cs="Arial"/>
          <w:b/>
        </w:rPr>
        <w:t>Carry Trades nutzen Zinsunterschiede zwischen Währungen, um Gewinne zu erzielen</w:t>
      </w:r>
      <w:r w:rsidR="00CD16E0" w:rsidRPr="00712C79">
        <w:rPr>
          <w:rFonts w:ascii="Arial" w:hAnsi="Arial" w:cs="Arial"/>
          <w:b/>
        </w:rPr>
        <w:t xml:space="preserve">. Dabei sind sie </w:t>
      </w:r>
      <w:r w:rsidRPr="00712C79">
        <w:rPr>
          <w:rFonts w:ascii="Arial" w:hAnsi="Arial" w:cs="Arial"/>
          <w:b/>
        </w:rPr>
        <w:t xml:space="preserve">mit hohen Risiken verbunden, insbesondere durch Wechselkursschwankungen. </w:t>
      </w:r>
    </w:p>
    <w:p w14:paraId="19AC7A55" w14:textId="77777777" w:rsidR="00EA07E1" w:rsidRPr="00EA07E1" w:rsidRDefault="00EA07E1" w:rsidP="00EA07E1">
      <w:pPr>
        <w:pStyle w:val="StandardWeb"/>
        <w:spacing w:before="0" w:beforeAutospacing="0" w:after="0" w:afterAutospacing="0"/>
        <w:rPr>
          <w:rFonts w:ascii="Arial" w:hAnsi="Arial" w:cs="Arial"/>
        </w:rPr>
      </w:pPr>
    </w:p>
    <w:p w14:paraId="08DDBEC3" w14:textId="77777777" w:rsidR="004042D4" w:rsidRPr="005E08DD" w:rsidRDefault="004042D4" w:rsidP="005E08DD">
      <w:pPr>
        <w:pStyle w:val="StandardWeb"/>
        <w:spacing w:before="0" w:beforeAutospacing="0" w:after="0" w:afterAutospacing="0"/>
        <w:rPr>
          <w:rFonts w:ascii="Arial" w:hAnsi="Arial" w:cs="Arial"/>
          <w:color w:val="FF0000"/>
        </w:rPr>
      </w:pPr>
      <w:r w:rsidRPr="005E08DD">
        <w:rPr>
          <w:rFonts w:ascii="Arial" w:hAnsi="Arial" w:cs="Arial"/>
          <w:color w:val="FF0000"/>
        </w:rPr>
        <w:t>Fakten</w:t>
      </w:r>
    </w:p>
    <w:p w14:paraId="3DEBF4F0" w14:textId="77777777" w:rsidR="005E08DD" w:rsidRDefault="005E08DD" w:rsidP="005E08DD">
      <w:pPr>
        <w:pStyle w:val="StandardWeb"/>
        <w:spacing w:before="0" w:beforeAutospacing="0" w:after="0" w:afterAutospacing="0"/>
        <w:rPr>
          <w:rFonts w:ascii="Arial" w:hAnsi="Arial" w:cs="Arial"/>
        </w:rPr>
      </w:pPr>
    </w:p>
    <w:p w14:paraId="20207A93" w14:textId="2D2D00F8" w:rsidR="003004A4" w:rsidRDefault="003004A4" w:rsidP="005E08DD">
      <w:pPr>
        <w:pStyle w:val="StandardWeb"/>
        <w:spacing w:before="0" w:beforeAutospacing="0" w:after="0" w:afterAutospacing="0"/>
        <w:rPr>
          <w:rFonts w:ascii="Arial" w:hAnsi="Arial" w:cs="Arial"/>
        </w:rPr>
      </w:pPr>
      <w:r w:rsidRPr="005E08DD">
        <w:rPr>
          <w:rFonts w:ascii="Arial" w:hAnsi="Arial" w:cs="Arial"/>
        </w:rPr>
        <w:t xml:space="preserve">Die Basismodelle zur Erklärung von Wechselkursbewegungen sind die </w:t>
      </w:r>
      <w:r w:rsidRPr="00EA07E1">
        <w:rPr>
          <w:rFonts w:ascii="Arial" w:hAnsi="Arial" w:cs="Arial"/>
        </w:rPr>
        <w:t>Kaufkraftparität</w:t>
      </w:r>
      <w:r w:rsidR="00D13F2A">
        <w:rPr>
          <w:rFonts w:ascii="Arial" w:hAnsi="Arial" w:cs="Arial"/>
        </w:rPr>
        <w:t>entheorie</w:t>
      </w:r>
      <w:r w:rsidRPr="00EA07E1">
        <w:rPr>
          <w:rFonts w:ascii="Arial" w:hAnsi="Arial" w:cs="Arial"/>
        </w:rPr>
        <w:t xml:space="preserve"> (PPP)</w:t>
      </w:r>
      <w:r w:rsidRPr="005E08DD">
        <w:rPr>
          <w:rFonts w:ascii="Arial" w:hAnsi="Arial" w:cs="Arial"/>
        </w:rPr>
        <w:t xml:space="preserve"> und die </w:t>
      </w:r>
      <w:r w:rsidRPr="00EA07E1">
        <w:rPr>
          <w:rFonts w:ascii="Arial" w:hAnsi="Arial" w:cs="Arial"/>
        </w:rPr>
        <w:t>Zinsparität</w:t>
      </w:r>
      <w:r w:rsidR="00D13F2A">
        <w:rPr>
          <w:rFonts w:ascii="Arial" w:hAnsi="Arial" w:cs="Arial"/>
        </w:rPr>
        <w:t>entheorie</w:t>
      </w:r>
      <w:r w:rsidRPr="00EA07E1">
        <w:rPr>
          <w:rFonts w:ascii="Arial" w:hAnsi="Arial" w:cs="Arial"/>
        </w:rPr>
        <w:t xml:space="preserve"> (IP)</w:t>
      </w:r>
      <w:r w:rsidRPr="005E08DD">
        <w:rPr>
          <w:rFonts w:ascii="Arial" w:hAnsi="Arial" w:cs="Arial"/>
        </w:rPr>
        <w:t>. Die Kaufkraftparität</w:t>
      </w:r>
      <w:r w:rsidR="00D13F2A">
        <w:rPr>
          <w:rFonts w:ascii="Arial" w:hAnsi="Arial" w:cs="Arial"/>
        </w:rPr>
        <w:t>entheorie</w:t>
      </w:r>
      <w:r w:rsidRPr="005E08DD">
        <w:rPr>
          <w:rFonts w:ascii="Arial" w:hAnsi="Arial" w:cs="Arial"/>
        </w:rPr>
        <w:t xml:space="preserve"> fokussiert auf den Gütermarkt und erklärt Wechselkursbewegungen langfristig durch Preisniveauunterschiede zwischen Ländern. Die Zinsparität</w:t>
      </w:r>
      <w:r w:rsidR="00D13F2A">
        <w:rPr>
          <w:rFonts w:ascii="Arial" w:hAnsi="Arial" w:cs="Arial"/>
        </w:rPr>
        <w:t>entheorie</w:t>
      </w:r>
      <w:r w:rsidRPr="005E08DD">
        <w:rPr>
          <w:rFonts w:ascii="Arial" w:hAnsi="Arial" w:cs="Arial"/>
        </w:rPr>
        <w:t xml:space="preserve"> hingegen betrachtet den Kapitalmarkt und analysiert Wechselkursveränderungen kurzfristig, basierend auf den Zinsdifferenzen und der Erwartung künftiger Wechselkursentwicklungen.</w:t>
      </w:r>
    </w:p>
    <w:p w14:paraId="190B15A6" w14:textId="77777777" w:rsidR="00EA07E1" w:rsidRDefault="00EA07E1" w:rsidP="005E08DD">
      <w:pPr>
        <w:pStyle w:val="StandardWeb"/>
        <w:spacing w:before="0" w:beforeAutospacing="0" w:after="0" w:afterAutospacing="0"/>
        <w:rPr>
          <w:rFonts w:ascii="Arial" w:hAnsi="Arial" w:cs="Arial"/>
        </w:rPr>
      </w:pPr>
    </w:p>
    <w:p w14:paraId="594A3647" w14:textId="0EFD2A52" w:rsidR="003004A4" w:rsidRDefault="005E08DD" w:rsidP="00EA07E1">
      <w:pPr>
        <w:pStyle w:val="StandardWeb"/>
        <w:spacing w:before="0" w:beforeAutospacing="0" w:after="0" w:afterAutospacing="0"/>
        <w:rPr>
          <w:rFonts w:ascii="Arial" w:hAnsi="Arial" w:cs="Arial"/>
        </w:rPr>
      </w:pPr>
      <w:r w:rsidRPr="00EA07E1">
        <w:rPr>
          <w:rFonts w:ascii="Arial" w:hAnsi="Arial" w:cs="Arial"/>
        </w:rPr>
        <w:t>N</w:t>
      </w:r>
      <w:r w:rsidR="003004A4" w:rsidRPr="00EA07E1">
        <w:rPr>
          <w:rFonts w:ascii="Arial" w:hAnsi="Arial" w:cs="Arial"/>
        </w:rPr>
        <w:t xml:space="preserve">eben den grundlegenden Modellen der </w:t>
      </w:r>
      <w:r w:rsidR="00D13F2A" w:rsidRPr="004A4957">
        <w:rPr>
          <w:rFonts w:ascii="Arial" w:hAnsi="Arial" w:cs="Arial"/>
        </w:rPr>
        <w:t>Kaufkraft</w:t>
      </w:r>
      <w:r w:rsidR="00D13F2A">
        <w:rPr>
          <w:rFonts w:ascii="Arial" w:hAnsi="Arial" w:cs="Arial"/>
        </w:rPr>
        <w:t>-</w:t>
      </w:r>
      <w:r w:rsidR="00D13F2A" w:rsidRPr="004A4957">
        <w:rPr>
          <w:rFonts w:ascii="Arial" w:hAnsi="Arial" w:cs="Arial"/>
        </w:rPr>
        <w:t xml:space="preserve"> und Zinsparität</w:t>
      </w:r>
      <w:r w:rsidR="00D13F2A">
        <w:rPr>
          <w:rFonts w:ascii="Arial" w:hAnsi="Arial" w:cs="Arial"/>
        </w:rPr>
        <w:t>entheorie</w:t>
      </w:r>
      <w:r w:rsidR="00D13F2A" w:rsidRPr="004A4957">
        <w:rPr>
          <w:rFonts w:ascii="Arial" w:hAnsi="Arial" w:cs="Arial"/>
        </w:rPr>
        <w:t xml:space="preserve"> </w:t>
      </w:r>
      <w:r w:rsidR="003004A4" w:rsidRPr="00EA07E1">
        <w:rPr>
          <w:rFonts w:ascii="Arial" w:hAnsi="Arial" w:cs="Arial"/>
        </w:rPr>
        <w:t>gibt es eine Vielzahl weiterer, teils sehr ausgefeilter Ansätze zur Erklärung von Wechselkursbewegungen. Diese stammen sowohl aus der Volkswirtschaftslehre als auch aus der Finanzwissenschaft und bieten unterschiedliche Perspektiven auf die Dynamik der Wechselkurse.</w:t>
      </w:r>
    </w:p>
    <w:p w14:paraId="0F112BBF" w14:textId="77777777" w:rsidR="00EA07E1" w:rsidRDefault="00EA07E1" w:rsidP="00EA07E1">
      <w:pPr>
        <w:pStyle w:val="StandardWeb"/>
        <w:spacing w:before="0" w:beforeAutospacing="0" w:after="0" w:afterAutospacing="0"/>
        <w:rPr>
          <w:rFonts w:ascii="Arial" w:hAnsi="Arial" w:cs="Arial"/>
        </w:rPr>
      </w:pPr>
    </w:p>
    <w:p w14:paraId="20C7EBB8" w14:textId="16050CEB" w:rsidR="004042D4" w:rsidRDefault="004042D4" w:rsidP="004A4957">
      <w:pPr>
        <w:pStyle w:val="StandardWeb"/>
        <w:spacing w:before="0" w:beforeAutospacing="0" w:after="0" w:afterAutospacing="0"/>
        <w:rPr>
          <w:rFonts w:ascii="Arial" w:hAnsi="Arial" w:cs="Arial"/>
        </w:rPr>
      </w:pPr>
      <w:r w:rsidRPr="004A4957">
        <w:rPr>
          <w:rFonts w:ascii="Arial" w:hAnsi="Arial" w:cs="Arial"/>
        </w:rPr>
        <w:t>Kaufkraft</w:t>
      </w:r>
      <w:r w:rsidR="00D13F2A">
        <w:rPr>
          <w:rFonts w:ascii="Arial" w:hAnsi="Arial" w:cs="Arial"/>
        </w:rPr>
        <w:t>-</w:t>
      </w:r>
      <w:r w:rsidRPr="004A4957">
        <w:rPr>
          <w:rFonts w:ascii="Arial" w:hAnsi="Arial" w:cs="Arial"/>
        </w:rPr>
        <w:t xml:space="preserve"> und Zinsparität</w:t>
      </w:r>
      <w:r w:rsidR="00D13F2A">
        <w:rPr>
          <w:rFonts w:ascii="Arial" w:hAnsi="Arial" w:cs="Arial"/>
        </w:rPr>
        <w:t xml:space="preserve">entheorie </w:t>
      </w:r>
      <w:r w:rsidRPr="004A4957">
        <w:rPr>
          <w:rFonts w:ascii="Arial" w:hAnsi="Arial" w:cs="Arial"/>
        </w:rPr>
        <w:t>ergänzen sich</w:t>
      </w:r>
      <w:r w:rsidR="003004A4" w:rsidRPr="004A4957">
        <w:rPr>
          <w:rFonts w:ascii="Arial" w:hAnsi="Arial" w:cs="Arial"/>
        </w:rPr>
        <w:t xml:space="preserve">, da sie unterschiedliche Zeitperspektiven und Märkte </w:t>
      </w:r>
      <w:r w:rsidR="00EA07E1" w:rsidRPr="004A4957">
        <w:rPr>
          <w:rFonts w:ascii="Arial" w:hAnsi="Arial" w:cs="Arial"/>
        </w:rPr>
        <w:t xml:space="preserve">abdecken </w:t>
      </w:r>
      <w:r w:rsidR="003004A4" w:rsidRPr="004A4957">
        <w:rPr>
          <w:rFonts w:ascii="Arial" w:hAnsi="Arial" w:cs="Arial"/>
        </w:rPr>
        <w:t xml:space="preserve">(Gütermarkt </w:t>
      </w:r>
      <w:r w:rsidR="00EA07E1" w:rsidRPr="004A4957">
        <w:rPr>
          <w:rFonts w:ascii="Arial" w:hAnsi="Arial" w:cs="Arial"/>
        </w:rPr>
        <w:t>bzw.</w:t>
      </w:r>
      <w:r w:rsidR="003004A4" w:rsidRPr="004A4957">
        <w:rPr>
          <w:rFonts w:ascii="Arial" w:hAnsi="Arial" w:cs="Arial"/>
        </w:rPr>
        <w:t xml:space="preserve"> Kapitalmarkt).</w:t>
      </w:r>
      <w:r w:rsidR="001E3701" w:rsidRPr="004A4957">
        <w:rPr>
          <w:rFonts w:ascii="Arial" w:hAnsi="Arial" w:cs="Arial"/>
        </w:rPr>
        <w:t xml:space="preserve"> Es ist </w:t>
      </w:r>
      <w:r w:rsidRPr="004A4957">
        <w:rPr>
          <w:rFonts w:ascii="Arial" w:hAnsi="Arial" w:cs="Arial"/>
        </w:rPr>
        <w:t xml:space="preserve">aber </w:t>
      </w:r>
      <w:r w:rsidR="001E3701" w:rsidRPr="004A4957">
        <w:rPr>
          <w:rFonts w:ascii="Arial" w:hAnsi="Arial" w:cs="Arial"/>
        </w:rPr>
        <w:t>zu berücksichtigen, dass das Volumen der kapitalmarktinduzierten Devisentransak</w:t>
      </w:r>
      <w:r w:rsidR="0005273B" w:rsidRPr="004A4957">
        <w:rPr>
          <w:rFonts w:ascii="Arial" w:hAnsi="Arial" w:cs="Arial"/>
        </w:rPr>
        <w:t xml:space="preserve">tionen rund </w:t>
      </w:r>
      <w:proofErr w:type="gramStart"/>
      <w:r w:rsidR="0005273B" w:rsidRPr="004A4957">
        <w:rPr>
          <w:rFonts w:ascii="Arial" w:hAnsi="Arial" w:cs="Arial"/>
        </w:rPr>
        <w:t>100 mal</w:t>
      </w:r>
      <w:proofErr w:type="gramEnd"/>
      <w:r w:rsidR="0005273B" w:rsidRPr="004A4957">
        <w:rPr>
          <w:rFonts w:ascii="Arial" w:hAnsi="Arial" w:cs="Arial"/>
        </w:rPr>
        <w:t xml:space="preserve"> so groß ist</w:t>
      </w:r>
      <w:r w:rsidRPr="004A4957">
        <w:rPr>
          <w:rFonts w:ascii="Arial" w:hAnsi="Arial" w:cs="Arial"/>
        </w:rPr>
        <w:t xml:space="preserve"> wie </w:t>
      </w:r>
      <w:r w:rsidR="00EA07E1" w:rsidRPr="004A4957">
        <w:rPr>
          <w:rFonts w:ascii="Arial" w:hAnsi="Arial" w:cs="Arial"/>
        </w:rPr>
        <w:t xml:space="preserve">das </w:t>
      </w:r>
      <w:r w:rsidRPr="004A4957">
        <w:rPr>
          <w:rFonts w:ascii="Arial" w:hAnsi="Arial" w:cs="Arial"/>
        </w:rPr>
        <w:t>der gütermarktinduzierten</w:t>
      </w:r>
      <w:r w:rsidR="0005273B" w:rsidRPr="004A4957">
        <w:rPr>
          <w:rFonts w:ascii="Arial" w:hAnsi="Arial" w:cs="Arial"/>
        </w:rPr>
        <w:t xml:space="preserve">. </w:t>
      </w:r>
      <w:r w:rsidRPr="004A4957">
        <w:rPr>
          <w:rFonts w:ascii="Arial" w:hAnsi="Arial" w:cs="Arial"/>
        </w:rPr>
        <w:t>Das tägliche Handelsvolumen im globalen Devisenmarkt (Forex</w:t>
      </w:r>
      <w:r w:rsidR="00EA07E1" w:rsidRPr="004A4957">
        <w:rPr>
          <w:rFonts w:ascii="Arial" w:hAnsi="Arial" w:cs="Arial"/>
        </w:rPr>
        <w:t xml:space="preserve"> </w:t>
      </w:r>
      <w:r w:rsidR="004A4957">
        <w:rPr>
          <w:rFonts w:ascii="Arial" w:hAnsi="Arial" w:cs="Arial"/>
        </w:rPr>
        <w:t xml:space="preserve">– </w:t>
      </w:r>
      <w:r w:rsidR="004A4957" w:rsidRPr="004A4957">
        <w:rPr>
          <w:rFonts w:ascii="Arial" w:hAnsi="Arial" w:cs="Arial"/>
          <w:b/>
        </w:rPr>
        <w:t>For</w:t>
      </w:r>
      <w:r w:rsidR="004A4957" w:rsidRPr="004A4957">
        <w:rPr>
          <w:rFonts w:ascii="Arial" w:hAnsi="Arial" w:cs="Arial"/>
        </w:rPr>
        <w:t>eign-</w:t>
      </w:r>
      <w:r w:rsidR="004A4957" w:rsidRPr="004A4957">
        <w:rPr>
          <w:rFonts w:ascii="Arial" w:hAnsi="Arial" w:cs="Arial"/>
          <w:b/>
        </w:rPr>
        <w:t>Ex</w:t>
      </w:r>
      <w:r w:rsidR="004A4957" w:rsidRPr="004A4957">
        <w:rPr>
          <w:rFonts w:ascii="Arial" w:hAnsi="Arial" w:cs="Arial"/>
        </w:rPr>
        <w:t>change-Trading</w:t>
      </w:r>
      <w:r w:rsidRPr="004A4957">
        <w:rPr>
          <w:rFonts w:ascii="Arial" w:hAnsi="Arial" w:cs="Arial"/>
        </w:rPr>
        <w:t>) betrug 2022 7,5 Billionen US</w:t>
      </w:r>
      <w:r w:rsidR="004A4957" w:rsidRPr="004A4957">
        <w:rPr>
          <w:rFonts w:ascii="Arial" w:hAnsi="Arial" w:cs="Arial"/>
        </w:rPr>
        <w:t>-</w:t>
      </w:r>
      <w:r w:rsidRPr="004A4957">
        <w:rPr>
          <w:rFonts w:ascii="Arial" w:hAnsi="Arial" w:cs="Arial"/>
        </w:rPr>
        <w:t>Dollar</w:t>
      </w:r>
      <w:r w:rsidR="00635881">
        <w:rPr>
          <w:rFonts w:ascii="Arial" w:hAnsi="Arial" w:cs="Arial"/>
        </w:rPr>
        <w:t xml:space="preserve"> – </w:t>
      </w:r>
      <w:r w:rsidRPr="004A4957">
        <w:rPr>
          <w:rFonts w:ascii="Arial" w:hAnsi="Arial" w:cs="Arial"/>
        </w:rPr>
        <w:t>das ist im Jahr ungefähr das 1</w:t>
      </w:r>
      <w:r w:rsidR="00851D7C">
        <w:rPr>
          <w:rFonts w:ascii="Arial" w:hAnsi="Arial" w:cs="Arial"/>
        </w:rPr>
        <w:t>8,5</w:t>
      </w:r>
      <w:r w:rsidRPr="004A4957">
        <w:rPr>
          <w:rFonts w:ascii="Arial" w:hAnsi="Arial" w:cs="Arial"/>
        </w:rPr>
        <w:t xml:space="preserve">-fache des Welt BIP. Davon entfiel knapp ein Viertel auf den Tausch </w:t>
      </w:r>
      <w:r w:rsidR="00180533">
        <w:rPr>
          <w:rFonts w:ascii="Arial" w:hAnsi="Arial" w:cs="Arial"/>
        </w:rPr>
        <w:t>zwischen</w:t>
      </w:r>
      <w:r w:rsidR="00180533" w:rsidRPr="004A4957">
        <w:rPr>
          <w:rFonts w:ascii="Arial" w:hAnsi="Arial" w:cs="Arial"/>
        </w:rPr>
        <w:t xml:space="preserve"> </w:t>
      </w:r>
      <w:r w:rsidRPr="004A4957">
        <w:rPr>
          <w:rFonts w:ascii="Arial" w:hAnsi="Arial" w:cs="Arial"/>
        </w:rPr>
        <w:t>US</w:t>
      </w:r>
      <w:r w:rsidR="004A4957" w:rsidRPr="004A4957">
        <w:rPr>
          <w:rFonts w:ascii="Arial" w:hAnsi="Arial" w:cs="Arial"/>
        </w:rPr>
        <w:t>-</w:t>
      </w:r>
      <w:r w:rsidRPr="004A4957">
        <w:rPr>
          <w:rFonts w:ascii="Arial" w:hAnsi="Arial" w:cs="Arial"/>
        </w:rPr>
        <w:t xml:space="preserve">Dollar </w:t>
      </w:r>
      <w:r w:rsidR="00180533">
        <w:rPr>
          <w:rFonts w:ascii="Arial" w:hAnsi="Arial" w:cs="Arial"/>
        </w:rPr>
        <w:t xml:space="preserve">und </w:t>
      </w:r>
      <w:r w:rsidRPr="004A4957">
        <w:rPr>
          <w:rFonts w:ascii="Arial" w:hAnsi="Arial" w:cs="Arial"/>
        </w:rPr>
        <w:t>Euro.</w:t>
      </w:r>
    </w:p>
    <w:p w14:paraId="5ACD3E27" w14:textId="77777777" w:rsidR="008A4534" w:rsidRDefault="008A4534" w:rsidP="004A4957">
      <w:pPr>
        <w:pStyle w:val="StandardWeb"/>
        <w:spacing w:before="0" w:beforeAutospacing="0" w:after="0" w:afterAutospacing="0"/>
        <w:rPr>
          <w:rFonts w:ascii="Arial" w:hAnsi="Arial" w:cs="Arial"/>
        </w:rPr>
      </w:pPr>
    </w:p>
    <w:p w14:paraId="22B6B15C" w14:textId="7A80C39E" w:rsidR="003004A4" w:rsidRPr="00F716A1" w:rsidRDefault="00F716A1" w:rsidP="00F716A1">
      <w:pPr>
        <w:pStyle w:val="StandardWeb"/>
        <w:spacing w:before="0" w:beforeAutospacing="0" w:after="0" w:afterAutospacing="0"/>
        <w:rPr>
          <w:rFonts w:ascii="Arial" w:hAnsi="Arial" w:cs="Arial"/>
        </w:rPr>
      </w:pPr>
      <w:r>
        <w:rPr>
          <w:rFonts w:ascii="Arial" w:hAnsi="Arial" w:cs="Arial"/>
        </w:rPr>
        <w:t>A</w:t>
      </w:r>
      <w:r w:rsidR="00E5582D" w:rsidRPr="00F716A1">
        <w:rPr>
          <w:rStyle w:val="Fett"/>
          <w:rFonts w:ascii="Arial" w:hAnsi="Arial" w:cs="Arial"/>
          <w:b w:val="0"/>
        </w:rPr>
        <w:t>ls Carry Trades</w:t>
      </w:r>
      <w:r w:rsidR="00E5582D" w:rsidRPr="00F716A1">
        <w:rPr>
          <w:rFonts w:ascii="Arial" w:hAnsi="Arial" w:cs="Arial"/>
        </w:rPr>
        <w:t xml:space="preserve"> </w:t>
      </w:r>
      <w:r w:rsidR="00D44E2D">
        <w:rPr>
          <w:rFonts w:ascii="Arial" w:hAnsi="Arial" w:cs="Arial"/>
        </w:rPr>
        <w:t xml:space="preserve">wird </w:t>
      </w:r>
      <w:r w:rsidR="00E5582D" w:rsidRPr="00F716A1">
        <w:rPr>
          <w:rFonts w:ascii="Arial" w:hAnsi="Arial" w:cs="Arial"/>
        </w:rPr>
        <w:t xml:space="preserve">eine Investmentstrategie </w:t>
      </w:r>
      <w:r w:rsidR="00D44E2D">
        <w:rPr>
          <w:rFonts w:ascii="Arial" w:hAnsi="Arial" w:cs="Arial"/>
        </w:rPr>
        <w:t>a</w:t>
      </w:r>
      <w:r w:rsidR="00E5582D" w:rsidRPr="00F716A1">
        <w:rPr>
          <w:rFonts w:ascii="Arial" w:hAnsi="Arial" w:cs="Arial"/>
        </w:rPr>
        <w:t>m Devisen- und Kapitalmarkt</w:t>
      </w:r>
      <w:r w:rsidR="00D44E2D">
        <w:rPr>
          <w:rFonts w:ascii="Arial" w:hAnsi="Arial" w:cs="Arial"/>
        </w:rPr>
        <w:t xml:space="preserve"> b</w:t>
      </w:r>
      <w:r w:rsidR="00D44E2D" w:rsidRPr="00F716A1">
        <w:rPr>
          <w:rFonts w:ascii="Arial" w:hAnsi="Arial" w:cs="Arial"/>
        </w:rPr>
        <w:t>ezeichnet</w:t>
      </w:r>
      <w:r w:rsidR="00E5582D" w:rsidRPr="00F716A1">
        <w:rPr>
          <w:rFonts w:ascii="Arial" w:hAnsi="Arial" w:cs="Arial"/>
        </w:rPr>
        <w:t>, bei der Anleger versuchen, von</w:t>
      </w:r>
      <w:r w:rsidR="00D44E2D">
        <w:rPr>
          <w:rFonts w:ascii="Arial" w:hAnsi="Arial" w:cs="Arial"/>
        </w:rPr>
        <w:t xml:space="preserve"> den</w:t>
      </w:r>
      <w:r w:rsidR="00E5582D" w:rsidRPr="00F716A1">
        <w:rPr>
          <w:rFonts w:ascii="Arial" w:hAnsi="Arial" w:cs="Arial"/>
        </w:rPr>
        <w:t xml:space="preserve"> Zinsunterschieden zwischen verschiedenen Währungen zu profitieren. </w:t>
      </w:r>
      <w:r w:rsidR="0005273B" w:rsidRPr="00F716A1">
        <w:rPr>
          <w:rFonts w:ascii="Arial" w:hAnsi="Arial" w:cs="Arial"/>
        </w:rPr>
        <w:t xml:space="preserve">Wenn eine Notenbank </w:t>
      </w:r>
      <w:r w:rsidR="00E5582D" w:rsidRPr="00F716A1">
        <w:rPr>
          <w:rFonts w:ascii="Arial" w:hAnsi="Arial" w:cs="Arial"/>
        </w:rPr>
        <w:t xml:space="preserve">die </w:t>
      </w:r>
      <w:r w:rsidR="0005273B" w:rsidRPr="00F716A1">
        <w:rPr>
          <w:rFonts w:ascii="Arial" w:hAnsi="Arial" w:cs="Arial"/>
        </w:rPr>
        <w:t>Zinsen senkt</w:t>
      </w:r>
      <w:r>
        <w:rPr>
          <w:rFonts w:ascii="Arial" w:hAnsi="Arial" w:cs="Arial"/>
        </w:rPr>
        <w:t xml:space="preserve"> – </w:t>
      </w:r>
      <w:r w:rsidR="0005273B" w:rsidRPr="00F716A1">
        <w:rPr>
          <w:rFonts w:ascii="Arial" w:hAnsi="Arial" w:cs="Arial"/>
        </w:rPr>
        <w:t>oder bereits, wenn die Anleger dies erwarten</w:t>
      </w:r>
      <w:r>
        <w:rPr>
          <w:rFonts w:ascii="Arial" w:hAnsi="Arial" w:cs="Arial"/>
        </w:rPr>
        <w:t xml:space="preserve"> –</w:t>
      </w:r>
      <w:r w:rsidR="0005273B" w:rsidRPr="00F716A1">
        <w:rPr>
          <w:rFonts w:ascii="Arial" w:hAnsi="Arial" w:cs="Arial"/>
        </w:rPr>
        <w:t xml:space="preserve">, </w:t>
      </w:r>
      <w:r w:rsidR="00E5582D" w:rsidRPr="00F716A1">
        <w:rPr>
          <w:rFonts w:ascii="Arial" w:hAnsi="Arial" w:cs="Arial"/>
        </w:rPr>
        <w:t>verschieben die</w:t>
      </w:r>
      <w:r>
        <w:rPr>
          <w:rFonts w:ascii="Arial" w:hAnsi="Arial" w:cs="Arial"/>
        </w:rPr>
        <w:t xml:space="preserve"> Anleger</w:t>
      </w:r>
      <w:r w:rsidR="00E5582D" w:rsidRPr="00F716A1">
        <w:rPr>
          <w:rFonts w:ascii="Arial" w:hAnsi="Arial" w:cs="Arial"/>
        </w:rPr>
        <w:t xml:space="preserve"> </w:t>
      </w:r>
      <w:r w:rsidR="0005273B" w:rsidRPr="00F716A1">
        <w:rPr>
          <w:rFonts w:ascii="Arial" w:hAnsi="Arial" w:cs="Arial"/>
        </w:rPr>
        <w:t>ihr Kapital in ein Land mit höherer erwarteter Rendite</w:t>
      </w:r>
      <w:r w:rsidR="00E5582D" w:rsidRPr="00F716A1">
        <w:rPr>
          <w:rFonts w:ascii="Arial" w:hAnsi="Arial" w:cs="Arial"/>
        </w:rPr>
        <w:t xml:space="preserve">. </w:t>
      </w:r>
      <w:r w:rsidR="00D44E2D">
        <w:rPr>
          <w:rFonts w:ascii="Arial" w:hAnsi="Arial" w:cs="Arial"/>
        </w:rPr>
        <w:t xml:space="preserve">Dabei </w:t>
      </w:r>
      <w:r w:rsidR="00D44E2D" w:rsidRPr="00F716A1">
        <w:rPr>
          <w:rFonts w:ascii="Arial" w:hAnsi="Arial" w:cs="Arial"/>
        </w:rPr>
        <w:t xml:space="preserve">erhöht </w:t>
      </w:r>
      <w:r w:rsidR="00D44E2D">
        <w:rPr>
          <w:rFonts w:ascii="Arial" w:hAnsi="Arial" w:cs="Arial"/>
        </w:rPr>
        <w:t>d</w:t>
      </w:r>
      <w:r w:rsidR="00D44E2D" w:rsidRPr="00F716A1">
        <w:rPr>
          <w:rFonts w:ascii="Arial" w:hAnsi="Arial" w:cs="Arial"/>
        </w:rPr>
        <w:t>er</w:t>
      </w:r>
      <w:r w:rsidR="00D44E2D">
        <w:rPr>
          <w:rFonts w:ascii="Arial" w:hAnsi="Arial" w:cs="Arial"/>
        </w:rPr>
        <w:t xml:space="preserve"> K</w:t>
      </w:r>
      <w:r w:rsidR="00D44E2D" w:rsidRPr="00F716A1">
        <w:rPr>
          <w:rFonts w:ascii="Arial" w:hAnsi="Arial" w:cs="Arial"/>
        </w:rPr>
        <w:t xml:space="preserve">apitalabfluss </w:t>
      </w:r>
      <w:r w:rsidR="00E5582D" w:rsidRPr="00F716A1">
        <w:rPr>
          <w:rFonts w:ascii="Arial" w:hAnsi="Arial" w:cs="Arial"/>
        </w:rPr>
        <w:t xml:space="preserve">den Abwertungsdruck der Währung </w:t>
      </w:r>
      <w:r w:rsidRPr="00F716A1">
        <w:rPr>
          <w:rFonts w:ascii="Arial" w:hAnsi="Arial" w:cs="Arial"/>
        </w:rPr>
        <w:t>des</w:t>
      </w:r>
      <w:r>
        <w:rPr>
          <w:rFonts w:ascii="Arial" w:hAnsi="Arial" w:cs="Arial"/>
        </w:rPr>
        <w:t xml:space="preserve"> Landes, in de</w:t>
      </w:r>
      <w:r w:rsidR="00D44E2D">
        <w:rPr>
          <w:rFonts w:ascii="Arial" w:hAnsi="Arial" w:cs="Arial"/>
        </w:rPr>
        <w:t>m</w:t>
      </w:r>
      <w:r>
        <w:rPr>
          <w:rFonts w:ascii="Arial" w:hAnsi="Arial" w:cs="Arial"/>
        </w:rPr>
        <w:t xml:space="preserve"> die Zinsen gesenkt wurden</w:t>
      </w:r>
      <w:r w:rsidR="0005273B" w:rsidRPr="00F716A1">
        <w:rPr>
          <w:rFonts w:ascii="Arial" w:hAnsi="Arial" w:cs="Arial"/>
        </w:rPr>
        <w:t>.</w:t>
      </w:r>
    </w:p>
    <w:p w14:paraId="55BEEC4A" w14:textId="77777777" w:rsidR="000208FD" w:rsidRPr="000208FD" w:rsidRDefault="000208FD" w:rsidP="000208FD">
      <w:pPr>
        <w:pStyle w:val="StandardWeb"/>
        <w:spacing w:before="0" w:beforeAutospacing="0" w:after="0" w:afterAutospacing="0"/>
        <w:rPr>
          <w:rFonts w:ascii="Arial" w:hAnsi="Arial" w:cs="Arial"/>
        </w:rPr>
      </w:pPr>
    </w:p>
    <w:p w14:paraId="187BB2DE" w14:textId="45C46CB1" w:rsidR="0005273B" w:rsidRDefault="00987B8B" w:rsidP="00EF2F67">
      <w:pPr>
        <w:pStyle w:val="StandardWeb"/>
        <w:spacing w:before="0" w:beforeAutospacing="0" w:after="0" w:afterAutospacing="0"/>
        <w:rPr>
          <w:rFonts w:ascii="Arial" w:hAnsi="Arial" w:cs="Arial"/>
        </w:rPr>
      </w:pPr>
      <w:r>
        <w:rPr>
          <w:rFonts w:ascii="Arial" w:hAnsi="Arial" w:cs="Arial"/>
        </w:rPr>
        <w:t xml:space="preserve">Der Aufbau </w:t>
      </w:r>
      <w:r w:rsidR="0005273B" w:rsidRPr="000208FD">
        <w:rPr>
          <w:rFonts w:ascii="Arial" w:hAnsi="Arial" w:cs="Arial"/>
        </w:rPr>
        <w:t>eines Carry Trades</w:t>
      </w:r>
      <w:r>
        <w:rPr>
          <w:rFonts w:ascii="Arial" w:hAnsi="Arial" w:cs="Arial"/>
        </w:rPr>
        <w:t xml:space="preserve"> ist grundsätzlich nicht kompliziert</w:t>
      </w:r>
      <w:r w:rsidR="00AA66F2">
        <w:rPr>
          <w:rFonts w:ascii="Arial" w:hAnsi="Arial" w:cs="Arial"/>
        </w:rPr>
        <w:t xml:space="preserve"> und </w:t>
      </w:r>
      <w:r w:rsidR="00AA66F2" w:rsidRPr="001753E2">
        <w:rPr>
          <w:rFonts w:ascii="Arial" w:hAnsi="Arial" w:cs="Arial"/>
        </w:rPr>
        <w:t>bietet</w:t>
      </w:r>
      <w:r w:rsidR="001753E2">
        <w:rPr>
          <w:rFonts w:ascii="Arial" w:hAnsi="Arial" w:cs="Arial"/>
        </w:rPr>
        <w:t xml:space="preserve"> – </w:t>
      </w:r>
      <w:r w:rsidR="001753E2" w:rsidRPr="001753E2">
        <w:rPr>
          <w:rFonts w:ascii="Arial" w:hAnsi="Arial" w:cs="Arial"/>
        </w:rPr>
        <w:t xml:space="preserve">bei </w:t>
      </w:r>
      <w:r w:rsidR="001753E2">
        <w:rPr>
          <w:rFonts w:ascii="Arial" w:hAnsi="Arial" w:cs="Arial"/>
        </w:rPr>
        <w:t>entsprechende</w:t>
      </w:r>
      <w:r w:rsidR="001753E2" w:rsidRPr="001753E2">
        <w:rPr>
          <w:rFonts w:ascii="Arial" w:hAnsi="Arial" w:cs="Arial"/>
        </w:rPr>
        <w:t>m Risiko</w:t>
      </w:r>
      <w:r w:rsidR="001753E2">
        <w:rPr>
          <w:rFonts w:ascii="Arial" w:hAnsi="Arial" w:cs="Arial"/>
        </w:rPr>
        <w:t xml:space="preserve"> – </w:t>
      </w:r>
      <w:r w:rsidR="00AA66F2" w:rsidRPr="00AA66F2">
        <w:rPr>
          <w:rFonts w:ascii="Arial" w:hAnsi="Arial" w:cs="Arial"/>
        </w:rPr>
        <w:t>ein hohes Renditepotential</w:t>
      </w:r>
      <w:r w:rsidR="0005273B" w:rsidRPr="000208FD">
        <w:rPr>
          <w:rFonts w:ascii="Arial" w:hAnsi="Arial" w:cs="Arial"/>
        </w:rPr>
        <w:t>:</w:t>
      </w:r>
      <w:r>
        <w:rPr>
          <w:rFonts w:ascii="Arial" w:hAnsi="Arial" w:cs="Arial"/>
        </w:rPr>
        <w:t xml:space="preserve"> </w:t>
      </w:r>
      <w:r w:rsidR="0005273B" w:rsidRPr="000208FD">
        <w:rPr>
          <w:rFonts w:ascii="Arial" w:hAnsi="Arial" w:cs="Arial"/>
        </w:rPr>
        <w:t xml:space="preserve">Anleger </w:t>
      </w:r>
      <w:r w:rsidR="00EF2F67">
        <w:rPr>
          <w:rFonts w:ascii="Arial" w:hAnsi="Arial" w:cs="Arial"/>
        </w:rPr>
        <w:t xml:space="preserve">nehmen einen </w:t>
      </w:r>
      <w:r w:rsidR="00EF2F67" w:rsidRPr="00EF2F67">
        <w:rPr>
          <w:rFonts w:ascii="Arial" w:hAnsi="Arial" w:cs="Arial"/>
        </w:rPr>
        <w:t xml:space="preserve">Kredit in einer </w:t>
      </w:r>
      <w:r w:rsidR="00EF2F67">
        <w:rPr>
          <w:rFonts w:ascii="Arial" w:hAnsi="Arial" w:cs="Arial"/>
        </w:rPr>
        <w:t>W</w:t>
      </w:r>
      <w:r w:rsidR="00EF2F67" w:rsidRPr="00EF2F67">
        <w:rPr>
          <w:rFonts w:ascii="Arial" w:hAnsi="Arial" w:cs="Arial"/>
        </w:rPr>
        <w:t>ährung</w:t>
      </w:r>
      <w:r w:rsidR="00EF2F67">
        <w:rPr>
          <w:rFonts w:ascii="Arial" w:hAnsi="Arial" w:cs="Arial"/>
        </w:rPr>
        <w:t xml:space="preserve"> </w:t>
      </w:r>
      <w:r>
        <w:rPr>
          <w:rFonts w:ascii="Arial" w:hAnsi="Arial" w:cs="Arial"/>
        </w:rPr>
        <w:t>mit niedrigen Zinsen</w:t>
      </w:r>
      <w:r w:rsidR="00EF2F67">
        <w:rPr>
          <w:rFonts w:ascii="Arial" w:hAnsi="Arial" w:cs="Arial"/>
        </w:rPr>
        <w:t xml:space="preserve"> auf</w:t>
      </w:r>
      <w:r>
        <w:rPr>
          <w:rFonts w:ascii="Arial" w:hAnsi="Arial" w:cs="Arial"/>
        </w:rPr>
        <w:t xml:space="preserve">, um das </w:t>
      </w:r>
      <w:r w:rsidR="0005273B" w:rsidRPr="000208FD">
        <w:rPr>
          <w:rFonts w:ascii="Arial" w:hAnsi="Arial" w:cs="Arial"/>
        </w:rPr>
        <w:t xml:space="preserve">geliehene Geld </w:t>
      </w:r>
      <w:r w:rsidR="00EF2F67">
        <w:rPr>
          <w:rFonts w:ascii="Arial" w:hAnsi="Arial" w:cs="Arial"/>
        </w:rPr>
        <w:t xml:space="preserve">in </w:t>
      </w:r>
      <w:r w:rsidR="00EF2F67" w:rsidRPr="000208FD">
        <w:rPr>
          <w:rFonts w:ascii="Arial" w:hAnsi="Arial" w:cs="Arial"/>
        </w:rPr>
        <w:t xml:space="preserve">Staatsanleihen, Unternehmensanleihen oder andere zinstragende Anlagen </w:t>
      </w:r>
      <w:r w:rsidR="0005273B" w:rsidRPr="000208FD">
        <w:rPr>
          <w:rFonts w:ascii="Arial" w:hAnsi="Arial" w:cs="Arial"/>
        </w:rPr>
        <w:t>in eine</w:t>
      </w:r>
      <w:r w:rsidR="00EF2F67">
        <w:rPr>
          <w:rFonts w:ascii="Arial" w:hAnsi="Arial" w:cs="Arial"/>
        </w:rPr>
        <w:t>r</w:t>
      </w:r>
      <w:r w:rsidR="0005273B" w:rsidRPr="000208FD">
        <w:rPr>
          <w:rFonts w:ascii="Arial" w:hAnsi="Arial" w:cs="Arial"/>
        </w:rPr>
        <w:t xml:space="preserve"> Währung mit höheren Zinsen </w:t>
      </w:r>
      <w:r>
        <w:rPr>
          <w:rFonts w:ascii="Arial" w:hAnsi="Arial" w:cs="Arial"/>
        </w:rPr>
        <w:t xml:space="preserve">zu </w:t>
      </w:r>
      <w:r w:rsidR="0005273B" w:rsidRPr="000208FD">
        <w:rPr>
          <w:rFonts w:ascii="Arial" w:hAnsi="Arial" w:cs="Arial"/>
        </w:rPr>
        <w:t>investier</w:t>
      </w:r>
      <w:r>
        <w:rPr>
          <w:rFonts w:ascii="Arial" w:hAnsi="Arial" w:cs="Arial"/>
        </w:rPr>
        <w:t xml:space="preserve">en. </w:t>
      </w:r>
      <w:r w:rsidR="0005273B" w:rsidRPr="000208FD">
        <w:rPr>
          <w:rFonts w:ascii="Arial" w:hAnsi="Arial" w:cs="Arial"/>
        </w:rPr>
        <w:t>Der Gewinn ergibt sich aus der Zinsdifferenz zwischen der Niedrigzins- und der Hochzinswährung, abzüglich eventueller Transaktionskosten</w:t>
      </w:r>
      <w:r w:rsidR="00A416D8">
        <w:rPr>
          <w:rFonts w:ascii="Arial" w:hAnsi="Arial" w:cs="Arial"/>
        </w:rPr>
        <w:t xml:space="preserve"> und Wechselkursschwankungen</w:t>
      </w:r>
      <w:r w:rsidR="0005273B" w:rsidRPr="000208FD">
        <w:rPr>
          <w:rFonts w:ascii="Arial" w:hAnsi="Arial" w:cs="Arial"/>
        </w:rPr>
        <w:t>.</w:t>
      </w:r>
      <w:r w:rsidR="00B708D6">
        <w:rPr>
          <w:rFonts w:ascii="Arial" w:hAnsi="Arial" w:cs="Arial"/>
        </w:rPr>
        <w:t xml:space="preserve"> </w:t>
      </w:r>
      <w:r w:rsidR="00EF2F67">
        <w:rPr>
          <w:rFonts w:ascii="Arial" w:hAnsi="Arial" w:cs="Arial"/>
        </w:rPr>
        <w:t xml:space="preserve">Ein </w:t>
      </w:r>
      <w:r w:rsidR="0005273B" w:rsidRPr="00EF2F67">
        <w:rPr>
          <w:rFonts w:ascii="Arial" w:hAnsi="Arial" w:cs="Arial"/>
        </w:rPr>
        <w:t>Beispiel:</w:t>
      </w:r>
      <w:r w:rsidR="00EF2F67">
        <w:rPr>
          <w:rFonts w:ascii="Arial" w:hAnsi="Arial" w:cs="Arial"/>
        </w:rPr>
        <w:t xml:space="preserve"> </w:t>
      </w:r>
      <w:r w:rsidR="0005273B" w:rsidRPr="00EF2F67">
        <w:rPr>
          <w:rFonts w:ascii="Arial" w:hAnsi="Arial" w:cs="Arial"/>
        </w:rPr>
        <w:t xml:space="preserve">Ein Anleger leiht sich 1 Million </w:t>
      </w:r>
      <w:proofErr w:type="gramStart"/>
      <w:r w:rsidR="0005273B" w:rsidRPr="00EF2F67">
        <w:rPr>
          <w:rFonts w:ascii="Arial" w:hAnsi="Arial" w:cs="Arial"/>
        </w:rPr>
        <w:t>Japanische</w:t>
      </w:r>
      <w:proofErr w:type="gramEnd"/>
      <w:r w:rsidR="0005273B" w:rsidRPr="00EF2F67">
        <w:rPr>
          <w:rFonts w:ascii="Arial" w:hAnsi="Arial" w:cs="Arial"/>
        </w:rPr>
        <w:t xml:space="preserve"> Yen </w:t>
      </w:r>
      <w:r w:rsidR="00583152">
        <w:rPr>
          <w:rFonts w:ascii="Arial" w:hAnsi="Arial" w:cs="Arial"/>
        </w:rPr>
        <w:t xml:space="preserve">(JPY) </w:t>
      </w:r>
      <w:r w:rsidR="0005273B" w:rsidRPr="00EF2F67">
        <w:rPr>
          <w:rFonts w:ascii="Arial" w:hAnsi="Arial" w:cs="Arial"/>
        </w:rPr>
        <w:t>zu einem Zinssatz von 0,5 </w:t>
      </w:r>
      <w:r w:rsidR="00583152">
        <w:rPr>
          <w:rFonts w:ascii="Arial" w:hAnsi="Arial" w:cs="Arial"/>
        </w:rPr>
        <w:t xml:space="preserve">Prozent, </w:t>
      </w:r>
      <w:r w:rsidR="0005273B" w:rsidRPr="00EF2F67">
        <w:rPr>
          <w:rFonts w:ascii="Arial" w:hAnsi="Arial" w:cs="Arial"/>
        </w:rPr>
        <w:t xml:space="preserve">tauscht die </w:t>
      </w:r>
      <w:r w:rsidR="0005273B" w:rsidRPr="00EF2F67">
        <w:rPr>
          <w:rFonts w:ascii="Arial" w:hAnsi="Arial" w:cs="Arial"/>
        </w:rPr>
        <w:lastRenderedPageBreak/>
        <w:t xml:space="preserve">Yen in Australische Dollar </w:t>
      </w:r>
      <w:r w:rsidR="00583152">
        <w:rPr>
          <w:rFonts w:ascii="Arial" w:hAnsi="Arial" w:cs="Arial"/>
        </w:rPr>
        <w:t xml:space="preserve">(AUD) </w:t>
      </w:r>
      <w:r w:rsidR="0005273B" w:rsidRPr="00EF2F67">
        <w:rPr>
          <w:rFonts w:ascii="Arial" w:hAnsi="Arial" w:cs="Arial"/>
        </w:rPr>
        <w:t>und investiert diese in australische Staatsanleihen mit einer Rendite von 4,5 </w:t>
      </w:r>
      <w:r w:rsidR="00583152">
        <w:rPr>
          <w:rFonts w:ascii="Arial" w:hAnsi="Arial" w:cs="Arial"/>
        </w:rPr>
        <w:t>Prozent</w:t>
      </w:r>
      <w:r w:rsidR="0005273B" w:rsidRPr="00EF2F67">
        <w:rPr>
          <w:rFonts w:ascii="Arial" w:hAnsi="Arial" w:cs="Arial"/>
        </w:rPr>
        <w:t>.</w:t>
      </w:r>
      <w:r w:rsidR="00583152">
        <w:rPr>
          <w:rFonts w:ascii="Arial" w:hAnsi="Arial" w:cs="Arial"/>
        </w:rPr>
        <w:t xml:space="preserve"> Bei gleichbleibenden JPY-AUD-Wechselkurs stellt die </w:t>
      </w:r>
      <w:r w:rsidR="0005273B" w:rsidRPr="00EF2F67">
        <w:rPr>
          <w:rFonts w:ascii="Arial" w:hAnsi="Arial" w:cs="Arial"/>
        </w:rPr>
        <w:t>Differenz von 4 </w:t>
      </w:r>
      <w:r w:rsidR="00583152">
        <w:rPr>
          <w:rFonts w:ascii="Arial" w:hAnsi="Arial" w:cs="Arial"/>
        </w:rPr>
        <w:t>Prozent</w:t>
      </w:r>
      <w:r w:rsidR="0005273B" w:rsidRPr="00EF2F67">
        <w:rPr>
          <w:rFonts w:ascii="Arial" w:hAnsi="Arial" w:cs="Arial"/>
        </w:rPr>
        <w:t xml:space="preserve"> (4,5 </w:t>
      </w:r>
      <w:r w:rsidR="00583152">
        <w:rPr>
          <w:rFonts w:ascii="Arial" w:hAnsi="Arial" w:cs="Arial"/>
        </w:rPr>
        <w:t xml:space="preserve">minus </w:t>
      </w:r>
      <w:r w:rsidR="0005273B" w:rsidRPr="00EF2F67">
        <w:rPr>
          <w:rFonts w:ascii="Arial" w:hAnsi="Arial" w:cs="Arial"/>
        </w:rPr>
        <w:t>0,5 </w:t>
      </w:r>
      <w:r w:rsidR="00583152">
        <w:rPr>
          <w:rFonts w:ascii="Arial" w:hAnsi="Arial" w:cs="Arial"/>
        </w:rPr>
        <w:t>Prozent</w:t>
      </w:r>
      <w:r w:rsidR="0005273B" w:rsidRPr="00EF2F67">
        <w:rPr>
          <w:rFonts w:ascii="Arial" w:hAnsi="Arial" w:cs="Arial"/>
        </w:rPr>
        <w:t>) den</w:t>
      </w:r>
      <w:r w:rsidR="00583152">
        <w:rPr>
          <w:rFonts w:ascii="Arial" w:hAnsi="Arial" w:cs="Arial"/>
        </w:rPr>
        <w:t xml:space="preserve"> G</w:t>
      </w:r>
      <w:r w:rsidR="0005273B" w:rsidRPr="00EF2F67">
        <w:rPr>
          <w:rFonts w:ascii="Arial" w:hAnsi="Arial" w:cs="Arial"/>
        </w:rPr>
        <w:t xml:space="preserve">ewinn </w:t>
      </w:r>
      <w:r w:rsidR="00583152">
        <w:rPr>
          <w:rFonts w:ascii="Arial" w:hAnsi="Arial" w:cs="Arial"/>
        </w:rPr>
        <w:t xml:space="preserve">des Anlegers </w:t>
      </w:r>
      <w:r w:rsidR="0005273B" w:rsidRPr="00EF2F67">
        <w:rPr>
          <w:rFonts w:ascii="Arial" w:hAnsi="Arial" w:cs="Arial"/>
        </w:rPr>
        <w:t>dar.</w:t>
      </w:r>
    </w:p>
    <w:p w14:paraId="5C89BC46" w14:textId="77777777" w:rsidR="00B708D6" w:rsidRDefault="00B708D6" w:rsidP="00EF2F67">
      <w:pPr>
        <w:pStyle w:val="StandardWeb"/>
        <w:spacing w:before="0" w:beforeAutospacing="0" w:after="0" w:afterAutospacing="0"/>
        <w:rPr>
          <w:rFonts w:ascii="Arial" w:hAnsi="Arial" w:cs="Arial"/>
        </w:rPr>
      </w:pPr>
    </w:p>
    <w:p w14:paraId="2B08AA2A" w14:textId="746E048D" w:rsidR="00B708D6" w:rsidRPr="00E34F89" w:rsidRDefault="00B708D6" w:rsidP="00B708D6">
      <w:pPr>
        <w:pStyle w:val="StandardWeb"/>
        <w:spacing w:before="0" w:beforeAutospacing="0" w:after="0" w:afterAutospacing="0"/>
        <w:rPr>
          <w:rFonts w:ascii="Arial" w:hAnsi="Arial" w:cs="Arial"/>
        </w:rPr>
      </w:pPr>
      <w:r>
        <w:rPr>
          <w:rFonts w:ascii="Arial" w:hAnsi="Arial" w:cs="Arial"/>
        </w:rPr>
        <w:t>Die Risiken des Anlegers ergeben sich aus Zins- und Wechselkursänderungen. U</w:t>
      </w:r>
      <w:r w:rsidRPr="00B708D6">
        <w:rPr>
          <w:rFonts w:ascii="Arial" w:hAnsi="Arial" w:cs="Arial"/>
        </w:rPr>
        <w:t>nerwartete wirtschaftliche oder politische Ereignisse können die Wechselkurse stark beeinflussen.</w:t>
      </w:r>
      <w:r>
        <w:rPr>
          <w:rFonts w:ascii="Arial" w:hAnsi="Arial" w:cs="Arial"/>
        </w:rPr>
        <w:t xml:space="preserve"> Die Gewinne des Anlegers verringern sich bei einer Aufwertung der </w:t>
      </w:r>
      <w:r w:rsidRPr="00E34F89">
        <w:rPr>
          <w:rFonts w:ascii="Arial" w:hAnsi="Arial" w:cs="Arial"/>
        </w:rPr>
        <w:t xml:space="preserve">Niedrigzinswährung bzw. bei einer Abwertung </w:t>
      </w:r>
      <w:r w:rsidR="00E34F89" w:rsidRPr="00E34F89">
        <w:rPr>
          <w:rFonts w:ascii="Arial" w:hAnsi="Arial" w:cs="Arial"/>
        </w:rPr>
        <w:t xml:space="preserve">der </w:t>
      </w:r>
      <w:r w:rsidRPr="00E34F89">
        <w:rPr>
          <w:rFonts w:ascii="Arial" w:hAnsi="Arial" w:cs="Arial"/>
        </w:rPr>
        <w:t xml:space="preserve">Hochzinswährung sowie bei sinkenden Zinsen bei den </w:t>
      </w:r>
      <w:r w:rsidRPr="000208FD">
        <w:rPr>
          <w:rFonts w:ascii="Arial" w:hAnsi="Arial" w:cs="Arial"/>
        </w:rPr>
        <w:t>zinstragende</w:t>
      </w:r>
      <w:r>
        <w:rPr>
          <w:rFonts w:ascii="Arial" w:hAnsi="Arial" w:cs="Arial"/>
        </w:rPr>
        <w:t>n</w:t>
      </w:r>
      <w:r w:rsidRPr="000208FD">
        <w:rPr>
          <w:rFonts w:ascii="Arial" w:hAnsi="Arial" w:cs="Arial"/>
        </w:rPr>
        <w:t xml:space="preserve"> Anlagen</w:t>
      </w:r>
      <w:r>
        <w:rPr>
          <w:rFonts w:ascii="Arial" w:hAnsi="Arial" w:cs="Arial"/>
        </w:rPr>
        <w:t xml:space="preserve"> bzw. bei steigenden Kreditzinsen (sofern </w:t>
      </w:r>
      <w:r w:rsidR="00D37E6B">
        <w:rPr>
          <w:rFonts w:ascii="Arial" w:hAnsi="Arial" w:cs="Arial"/>
        </w:rPr>
        <w:t>kein Festzins vereinbart wurde)</w:t>
      </w:r>
      <w:r>
        <w:rPr>
          <w:rFonts w:ascii="Arial" w:hAnsi="Arial" w:cs="Arial"/>
        </w:rPr>
        <w:t>.</w:t>
      </w:r>
      <w:r w:rsidR="00D37E6B">
        <w:rPr>
          <w:rFonts w:ascii="Arial" w:hAnsi="Arial" w:cs="Arial"/>
        </w:rPr>
        <w:t xml:space="preserve"> Gegen die Wechselkursschwankungen kann sich der Anleger absichern, allerdings steigen dadurch seine </w:t>
      </w:r>
      <w:r w:rsidR="00D37E6B" w:rsidRPr="000208FD">
        <w:rPr>
          <w:rFonts w:ascii="Arial" w:hAnsi="Arial" w:cs="Arial"/>
        </w:rPr>
        <w:t>Transaktionskosten</w:t>
      </w:r>
      <w:r w:rsidR="002440C6">
        <w:rPr>
          <w:rFonts w:ascii="Arial" w:hAnsi="Arial" w:cs="Arial"/>
        </w:rPr>
        <w:t>.</w:t>
      </w:r>
    </w:p>
    <w:p w14:paraId="0674D3D8" w14:textId="77777777" w:rsidR="00B708D6" w:rsidRPr="00E34F89" w:rsidRDefault="00B708D6" w:rsidP="00B708D6">
      <w:pPr>
        <w:pStyle w:val="StandardWeb"/>
        <w:spacing w:before="0" w:beforeAutospacing="0" w:after="0" w:afterAutospacing="0"/>
        <w:rPr>
          <w:rFonts w:ascii="Arial" w:hAnsi="Arial" w:cs="Arial"/>
          <w:b/>
          <w:bCs/>
        </w:rPr>
      </w:pPr>
    </w:p>
    <w:p w14:paraId="6FDB3BCF" w14:textId="77777777" w:rsidR="00273F7F" w:rsidRPr="00A416D8" w:rsidRDefault="00273F7F" w:rsidP="00273F7F">
      <w:pPr>
        <w:pStyle w:val="StandardWeb"/>
        <w:spacing w:before="0" w:beforeAutospacing="0" w:after="0" w:afterAutospacing="0"/>
        <w:rPr>
          <w:rFonts w:ascii="Arial" w:hAnsi="Arial" w:cs="Arial"/>
          <w:color w:val="FF0000"/>
        </w:rPr>
      </w:pPr>
      <w:r>
        <w:rPr>
          <w:rFonts w:ascii="Arial" w:hAnsi="Arial" w:cs="Arial"/>
          <w:color w:val="FF0000"/>
        </w:rPr>
        <w:t>Datenq</w:t>
      </w:r>
      <w:r w:rsidRPr="00A416D8">
        <w:rPr>
          <w:rFonts w:ascii="Arial" w:hAnsi="Arial" w:cs="Arial"/>
          <w:color w:val="FF0000"/>
        </w:rPr>
        <w:t>uelle</w:t>
      </w:r>
    </w:p>
    <w:p w14:paraId="48926078" w14:textId="77777777" w:rsidR="00273F7F" w:rsidRPr="00A416D8" w:rsidRDefault="00273F7F" w:rsidP="00273F7F">
      <w:pPr>
        <w:pStyle w:val="StandardWeb"/>
        <w:spacing w:before="0" w:beforeAutospacing="0" w:after="0" w:afterAutospacing="0"/>
        <w:rPr>
          <w:rFonts w:ascii="Arial" w:hAnsi="Arial" w:cs="Arial"/>
        </w:rPr>
      </w:pPr>
    </w:p>
    <w:p w14:paraId="328BC791" w14:textId="77777777" w:rsidR="00273F7F" w:rsidRPr="003121B0" w:rsidRDefault="00273F7F" w:rsidP="00273F7F">
      <w:pPr>
        <w:pStyle w:val="StandardWeb"/>
        <w:spacing w:before="0" w:beforeAutospacing="0" w:after="0" w:afterAutospacing="0"/>
        <w:rPr>
          <w:rStyle w:val="Hyperlink"/>
          <w:rFonts w:ascii="Arial" w:hAnsi="Arial" w:cs="Arial"/>
          <w:lang w:val="en-US"/>
        </w:rPr>
      </w:pPr>
      <w:r w:rsidRPr="008B4EEC">
        <w:rPr>
          <w:rFonts w:ascii="Arial" w:hAnsi="Arial" w:cs="Arial"/>
          <w:lang w:val="en-US"/>
        </w:rPr>
        <w:t xml:space="preserve">Bank for International Settlements: Triennial Central Bank Survey of foreign exchange and </w:t>
      </w:r>
      <w:proofErr w:type="gramStart"/>
      <w:r w:rsidRPr="008B4EEC">
        <w:rPr>
          <w:rFonts w:ascii="Arial" w:hAnsi="Arial" w:cs="Arial"/>
          <w:lang w:val="en-US"/>
        </w:rPr>
        <w:t>Over-the-counter</w:t>
      </w:r>
      <w:proofErr w:type="gramEnd"/>
      <w:r w:rsidRPr="008B4EEC">
        <w:rPr>
          <w:rFonts w:ascii="Arial" w:hAnsi="Arial" w:cs="Arial"/>
          <w:lang w:val="en-US"/>
        </w:rPr>
        <w:t xml:space="preserve"> (OTC) derivatives markets in 2022:</w:t>
      </w:r>
      <w:r w:rsidRPr="003121B0">
        <w:rPr>
          <w:rFonts w:ascii="Arial" w:hAnsi="Arial" w:cs="Arial"/>
          <w:lang w:val="en-US"/>
        </w:rPr>
        <w:t xml:space="preserve"> </w:t>
      </w:r>
      <w:hyperlink r:id="rId7" w:history="1">
        <w:r w:rsidRPr="003121B0">
          <w:rPr>
            <w:rStyle w:val="Hyperlink"/>
            <w:rFonts w:ascii="Arial" w:hAnsi="Arial" w:cs="Arial"/>
            <w:lang w:val="en-US"/>
          </w:rPr>
          <w:t>https://www.bis.org/statistics/rpfx22.htm</w:t>
        </w:r>
      </w:hyperlink>
    </w:p>
    <w:p w14:paraId="3773D5B3" w14:textId="77777777" w:rsidR="00273F7F" w:rsidRPr="008B4EEC" w:rsidRDefault="00273F7F" w:rsidP="00273F7F">
      <w:pPr>
        <w:pStyle w:val="StandardWeb"/>
        <w:spacing w:before="0" w:beforeAutospacing="0" w:after="0" w:afterAutospacing="0"/>
        <w:rPr>
          <w:rFonts w:ascii="Arial" w:hAnsi="Arial" w:cs="Arial"/>
          <w:lang w:val="en-US"/>
        </w:rPr>
      </w:pPr>
    </w:p>
    <w:p w14:paraId="71DA0D90" w14:textId="77777777" w:rsidR="00273F7F" w:rsidRDefault="00273F7F" w:rsidP="00273F7F">
      <w:pPr>
        <w:pStyle w:val="StandardWeb"/>
        <w:spacing w:before="0" w:beforeAutospacing="0" w:after="0" w:afterAutospacing="0"/>
        <w:rPr>
          <w:rFonts w:ascii="Arial" w:hAnsi="Arial" w:cs="Arial"/>
        </w:rPr>
      </w:pPr>
      <w:r>
        <w:rPr>
          <w:rFonts w:ascii="Arial" w:hAnsi="Arial" w:cs="Arial"/>
        </w:rPr>
        <w:t>D</w:t>
      </w:r>
      <w:r w:rsidRPr="003121B0">
        <w:rPr>
          <w:rFonts w:ascii="Arial" w:hAnsi="Arial" w:cs="Arial"/>
        </w:rPr>
        <w:t>eutsche Bundesbank</w:t>
      </w:r>
      <w:r>
        <w:rPr>
          <w:rFonts w:ascii="Arial" w:hAnsi="Arial" w:cs="Arial"/>
        </w:rPr>
        <w:t>:</w:t>
      </w:r>
      <w:r w:rsidRPr="003121B0">
        <w:rPr>
          <w:rFonts w:ascii="Arial" w:hAnsi="Arial" w:cs="Arial"/>
        </w:rPr>
        <w:t xml:space="preserve"> Zinsstrukturkurve für börsennotierte Bundeswertpapiere (Monats- und Tageswerte):</w:t>
      </w:r>
      <w:r>
        <w:rPr>
          <w:rFonts w:ascii="Arial" w:hAnsi="Arial" w:cs="Arial"/>
        </w:rPr>
        <w:t xml:space="preserve"> </w:t>
      </w:r>
      <w:hyperlink r:id="rId8" w:history="1">
        <w:r w:rsidRPr="00256E9D">
          <w:rPr>
            <w:rStyle w:val="Hyperlink"/>
            <w:rFonts w:ascii="Arial" w:hAnsi="Arial" w:cs="Arial"/>
          </w:rPr>
          <w:t>https://www.bundesbank.de/dynamic/action/de/statistiken/zeitreihen-datenbanken/zeitreihen-datenbank/759778/759778?listId=www_skms_it03a</w:t>
        </w:r>
      </w:hyperlink>
    </w:p>
    <w:p w14:paraId="55474FD6" w14:textId="77777777" w:rsidR="00273F7F" w:rsidRDefault="00273F7F" w:rsidP="00273F7F">
      <w:pPr>
        <w:pStyle w:val="StandardWeb"/>
        <w:spacing w:before="0" w:beforeAutospacing="0" w:after="0" w:afterAutospacing="0"/>
        <w:rPr>
          <w:rFonts w:ascii="Arial" w:hAnsi="Arial" w:cs="Arial"/>
        </w:rPr>
      </w:pPr>
    </w:p>
    <w:p w14:paraId="2BCEAEC4" w14:textId="77777777" w:rsidR="00273F7F" w:rsidRDefault="00273F7F" w:rsidP="00273F7F">
      <w:pPr>
        <w:pStyle w:val="StandardWeb"/>
        <w:spacing w:before="0" w:beforeAutospacing="0" w:after="0" w:afterAutospacing="0"/>
        <w:rPr>
          <w:rStyle w:val="Hyperlink"/>
          <w:rFonts w:ascii="Arial" w:hAnsi="Arial" w:cs="Arial"/>
          <w:lang w:val="en-US"/>
        </w:rPr>
      </w:pPr>
      <w:r w:rsidRPr="008B4EEC">
        <w:rPr>
          <w:rFonts w:ascii="Arial" w:hAnsi="Arial" w:cs="Arial"/>
          <w:lang w:val="en-US"/>
        </w:rPr>
        <w:t xml:space="preserve">Federal Reserve Bank of St. Louis: Market Yield on U.S. Treasury Securities at 1-Year Constant Maturity, Quoted on an Investment Basis: </w:t>
      </w:r>
      <w:hyperlink r:id="rId9" w:history="1">
        <w:r w:rsidRPr="008B4EEC">
          <w:rPr>
            <w:rStyle w:val="Hyperlink"/>
            <w:rFonts w:ascii="Arial" w:hAnsi="Arial" w:cs="Arial"/>
            <w:lang w:val="en-US"/>
          </w:rPr>
          <w:t>https://fred.stlouisfed.org/series/DGS1/</w:t>
        </w:r>
      </w:hyperlink>
      <w:r w:rsidRPr="008B4EEC">
        <w:rPr>
          <w:rFonts w:ascii="Arial" w:hAnsi="Arial" w:cs="Arial"/>
          <w:lang w:val="en-US"/>
        </w:rPr>
        <w:t xml:space="preserve">, Germany / U.S. Foreign Exchange Rate: </w:t>
      </w:r>
      <w:hyperlink r:id="rId10" w:history="1">
        <w:r w:rsidRPr="008B4EEC">
          <w:rPr>
            <w:rStyle w:val="Hyperlink"/>
            <w:rFonts w:ascii="Arial" w:hAnsi="Arial" w:cs="Arial"/>
            <w:lang w:val="en-US"/>
          </w:rPr>
          <w:t>https://fred.stlouisfed.org/series/EXGEUS</w:t>
        </w:r>
      </w:hyperlink>
    </w:p>
    <w:p w14:paraId="33136FDE" w14:textId="77777777" w:rsidR="00273F7F" w:rsidRDefault="00273F7F" w:rsidP="00273F7F">
      <w:pPr>
        <w:pStyle w:val="StandardWeb"/>
        <w:spacing w:before="0" w:beforeAutospacing="0" w:after="0" w:afterAutospacing="0"/>
        <w:rPr>
          <w:rStyle w:val="Hyperlink"/>
          <w:rFonts w:ascii="Arial" w:hAnsi="Arial" w:cs="Arial"/>
          <w:lang w:val="en-US"/>
        </w:rPr>
      </w:pPr>
    </w:p>
    <w:p w14:paraId="4AEFBCFE" w14:textId="77777777" w:rsidR="004042D4" w:rsidRPr="00262077" w:rsidRDefault="004042D4" w:rsidP="00B708D6">
      <w:pPr>
        <w:pStyle w:val="StandardWeb"/>
        <w:spacing w:before="0" w:beforeAutospacing="0" w:after="0" w:afterAutospacing="0"/>
        <w:rPr>
          <w:rFonts w:ascii="Arial" w:hAnsi="Arial"/>
          <w:color w:val="FF0000"/>
        </w:rPr>
      </w:pPr>
      <w:r w:rsidRPr="00262077">
        <w:rPr>
          <w:rFonts w:ascii="Arial" w:hAnsi="Arial"/>
          <w:color w:val="FF0000"/>
        </w:rPr>
        <w:t>Begriffe, methodische Anmerkungen oder Lesehilfen</w:t>
      </w:r>
    </w:p>
    <w:p w14:paraId="6A32269A" w14:textId="77777777" w:rsidR="00D37E6B" w:rsidRDefault="00D37E6B" w:rsidP="00D37E6B">
      <w:pPr>
        <w:pStyle w:val="StandardWeb"/>
        <w:spacing w:before="0" w:beforeAutospacing="0" w:after="0" w:afterAutospacing="0"/>
        <w:rPr>
          <w:rFonts w:ascii="Arial" w:hAnsi="Arial" w:cs="Arial"/>
        </w:rPr>
      </w:pPr>
    </w:p>
    <w:p w14:paraId="37988B6F" w14:textId="1BDCFB00" w:rsidR="001753E2" w:rsidRDefault="003004A4" w:rsidP="001753E2">
      <w:pPr>
        <w:pStyle w:val="StandardWeb"/>
        <w:spacing w:before="0" w:beforeAutospacing="0" w:after="0" w:afterAutospacing="0"/>
        <w:rPr>
          <w:rFonts w:ascii="Arial" w:hAnsi="Arial" w:cs="Arial"/>
        </w:rPr>
      </w:pPr>
      <w:r w:rsidRPr="00D37E6B">
        <w:rPr>
          <w:rFonts w:ascii="Arial" w:hAnsi="Arial" w:cs="Arial"/>
        </w:rPr>
        <w:t xml:space="preserve">Die </w:t>
      </w:r>
      <w:r w:rsidRPr="003121B0">
        <w:rPr>
          <w:rFonts w:ascii="Arial" w:hAnsi="Arial" w:cs="Arial"/>
          <w:b/>
        </w:rPr>
        <w:t>Kaufkraftparität</w:t>
      </w:r>
      <w:r w:rsidR="00687340">
        <w:rPr>
          <w:rFonts w:ascii="Arial" w:hAnsi="Arial" w:cs="Arial"/>
          <w:b/>
        </w:rPr>
        <w:t>entheorie</w:t>
      </w:r>
      <w:r w:rsidR="00D37E6B" w:rsidRPr="00D37E6B">
        <w:rPr>
          <w:rFonts w:ascii="Arial" w:hAnsi="Arial" w:cs="Arial"/>
        </w:rPr>
        <w:t xml:space="preserve"> </w:t>
      </w:r>
      <w:r w:rsidRPr="00D37E6B">
        <w:rPr>
          <w:rFonts w:ascii="Arial" w:hAnsi="Arial" w:cs="Arial"/>
        </w:rPr>
        <w:t>basiert auf dem Gesetz des einheitlichen Preises, das besagt, dass identische Güter in verschiedenen Ländern – unter Berücksichtigung des Wechselkurses – gleich viel kosten sollten, da es sonst zu Arbitrage käme. Langfristig passen sich Preise und Wechselkurse an, um Unterschiede auszugleichen.</w:t>
      </w:r>
      <w:r w:rsidR="00D37E6B">
        <w:rPr>
          <w:rFonts w:ascii="Arial" w:hAnsi="Arial" w:cs="Arial"/>
        </w:rPr>
        <w:t xml:space="preserve"> </w:t>
      </w:r>
      <w:r w:rsidRPr="00333A80">
        <w:rPr>
          <w:rFonts w:ascii="Arial" w:hAnsi="Arial" w:cs="Arial"/>
        </w:rPr>
        <w:t>Das Modell eignet sich vor allem zur Erklärung langfristiger Wechselkursentwicklungen, da es kurzfristige Marktschwankungen und Kapitalflüsse nicht berücksichtigt.</w:t>
      </w:r>
      <w:r w:rsidR="00D37E6B" w:rsidRPr="00333A80">
        <w:rPr>
          <w:rFonts w:ascii="Arial" w:hAnsi="Arial" w:cs="Arial"/>
        </w:rPr>
        <w:t xml:space="preserve"> E</w:t>
      </w:r>
      <w:r w:rsidRPr="00333A80">
        <w:rPr>
          <w:rFonts w:ascii="Arial" w:hAnsi="Arial" w:cs="Arial"/>
        </w:rPr>
        <w:t xml:space="preserve">mpirische Evidenz für die </w:t>
      </w:r>
      <w:r w:rsidR="00D37E6B" w:rsidRPr="00687340">
        <w:rPr>
          <w:rFonts w:ascii="Arial" w:hAnsi="Arial" w:cs="Arial"/>
        </w:rPr>
        <w:t>Kaufkraftparität</w:t>
      </w:r>
      <w:r w:rsidR="00687340" w:rsidRPr="00687340">
        <w:rPr>
          <w:rFonts w:ascii="Arial" w:hAnsi="Arial" w:cs="Arial"/>
        </w:rPr>
        <w:t>entheorie</w:t>
      </w:r>
      <w:r w:rsidR="00D37E6B" w:rsidRPr="00D37E6B">
        <w:rPr>
          <w:rFonts w:ascii="Arial" w:hAnsi="Arial" w:cs="Arial"/>
        </w:rPr>
        <w:t xml:space="preserve"> </w:t>
      </w:r>
      <w:r w:rsidRPr="00333A80">
        <w:rPr>
          <w:rFonts w:ascii="Arial" w:hAnsi="Arial" w:cs="Arial"/>
        </w:rPr>
        <w:t>ist schwierig zu finden. Sie gilt nur auf sehr lange Frist und bei großen Preisunterschieden.</w:t>
      </w:r>
      <w:r w:rsidR="00333A80" w:rsidRPr="00333A80">
        <w:rPr>
          <w:rFonts w:ascii="Arial" w:hAnsi="Arial" w:cs="Arial"/>
        </w:rPr>
        <w:t xml:space="preserve"> </w:t>
      </w:r>
      <w:r w:rsidRPr="00333A80">
        <w:rPr>
          <w:rFonts w:ascii="Arial" w:hAnsi="Arial" w:cs="Arial"/>
        </w:rPr>
        <w:t>Ein Grund hierfür sind Transportkosten und die Tatsache, dass viele Güter oder Dienstleistungen (z</w:t>
      </w:r>
      <w:r w:rsidR="00333A80" w:rsidRPr="00333A80">
        <w:rPr>
          <w:rFonts w:ascii="Arial" w:hAnsi="Arial" w:cs="Arial"/>
        </w:rPr>
        <w:t xml:space="preserve">um Beispiel Restaurant- oder </w:t>
      </w:r>
      <w:r w:rsidR="00333A80" w:rsidRPr="008230B8">
        <w:rPr>
          <w:rFonts w:ascii="Arial" w:hAnsi="Arial" w:cs="Arial"/>
        </w:rPr>
        <w:t>Friseurbesuche</w:t>
      </w:r>
      <w:r w:rsidRPr="008230B8">
        <w:rPr>
          <w:rFonts w:ascii="Arial" w:hAnsi="Arial" w:cs="Arial"/>
        </w:rPr>
        <w:t xml:space="preserve">) nicht handelbar sind, Preisunterschiede </w:t>
      </w:r>
      <w:r w:rsidR="00333A80" w:rsidRPr="008230B8">
        <w:rPr>
          <w:rFonts w:ascii="Arial" w:hAnsi="Arial" w:cs="Arial"/>
        </w:rPr>
        <w:t xml:space="preserve">also </w:t>
      </w:r>
      <w:r w:rsidRPr="008230B8">
        <w:rPr>
          <w:rFonts w:ascii="Arial" w:hAnsi="Arial" w:cs="Arial"/>
        </w:rPr>
        <w:t>nicht mittels Arbitrage ausgenutzt werden können.</w:t>
      </w:r>
      <w:r w:rsidR="001753E2">
        <w:rPr>
          <w:rFonts w:ascii="Arial" w:hAnsi="Arial" w:cs="Arial"/>
        </w:rPr>
        <w:t xml:space="preserve"> Fachwissenschaftliche Informationen zur Kaufkraftparitätentheorie finden Sie beispielsweise hier: </w:t>
      </w:r>
    </w:p>
    <w:p w14:paraId="40CF6C4A" w14:textId="0795E926" w:rsidR="001753E2" w:rsidRDefault="001753E2" w:rsidP="001753E2">
      <w:pPr>
        <w:pStyle w:val="StandardWeb"/>
        <w:spacing w:before="0" w:beforeAutospacing="0" w:after="0" w:afterAutospacing="0"/>
        <w:rPr>
          <w:rFonts w:ascii="Arial" w:hAnsi="Arial" w:cs="Arial"/>
        </w:rPr>
      </w:pPr>
      <w:hyperlink r:id="rId11" w:history="1">
        <w:r w:rsidRPr="005032E9">
          <w:rPr>
            <w:rStyle w:val="Hyperlink"/>
            <w:rFonts w:ascii="Arial" w:hAnsi="Arial" w:cs="Arial"/>
          </w:rPr>
          <w:t>https://dynamische-vwl.de/german/macro/dynvwlse28.html</w:t>
        </w:r>
      </w:hyperlink>
    </w:p>
    <w:p w14:paraId="464ADB64" w14:textId="77777777" w:rsidR="001753E2" w:rsidRPr="008230B8" w:rsidRDefault="001753E2" w:rsidP="008230B8">
      <w:pPr>
        <w:spacing w:after="0" w:line="240" w:lineRule="auto"/>
        <w:rPr>
          <w:rFonts w:ascii="Arial" w:eastAsia="Times New Roman" w:hAnsi="Arial" w:cs="Arial"/>
          <w:sz w:val="24"/>
          <w:szCs w:val="24"/>
          <w:lang w:eastAsia="de-DE"/>
        </w:rPr>
      </w:pPr>
    </w:p>
    <w:p w14:paraId="243840EF" w14:textId="19928593" w:rsidR="001753E2" w:rsidRPr="001753E2" w:rsidRDefault="004042D4" w:rsidP="001753E2">
      <w:pPr>
        <w:spacing w:after="0" w:line="240" w:lineRule="auto"/>
        <w:rPr>
          <w:rFonts w:ascii="Arial" w:eastAsia="Times New Roman" w:hAnsi="Arial" w:cs="Arial"/>
          <w:sz w:val="24"/>
          <w:szCs w:val="24"/>
          <w:lang w:eastAsia="de-DE"/>
        </w:rPr>
      </w:pPr>
      <w:r w:rsidRPr="008230B8">
        <w:rPr>
          <w:rFonts w:ascii="Arial" w:eastAsia="Times New Roman" w:hAnsi="Arial" w:cs="Arial"/>
          <w:sz w:val="24"/>
          <w:szCs w:val="24"/>
          <w:lang w:eastAsia="de-DE"/>
        </w:rPr>
        <w:t xml:space="preserve">Die </w:t>
      </w:r>
      <w:r w:rsidRPr="008230B8">
        <w:rPr>
          <w:rFonts w:ascii="Arial" w:eastAsia="Times New Roman" w:hAnsi="Arial" w:cs="Arial"/>
          <w:b/>
          <w:sz w:val="24"/>
          <w:szCs w:val="24"/>
          <w:lang w:eastAsia="de-DE"/>
        </w:rPr>
        <w:t>Zinsparitä</w:t>
      </w:r>
      <w:r w:rsidRPr="00687340">
        <w:rPr>
          <w:rFonts w:ascii="Arial" w:eastAsia="Times New Roman" w:hAnsi="Arial" w:cs="Arial"/>
          <w:b/>
          <w:sz w:val="24"/>
          <w:szCs w:val="24"/>
          <w:lang w:eastAsia="de-DE"/>
        </w:rPr>
        <w:t>t</w:t>
      </w:r>
      <w:r w:rsidR="00687340" w:rsidRPr="00687340">
        <w:rPr>
          <w:rFonts w:ascii="Arial" w:eastAsia="Times New Roman" w:hAnsi="Arial" w:cs="Arial"/>
          <w:b/>
          <w:sz w:val="24"/>
          <w:szCs w:val="24"/>
          <w:lang w:eastAsia="de-DE"/>
        </w:rPr>
        <w:t>entheorie</w:t>
      </w:r>
      <w:r w:rsidR="00687340">
        <w:rPr>
          <w:rFonts w:ascii="Arial" w:eastAsia="Times New Roman" w:hAnsi="Arial" w:cs="Arial"/>
          <w:b/>
          <w:sz w:val="24"/>
          <w:szCs w:val="24"/>
          <w:lang w:eastAsia="de-DE"/>
        </w:rPr>
        <w:t xml:space="preserve"> </w:t>
      </w:r>
      <w:r w:rsidRPr="008230B8">
        <w:rPr>
          <w:rFonts w:ascii="Arial" w:eastAsia="Times New Roman" w:hAnsi="Arial" w:cs="Arial"/>
          <w:sz w:val="24"/>
          <w:szCs w:val="24"/>
          <w:lang w:eastAsia="de-DE"/>
        </w:rPr>
        <w:t>erklärt Wechselkursbewegungen durch die Arbitrage zwischen Zinserträgen in verschiedenen Währungen. Anleger vergleichen inländische und ausländische Zinssätze und berücksichtigen erwartete Wechselkursänderungen, um ihre Kapitalrendite zu maximieren.</w:t>
      </w:r>
      <w:r w:rsidR="008230B8" w:rsidRPr="008230B8">
        <w:rPr>
          <w:rFonts w:ascii="Arial" w:eastAsia="Times New Roman" w:hAnsi="Arial" w:cs="Arial"/>
          <w:sz w:val="24"/>
          <w:szCs w:val="24"/>
          <w:lang w:eastAsia="de-DE"/>
        </w:rPr>
        <w:t xml:space="preserve"> Dabei ist es schwer zu </w:t>
      </w:r>
      <w:r w:rsidRPr="008230B8">
        <w:rPr>
          <w:rFonts w:ascii="Arial" w:eastAsia="Times New Roman" w:hAnsi="Arial" w:cs="Arial"/>
          <w:sz w:val="24"/>
          <w:szCs w:val="24"/>
          <w:lang w:eastAsia="de-DE"/>
        </w:rPr>
        <w:t>sagen, wie sich eine Zinsänderung in einem Land auf die</w:t>
      </w:r>
      <w:r w:rsidRPr="00687340">
        <w:rPr>
          <w:rFonts w:ascii="Arial" w:eastAsia="Times New Roman" w:hAnsi="Arial" w:cs="Arial"/>
          <w:sz w:val="24"/>
          <w:szCs w:val="24"/>
          <w:lang w:eastAsia="de-DE"/>
        </w:rPr>
        <w:t xml:space="preserve"> Wechselkursentwicklung auswirkt, da nicht klar ist, ob nicht eine weitere Größe, z</w:t>
      </w:r>
      <w:r w:rsidR="008230B8" w:rsidRPr="00687340">
        <w:rPr>
          <w:rFonts w:ascii="Arial" w:eastAsia="Times New Roman" w:hAnsi="Arial" w:cs="Arial"/>
          <w:sz w:val="24"/>
          <w:szCs w:val="24"/>
          <w:lang w:eastAsia="de-DE"/>
        </w:rPr>
        <w:t xml:space="preserve">um Beispiel </w:t>
      </w:r>
      <w:r w:rsidRPr="00687340">
        <w:rPr>
          <w:rFonts w:ascii="Arial" w:eastAsia="Times New Roman" w:hAnsi="Arial" w:cs="Arial"/>
          <w:sz w:val="24"/>
          <w:szCs w:val="24"/>
          <w:lang w:eastAsia="de-DE"/>
        </w:rPr>
        <w:t xml:space="preserve">der erwartete </w:t>
      </w:r>
      <w:r w:rsidRPr="00687340">
        <w:rPr>
          <w:rFonts w:ascii="Arial" w:eastAsia="Times New Roman" w:hAnsi="Arial" w:cs="Arial"/>
          <w:sz w:val="24"/>
          <w:szCs w:val="24"/>
          <w:lang w:eastAsia="de-DE"/>
        </w:rPr>
        <w:lastRenderedPageBreak/>
        <w:t>zukünftige Wechselkurs, durch die Zinsänderung beeinflusst wird</w:t>
      </w:r>
      <w:r w:rsidR="008230B8" w:rsidRPr="00687340">
        <w:rPr>
          <w:rFonts w:ascii="Arial" w:eastAsia="Times New Roman" w:hAnsi="Arial" w:cs="Arial"/>
          <w:sz w:val="24"/>
          <w:szCs w:val="24"/>
          <w:lang w:eastAsia="de-DE"/>
        </w:rPr>
        <w:t xml:space="preserve">. Auch wenn die </w:t>
      </w:r>
      <w:r w:rsidRPr="00687340">
        <w:rPr>
          <w:rFonts w:ascii="Arial" w:eastAsia="Times New Roman" w:hAnsi="Arial" w:cs="Arial"/>
          <w:sz w:val="24"/>
          <w:szCs w:val="24"/>
          <w:lang w:eastAsia="de-DE"/>
        </w:rPr>
        <w:t xml:space="preserve">Zinsänderung aufgrund eines Schocks </w:t>
      </w:r>
      <w:r w:rsidR="008230B8" w:rsidRPr="00687340">
        <w:rPr>
          <w:rFonts w:ascii="Arial" w:eastAsia="Times New Roman" w:hAnsi="Arial" w:cs="Arial"/>
          <w:sz w:val="24"/>
          <w:szCs w:val="24"/>
          <w:lang w:eastAsia="de-DE"/>
        </w:rPr>
        <w:t xml:space="preserve">oder einer </w:t>
      </w:r>
      <w:r w:rsidRPr="00687340">
        <w:rPr>
          <w:rFonts w:ascii="Arial" w:eastAsia="Times New Roman" w:hAnsi="Arial" w:cs="Arial"/>
          <w:sz w:val="24"/>
          <w:szCs w:val="24"/>
          <w:lang w:eastAsia="de-DE"/>
        </w:rPr>
        <w:t>drohende</w:t>
      </w:r>
      <w:r w:rsidR="008230B8" w:rsidRPr="00687340">
        <w:rPr>
          <w:rFonts w:ascii="Arial" w:eastAsia="Times New Roman" w:hAnsi="Arial" w:cs="Arial"/>
          <w:sz w:val="24"/>
          <w:szCs w:val="24"/>
          <w:lang w:eastAsia="de-DE"/>
        </w:rPr>
        <w:t>n</w:t>
      </w:r>
      <w:r w:rsidRPr="00687340">
        <w:rPr>
          <w:rFonts w:ascii="Arial" w:eastAsia="Times New Roman" w:hAnsi="Arial" w:cs="Arial"/>
          <w:sz w:val="24"/>
          <w:szCs w:val="24"/>
          <w:lang w:eastAsia="de-DE"/>
        </w:rPr>
        <w:t xml:space="preserve"> Rezession</w:t>
      </w:r>
      <w:r w:rsidR="008230B8" w:rsidRPr="00687340">
        <w:rPr>
          <w:rFonts w:ascii="Arial" w:eastAsia="Times New Roman" w:hAnsi="Arial" w:cs="Arial"/>
          <w:sz w:val="24"/>
          <w:szCs w:val="24"/>
          <w:lang w:eastAsia="de-DE"/>
        </w:rPr>
        <w:t xml:space="preserve"> e</w:t>
      </w:r>
      <w:r w:rsidRPr="00687340">
        <w:rPr>
          <w:rFonts w:ascii="Arial" w:eastAsia="Times New Roman" w:hAnsi="Arial" w:cs="Arial"/>
          <w:sz w:val="24"/>
          <w:szCs w:val="24"/>
          <w:lang w:eastAsia="de-DE"/>
        </w:rPr>
        <w:t>rfolgt</w:t>
      </w:r>
      <w:r w:rsidR="008230B8" w:rsidRPr="00687340">
        <w:rPr>
          <w:rFonts w:ascii="Arial" w:eastAsia="Times New Roman" w:hAnsi="Arial" w:cs="Arial"/>
          <w:sz w:val="24"/>
          <w:szCs w:val="24"/>
          <w:lang w:eastAsia="de-DE"/>
        </w:rPr>
        <w:t>, hat dies großen Einfluss auf das Verhalten der Marktteilnehmer</w:t>
      </w:r>
      <w:r w:rsidRPr="00687340">
        <w:rPr>
          <w:rFonts w:ascii="Arial" w:eastAsia="Times New Roman" w:hAnsi="Arial" w:cs="Arial"/>
          <w:sz w:val="24"/>
          <w:szCs w:val="24"/>
          <w:lang w:eastAsia="de-DE"/>
        </w:rPr>
        <w:t>.</w:t>
      </w:r>
      <w:r w:rsidR="001753E2">
        <w:rPr>
          <w:rFonts w:ascii="Arial" w:eastAsia="Times New Roman" w:hAnsi="Arial" w:cs="Arial"/>
          <w:sz w:val="24"/>
          <w:szCs w:val="24"/>
          <w:lang w:eastAsia="de-DE"/>
        </w:rPr>
        <w:t xml:space="preserve"> </w:t>
      </w:r>
      <w:r w:rsidR="001753E2" w:rsidRPr="001753E2">
        <w:rPr>
          <w:rFonts w:ascii="Arial" w:eastAsia="Times New Roman" w:hAnsi="Arial" w:cs="Arial"/>
          <w:sz w:val="24"/>
          <w:szCs w:val="24"/>
          <w:lang w:eastAsia="de-DE"/>
        </w:rPr>
        <w:t xml:space="preserve">Fachwissenschaftliche Informationen zur Zinsparitätentheorie finden Sie beispielsweise hier: </w:t>
      </w:r>
    </w:p>
    <w:p w14:paraId="353E7483" w14:textId="0A367089" w:rsidR="00A416D8" w:rsidRDefault="001753E2" w:rsidP="003121B0">
      <w:pPr>
        <w:pStyle w:val="StandardWeb"/>
        <w:spacing w:before="0" w:beforeAutospacing="0" w:after="0" w:afterAutospacing="0"/>
        <w:rPr>
          <w:rFonts w:ascii="Arial" w:hAnsi="Arial" w:cs="Arial"/>
        </w:rPr>
      </w:pPr>
      <w:hyperlink r:id="rId12" w:history="1">
        <w:r w:rsidRPr="00CA5E25">
          <w:rPr>
            <w:rStyle w:val="Hyperlink"/>
            <w:rFonts w:ascii="Arial" w:hAnsi="Arial" w:cs="Arial"/>
          </w:rPr>
          <w:t>https://dynamische-vwl.de/german/macro/dynvwlse29.html</w:t>
        </w:r>
      </w:hyperlink>
    </w:p>
    <w:p w14:paraId="06607BDF" w14:textId="77777777" w:rsidR="00A416D8" w:rsidRDefault="00A416D8" w:rsidP="003121B0">
      <w:pPr>
        <w:pStyle w:val="StandardWeb"/>
        <w:spacing w:before="0" w:beforeAutospacing="0" w:after="0" w:afterAutospacing="0"/>
        <w:rPr>
          <w:rFonts w:ascii="Arial" w:hAnsi="Arial" w:cs="Arial"/>
        </w:rPr>
      </w:pPr>
    </w:p>
    <w:p w14:paraId="5833D81A" w14:textId="77777777" w:rsidR="00152956" w:rsidRPr="00742BB3" w:rsidRDefault="00152956" w:rsidP="00152956">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Dieser Text ist unter der Creative Commons Lizenz CC BY-NC-ND 4.0 veröffentlicht.</w:t>
      </w:r>
    </w:p>
    <w:p w14:paraId="7DB9B3CE" w14:textId="5A312A8B" w:rsidR="00152956" w:rsidRPr="008B4EEC" w:rsidRDefault="00152956" w:rsidP="00152956">
      <w:pPr>
        <w:pStyle w:val="StandardWeb"/>
        <w:tabs>
          <w:tab w:val="left" w:pos="1046"/>
        </w:tabs>
        <w:spacing w:before="0" w:beforeAutospacing="0" w:after="0" w:afterAutospacing="0"/>
        <w:rPr>
          <w:rFonts w:ascii="Arial" w:hAnsi="Arial" w:cs="Arial"/>
          <w:lang w:val="en-US"/>
        </w:rPr>
      </w:pPr>
      <w:r w:rsidRPr="00742BB3">
        <w:rPr>
          <w:rFonts w:ascii="Arial" w:hAnsi="Arial"/>
          <w:sz w:val="20"/>
          <w:szCs w:val="20"/>
        </w:rPr>
        <w:t>Bundeszentrale für politische Bildung 202</w:t>
      </w:r>
      <w:r w:rsidR="00446847">
        <w:rPr>
          <w:rFonts w:ascii="Arial" w:hAnsi="Arial"/>
          <w:sz w:val="20"/>
          <w:szCs w:val="20"/>
        </w:rPr>
        <w:t>5</w:t>
      </w:r>
      <w:r>
        <w:rPr>
          <w:rFonts w:ascii="Arial" w:hAnsi="Arial"/>
          <w:sz w:val="20"/>
          <w:szCs w:val="20"/>
        </w:rPr>
        <w:t xml:space="preserve"> | www.bpb.de</w:t>
      </w:r>
    </w:p>
    <w:sectPr w:rsidR="00152956" w:rsidRPr="008B4EE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0EE15" w14:textId="77777777" w:rsidR="00DB22D2" w:rsidRDefault="00DB22D2" w:rsidP="000F4ACF">
      <w:pPr>
        <w:spacing w:after="0" w:line="240" w:lineRule="auto"/>
      </w:pPr>
      <w:r>
        <w:separator/>
      </w:r>
    </w:p>
  </w:endnote>
  <w:endnote w:type="continuationSeparator" w:id="0">
    <w:p w14:paraId="759B7170" w14:textId="77777777" w:rsidR="00DB22D2" w:rsidRDefault="00DB22D2" w:rsidP="000F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7956" w14:textId="77777777" w:rsidR="000F4ACF" w:rsidRDefault="000F4A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9E40" w14:textId="77777777" w:rsidR="000F4ACF" w:rsidRDefault="000F4AC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CC2F" w14:textId="77777777" w:rsidR="000F4ACF" w:rsidRDefault="000F4A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5B009" w14:textId="77777777" w:rsidR="00DB22D2" w:rsidRDefault="00DB22D2" w:rsidP="000F4ACF">
      <w:pPr>
        <w:spacing w:after="0" w:line="240" w:lineRule="auto"/>
      </w:pPr>
      <w:r>
        <w:separator/>
      </w:r>
    </w:p>
  </w:footnote>
  <w:footnote w:type="continuationSeparator" w:id="0">
    <w:p w14:paraId="7231B7AE" w14:textId="77777777" w:rsidR="00DB22D2" w:rsidRDefault="00DB22D2" w:rsidP="000F4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B082" w14:textId="77777777" w:rsidR="000F4ACF" w:rsidRDefault="000F4A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F287" w14:textId="77777777" w:rsidR="000F4ACF" w:rsidRDefault="000F4A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E4E8" w14:textId="77777777" w:rsidR="000F4ACF" w:rsidRDefault="000F4A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1720"/>
    <w:multiLevelType w:val="hybridMultilevel"/>
    <w:tmpl w:val="F80A4AF8"/>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74134"/>
    <w:multiLevelType w:val="multilevel"/>
    <w:tmpl w:val="536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57C16"/>
    <w:multiLevelType w:val="multilevel"/>
    <w:tmpl w:val="55D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E172B"/>
    <w:multiLevelType w:val="multilevel"/>
    <w:tmpl w:val="F6A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56C3D"/>
    <w:multiLevelType w:val="multilevel"/>
    <w:tmpl w:val="4BD83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93EEB"/>
    <w:multiLevelType w:val="multilevel"/>
    <w:tmpl w:val="F8EE4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295510"/>
    <w:multiLevelType w:val="hybridMultilevel"/>
    <w:tmpl w:val="1DC21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B15188"/>
    <w:multiLevelType w:val="hybridMultilevel"/>
    <w:tmpl w:val="0DC0E52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4163E9"/>
    <w:multiLevelType w:val="multilevel"/>
    <w:tmpl w:val="50B0F4F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02DD6"/>
    <w:multiLevelType w:val="multilevel"/>
    <w:tmpl w:val="42B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767009">
    <w:abstractNumId w:val="2"/>
  </w:num>
  <w:num w:numId="2" w16cid:durableId="1501385706">
    <w:abstractNumId w:val="8"/>
  </w:num>
  <w:num w:numId="3" w16cid:durableId="714239778">
    <w:abstractNumId w:val="9"/>
  </w:num>
  <w:num w:numId="4" w16cid:durableId="1377000158">
    <w:abstractNumId w:val="4"/>
  </w:num>
  <w:num w:numId="5" w16cid:durableId="292518578">
    <w:abstractNumId w:val="3"/>
  </w:num>
  <w:num w:numId="6" w16cid:durableId="53892408">
    <w:abstractNumId w:val="5"/>
  </w:num>
  <w:num w:numId="7" w16cid:durableId="790787814">
    <w:abstractNumId w:val="1"/>
  </w:num>
  <w:num w:numId="8" w16cid:durableId="1491024342">
    <w:abstractNumId w:val="0"/>
  </w:num>
  <w:num w:numId="9" w16cid:durableId="651328459">
    <w:abstractNumId w:val="7"/>
  </w:num>
  <w:num w:numId="10" w16cid:durableId="1803426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A4"/>
    <w:rsid w:val="000208FD"/>
    <w:rsid w:val="0005273B"/>
    <w:rsid w:val="000D38C6"/>
    <w:rsid w:val="000F4ACF"/>
    <w:rsid w:val="00152956"/>
    <w:rsid w:val="001753E2"/>
    <w:rsid w:val="00180533"/>
    <w:rsid w:val="001E3701"/>
    <w:rsid w:val="002440C6"/>
    <w:rsid w:val="002636B7"/>
    <w:rsid w:val="00273F7F"/>
    <w:rsid w:val="003004A4"/>
    <w:rsid w:val="00302C53"/>
    <w:rsid w:val="003121B0"/>
    <w:rsid w:val="00313546"/>
    <w:rsid w:val="00333A80"/>
    <w:rsid w:val="00337E20"/>
    <w:rsid w:val="003E712A"/>
    <w:rsid w:val="004042D4"/>
    <w:rsid w:val="00446847"/>
    <w:rsid w:val="004A4957"/>
    <w:rsid w:val="004A6D38"/>
    <w:rsid w:val="00583152"/>
    <w:rsid w:val="00595193"/>
    <w:rsid w:val="005E08DD"/>
    <w:rsid w:val="00607C07"/>
    <w:rsid w:val="006110EC"/>
    <w:rsid w:val="00635881"/>
    <w:rsid w:val="00687340"/>
    <w:rsid w:val="0071015A"/>
    <w:rsid w:val="00712C79"/>
    <w:rsid w:val="00760E1D"/>
    <w:rsid w:val="008230B8"/>
    <w:rsid w:val="00851D7C"/>
    <w:rsid w:val="00867C86"/>
    <w:rsid w:val="008A4534"/>
    <w:rsid w:val="008B4EEC"/>
    <w:rsid w:val="00941F61"/>
    <w:rsid w:val="0097144E"/>
    <w:rsid w:val="00987B8B"/>
    <w:rsid w:val="009A5098"/>
    <w:rsid w:val="00A416D8"/>
    <w:rsid w:val="00AA66F2"/>
    <w:rsid w:val="00AF40C4"/>
    <w:rsid w:val="00B708D6"/>
    <w:rsid w:val="00BA790C"/>
    <w:rsid w:val="00C03034"/>
    <w:rsid w:val="00C1500F"/>
    <w:rsid w:val="00C21A6A"/>
    <w:rsid w:val="00CA76B1"/>
    <w:rsid w:val="00CD16E0"/>
    <w:rsid w:val="00CD18C0"/>
    <w:rsid w:val="00CF5FBF"/>
    <w:rsid w:val="00D13F2A"/>
    <w:rsid w:val="00D37E6B"/>
    <w:rsid w:val="00D44E2D"/>
    <w:rsid w:val="00D540E2"/>
    <w:rsid w:val="00DB22D2"/>
    <w:rsid w:val="00DB7117"/>
    <w:rsid w:val="00DB79CB"/>
    <w:rsid w:val="00E13E71"/>
    <w:rsid w:val="00E34F89"/>
    <w:rsid w:val="00E4320F"/>
    <w:rsid w:val="00E5582D"/>
    <w:rsid w:val="00EA07E1"/>
    <w:rsid w:val="00ED25CA"/>
    <w:rsid w:val="00EF2F67"/>
    <w:rsid w:val="00EF7104"/>
    <w:rsid w:val="00F22984"/>
    <w:rsid w:val="00F34E19"/>
    <w:rsid w:val="00F716A1"/>
    <w:rsid w:val="00F81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6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21B0"/>
  </w:style>
  <w:style w:type="paragraph" w:styleId="berschrift1">
    <w:name w:val="heading 1"/>
    <w:basedOn w:val="Standard"/>
    <w:next w:val="Standard"/>
    <w:link w:val="berschrift1Zchn"/>
    <w:uiPriority w:val="9"/>
    <w:qFormat/>
    <w:rsid w:val="00404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042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3004A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004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004A4"/>
    <w:rPr>
      <w:b/>
      <w:bCs/>
    </w:rPr>
  </w:style>
  <w:style w:type="character" w:styleId="Hyperlink">
    <w:name w:val="Hyperlink"/>
    <w:basedOn w:val="Absatz-Standardschriftart"/>
    <w:uiPriority w:val="99"/>
    <w:unhideWhenUsed/>
    <w:rsid w:val="003004A4"/>
    <w:rPr>
      <w:color w:val="0000FF"/>
      <w:u w:val="single"/>
    </w:rPr>
  </w:style>
  <w:style w:type="character" w:customStyle="1" w:styleId="berschrift3Zchn">
    <w:name w:val="Überschrift 3 Zchn"/>
    <w:basedOn w:val="Absatz-Standardschriftart"/>
    <w:link w:val="berschrift3"/>
    <w:uiPriority w:val="9"/>
    <w:rsid w:val="003004A4"/>
    <w:rPr>
      <w:rFonts w:ascii="Times New Roman" w:eastAsia="Times New Roman" w:hAnsi="Times New Roman" w:cs="Times New Roman"/>
      <w:b/>
      <w:bCs/>
      <w:sz w:val="27"/>
      <w:szCs w:val="27"/>
      <w:lang w:eastAsia="de-DE"/>
    </w:rPr>
  </w:style>
  <w:style w:type="character" w:customStyle="1" w:styleId="katex">
    <w:name w:val="katex"/>
    <w:basedOn w:val="Absatz-Standardschriftart"/>
    <w:rsid w:val="00CA76B1"/>
  </w:style>
  <w:style w:type="character" w:customStyle="1" w:styleId="berschrift1Zchn">
    <w:name w:val="Überschrift 1 Zchn"/>
    <w:basedOn w:val="Absatz-Standardschriftart"/>
    <w:link w:val="berschrift1"/>
    <w:uiPriority w:val="9"/>
    <w:rsid w:val="004042D4"/>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4042D4"/>
    <w:rPr>
      <w:rFonts w:asciiTheme="majorHAnsi" w:eastAsiaTheme="majorEastAsia" w:hAnsiTheme="majorHAnsi" w:cstheme="majorBidi"/>
      <w:color w:val="2E74B5" w:themeColor="accent1" w:themeShade="BF"/>
      <w:sz w:val="26"/>
      <w:szCs w:val="26"/>
    </w:rPr>
  </w:style>
  <w:style w:type="character" w:customStyle="1" w:styleId="display-block">
    <w:name w:val="display-block"/>
    <w:basedOn w:val="Absatz-Standardschriftart"/>
    <w:rsid w:val="004042D4"/>
  </w:style>
  <w:style w:type="paragraph" w:styleId="Sprechblasentext">
    <w:name w:val="Balloon Text"/>
    <w:basedOn w:val="Standard"/>
    <w:link w:val="SprechblasentextZchn"/>
    <w:uiPriority w:val="99"/>
    <w:semiHidden/>
    <w:unhideWhenUsed/>
    <w:rsid w:val="005E08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08DD"/>
    <w:rPr>
      <w:rFonts w:ascii="Tahoma" w:hAnsi="Tahoma" w:cs="Tahoma"/>
      <w:sz w:val="16"/>
      <w:szCs w:val="16"/>
    </w:rPr>
  </w:style>
  <w:style w:type="character" w:styleId="Hervorhebung">
    <w:name w:val="Emphasis"/>
    <w:basedOn w:val="Absatz-Standardschriftart"/>
    <w:uiPriority w:val="20"/>
    <w:qFormat/>
    <w:rsid w:val="00EA07E1"/>
    <w:rPr>
      <w:i/>
      <w:iCs/>
    </w:rPr>
  </w:style>
  <w:style w:type="character" w:styleId="Kommentarzeichen">
    <w:name w:val="annotation reference"/>
    <w:basedOn w:val="Absatz-Standardschriftart"/>
    <w:uiPriority w:val="99"/>
    <w:semiHidden/>
    <w:unhideWhenUsed/>
    <w:rsid w:val="004A4957"/>
    <w:rPr>
      <w:sz w:val="16"/>
      <w:szCs w:val="16"/>
    </w:rPr>
  </w:style>
  <w:style w:type="paragraph" w:styleId="Kommentartext">
    <w:name w:val="annotation text"/>
    <w:basedOn w:val="Standard"/>
    <w:link w:val="KommentartextZchn"/>
    <w:uiPriority w:val="99"/>
    <w:semiHidden/>
    <w:unhideWhenUsed/>
    <w:rsid w:val="004A49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4957"/>
    <w:rPr>
      <w:sz w:val="20"/>
      <w:szCs w:val="20"/>
    </w:rPr>
  </w:style>
  <w:style w:type="paragraph" w:styleId="Kommentarthema">
    <w:name w:val="annotation subject"/>
    <w:basedOn w:val="Kommentartext"/>
    <w:next w:val="Kommentartext"/>
    <w:link w:val="KommentarthemaZchn"/>
    <w:uiPriority w:val="99"/>
    <w:semiHidden/>
    <w:unhideWhenUsed/>
    <w:rsid w:val="004A4957"/>
    <w:rPr>
      <w:b/>
      <w:bCs/>
    </w:rPr>
  </w:style>
  <w:style w:type="character" w:customStyle="1" w:styleId="KommentarthemaZchn">
    <w:name w:val="Kommentarthema Zchn"/>
    <w:basedOn w:val="KommentartextZchn"/>
    <w:link w:val="Kommentarthema"/>
    <w:uiPriority w:val="99"/>
    <w:semiHidden/>
    <w:rsid w:val="004A4957"/>
    <w:rPr>
      <w:b/>
      <w:bCs/>
      <w:sz w:val="20"/>
      <w:szCs w:val="20"/>
    </w:rPr>
  </w:style>
  <w:style w:type="paragraph" w:styleId="Kopfzeile">
    <w:name w:val="header"/>
    <w:basedOn w:val="Standard"/>
    <w:link w:val="KopfzeileZchn"/>
    <w:uiPriority w:val="99"/>
    <w:unhideWhenUsed/>
    <w:rsid w:val="000F4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4ACF"/>
  </w:style>
  <w:style w:type="paragraph" w:styleId="Fuzeile">
    <w:name w:val="footer"/>
    <w:basedOn w:val="Standard"/>
    <w:link w:val="FuzeileZchn"/>
    <w:uiPriority w:val="99"/>
    <w:unhideWhenUsed/>
    <w:rsid w:val="000F4A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4ACF"/>
  </w:style>
  <w:style w:type="paragraph" w:styleId="berarbeitung">
    <w:name w:val="Revision"/>
    <w:hidden/>
    <w:uiPriority w:val="99"/>
    <w:semiHidden/>
    <w:rsid w:val="009A50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0076">
      <w:bodyDiv w:val="1"/>
      <w:marLeft w:val="0"/>
      <w:marRight w:val="0"/>
      <w:marTop w:val="0"/>
      <w:marBottom w:val="0"/>
      <w:divBdr>
        <w:top w:val="none" w:sz="0" w:space="0" w:color="auto"/>
        <w:left w:val="none" w:sz="0" w:space="0" w:color="auto"/>
        <w:bottom w:val="none" w:sz="0" w:space="0" w:color="auto"/>
        <w:right w:val="none" w:sz="0" w:space="0" w:color="auto"/>
      </w:divBdr>
    </w:div>
    <w:div w:id="575282905">
      <w:bodyDiv w:val="1"/>
      <w:marLeft w:val="0"/>
      <w:marRight w:val="0"/>
      <w:marTop w:val="0"/>
      <w:marBottom w:val="0"/>
      <w:divBdr>
        <w:top w:val="none" w:sz="0" w:space="0" w:color="auto"/>
        <w:left w:val="none" w:sz="0" w:space="0" w:color="auto"/>
        <w:bottom w:val="none" w:sz="0" w:space="0" w:color="auto"/>
        <w:right w:val="none" w:sz="0" w:space="0" w:color="auto"/>
      </w:divBdr>
    </w:div>
    <w:div w:id="909198929">
      <w:bodyDiv w:val="1"/>
      <w:marLeft w:val="0"/>
      <w:marRight w:val="0"/>
      <w:marTop w:val="0"/>
      <w:marBottom w:val="0"/>
      <w:divBdr>
        <w:top w:val="none" w:sz="0" w:space="0" w:color="auto"/>
        <w:left w:val="none" w:sz="0" w:space="0" w:color="auto"/>
        <w:bottom w:val="none" w:sz="0" w:space="0" w:color="auto"/>
        <w:right w:val="none" w:sz="0" w:space="0" w:color="auto"/>
      </w:divBdr>
    </w:div>
    <w:div w:id="989023529">
      <w:bodyDiv w:val="1"/>
      <w:marLeft w:val="0"/>
      <w:marRight w:val="0"/>
      <w:marTop w:val="0"/>
      <w:marBottom w:val="0"/>
      <w:divBdr>
        <w:top w:val="none" w:sz="0" w:space="0" w:color="auto"/>
        <w:left w:val="none" w:sz="0" w:space="0" w:color="auto"/>
        <w:bottom w:val="none" w:sz="0" w:space="0" w:color="auto"/>
        <w:right w:val="none" w:sz="0" w:space="0" w:color="auto"/>
      </w:divBdr>
    </w:div>
    <w:div w:id="1210458161">
      <w:bodyDiv w:val="1"/>
      <w:marLeft w:val="0"/>
      <w:marRight w:val="0"/>
      <w:marTop w:val="0"/>
      <w:marBottom w:val="0"/>
      <w:divBdr>
        <w:top w:val="none" w:sz="0" w:space="0" w:color="auto"/>
        <w:left w:val="none" w:sz="0" w:space="0" w:color="auto"/>
        <w:bottom w:val="none" w:sz="0" w:space="0" w:color="auto"/>
        <w:right w:val="none" w:sz="0" w:space="0" w:color="auto"/>
      </w:divBdr>
    </w:div>
    <w:div w:id="1309825424">
      <w:bodyDiv w:val="1"/>
      <w:marLeft w:val="0"/>
      <w:marRight w:val="0"/>
      <w:marTop w:val="0"/>
      <w:marBottom w:val="0"/>
      <w:divBdr>
        <w:top w:val="none" w:sz="0" w:space="0" w:color="auto"/>
        <w:left w:val="none" w:sz="0" w:space="0" w:color="auto"/>
        <w:bottom w:val="none" w:sz="0" w:space="0" w:color="auto"/>
        <w:right w:val="none" w:sz="0" w:space="0" w:color="auto"/>
      </w:divBdr>
    </w:div>
    <w:div w:id="1403522694">
      <w:bodyDiv w:val="1"/>
      <w:marLeft w:val="0"/>
      <w:marRight w:val="0"/>
      <w:marTop w:val="0"/>
      <w:marBottom w:val="0"/>
      <w:divBdr>
        <w:top w:val="none" w:sz="0" w:space="0" w:color="auto"/>
        <w:left w:val="none" w:sz="0" w:space="0" w:color="auto"/>
        <w:bottom w:val="none" w:sz="0" w:space="0" w:color="auto"/>
        <w:right w:val="none" w:sz="0" w:space="0" w:color="auto"/>
      </w:divBdr>
    </w:div>
    <w:div w:id="1592660866">
      <w:bodyDiv w:val="1"/>
      <w:marLeft w:val="0"/>
      <w:marRight w:val="0"/>
      <w:marTop w:val="0"/>
      <w:marBottom w:val="0"/>
      <w:divBdr>
        <w:top w:val="none" w:sz="0" w:space="0" w:color="auto"/>
        <w:left w:val="none" w:sz="0" w:space="0" w:color="auto"/>
        <w:bottom w:val="none" w:sz="0" w:space="0" w:color="auto"/>
        <w:right w:val="none" w:sz="0" w:space="0" w:color="auto"/>
      </w:divBdr>
    </w:div>
    <w:div w:id="1731658640">
      <w:bodyDiv w:val="1"/>
      <w:marLeft w:val="0"/>
      <w:marRight w:val="0"/>
      <w:marTop w:val="0"/>
      <w:marBottom w:val="0"/>
      <w:divBdr>
        <w:top w:val="none" w:sz="0" w:space="0" w:color="auto"/>
        <w:left w:val="none" w:sz="0" w:space="0" w:color="auto"/>
        <w:bottom w:val="none" w:sz="0" w:space="0" w:color="auto"/>
        <w:right w:val="none" w:sz="0" w:space="0" w:color="auto"/>
      </w:divBdr>
    </w:div>
    <w:div w:id="2050252967">
      <w:bodyDiv w:val="1"/>
      <w:marLeft w:val="0"/>
      <w:marRight w:val="0"/>
      <w:marTop w:val="0"/>
      <w:marBottom w:val="0"/>
      <w:divBdr>
        <w:top w:val="none" w:sz="0" w:space="0" w:color="auto"/>
        <w:left w:val="none" w:sz="0" w:space="0" w:color="auto"/>
        <w:bottom w:val="none" w:sz="0" w:space="0" w:color="auto"/>
        <w:right w:val="none" w:sz="0" w:space="0" w:color="auto"/>
      </w:divBdr>
    </w:div>
    <w:div w:id="21041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bank.de/dynamic/action/de/statistiken/zeitreihen-datenbanken/zeitreihen-datenbank/759778/759778?listId=www_skms_it03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is.org/statistics/rpfx22.htm" TargetMode="External"/><Relationship Id="rId12" Type="http://schemas.openxmlformats.org/officeDocument/2006/relationships/hyperlink" Target="https://dynamische-vwl.de/german/macro/dynvwlse29.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ynamische-vwl.de/german/macro/dynvwlse28.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red.stlouisfed.org/series/EXGE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ed.stlouisfed.org/series/DGS1/"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5992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2025-05-07T14:09:00Z</dcterms:created>
  <dcterms:modified xsi:type="dcterms:W3CDTF">2025-07-13T17:55:00Z</dcterms:modified>
</cp:coreProperties>
</file>