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0341" w14:textId="02AEA278" w:rsidR="000013EB" w:rsidRPr="000013EB" w:rsidRDefault="000013EB" w:rsidP="000013EB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Insgesamt hat sich der Handel mit Finanzderivaten seit Beginn des Jahrhunderts sehr stark ausgedehnt.</w:t>
      </w:r>
    </w:p>
    <w:p w14:paraId="05EBA7ED" w14:textId="77777777" w:rsidR="000013EB" w:rsidRDefault="000013EB" w:rsidP="00215DCC">
      <w:p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</w:p>
    <w:p w14:paraId="6B4BDB20" w14:textId="19150346" w:rsidR="000013EB" w:rsidRPr="000013EB" w:rsidRDefault="00D96E1D" w:rsidP="000013EB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Dies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trifft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auf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die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regulierten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Börsen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gehandelten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Derivate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71782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und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noch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vielmehr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auf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die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sogenannten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OTC-Derivate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zu,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die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direkt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zwischen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Marktteilnehmern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gehandelt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werden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(OTC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=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proofErr w:type="spellStart"/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over</w:t>
      </w:r>
      <w:proofErr w:type="spellEnd"/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proofErr w:type="spellStart"/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the</w:t>
      </w:r>
      <w:proofErr w:type="spellEnd"/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proofErr w:type="spellStart"/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counter</w:t>
      </w:r>
      <w:proofErr w:type="spellEnd"/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).</w:t>
      </w:r>
      <w:r w:rsidR="00F42325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Über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80</w:t>
      </w:r>
      <w:r w:rsidR="00F42325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Prozent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des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Volumens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geht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dabei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auf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390B1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Zins</w:t>
      </w:r>
      <w:r w:rsidR="00390B1C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derivate</w:t>
      </w:r>
      <w:r w:rsidR="00390B1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zurück.</w:t>
      </w:r>
    </w:p>
    <w:p w14:paraId="37375D75" w14:textId="77777777" w:rsidR="000013EB" w:rsidRPr="000013EB" w:rsidRDefault="000013EB" w:rsidP="00215DCC">
      <w:p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</w:p>
    <w:p w14:paraId="111EEB31" w14:textId="76D3F7D7" w:rsidR="000013EB" w:rsidRPr="000013EB" w:rsidRDefault="0092786F" w:rsidP="000013EB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Im September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20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24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lag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Nominalwert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börsengehandelter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Derivate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bei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101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F57AE6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Billionen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F57AE6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US-Dollar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.</w:t>
      </w:r>
    </w:p>
    <w:p w14:paraId="06ACC19D" w14:textId="77777777" w:rsidR="000013EB" w:rsidRPr="000013EB" w:rsidRDefault="000013EB" w:rsidP="00215DCC">
      <w:p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</w:p>
    <w:p w14:paraId="39F9A1C2" w14:textId="78B360D2" w:rsidR="000215AA" w:rsidRPr="000013EB" w:rsidRDefault="00D92025" w:rsidP="000013EB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</w:pP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Aufgrund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veränderter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rechtlicher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Bedingungen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für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Finanzderivate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ging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der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6377A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Bestand an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OTC-Derivaten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zwischen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6309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Ende 2013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und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6309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Ende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2016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von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B05E97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rund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6309E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7</w:t>
      </w:r>
      <w:r w:rsidR="006309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1</w:t>
      </w:r>
      <w:r w:rsidR="006309E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0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auf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6309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480</w:t>
      </w:r>
      <w:r w:rsidR="006309E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Billionen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US-Dollar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0215AA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zurück</w:t>
      </w:r>
      <w:r w:rsidR="00C432C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,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505156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hat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C432C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inzwischen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C432C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aber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C432C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wieder</w:t>
      </w:r>
      <w:r w:rsidR="00546E6C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 </w:t>
      </w:r>
      <w:r w:rsidR="00C432C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eine</w:t>
      </w:r>
      <w:r w:rsidR="00505156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n neuen </w:t>
      </w:r>
      <w:r w:rsidR="00C432C3" w:rsidRPr="000013EB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Höchst</w:t>
      </w:r>
      <w:r w:rsidR="00505156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stand erreicht </w:t>
      </w:r>
      <w:r w:rsidR="006309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(</w:t>
      </w:r>
      <w:r w:rsidR="00612F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 xml:space="preserve">Mitte 2024: </w:t>
      </w:r>
      <w:r w:rsidR="006309E3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730 Bill. US$)</w:t>
      </w:r>
      <w:r w:rsidR="0037597E">
        <w:rPr>
          <w:rFonts w:ascii="Arial" w:eastAsia="Times New Roman" w:hAnsi="Arial" w:cs="Arial"/>
          <w:b/>
          <w:color w:val="000000"/>
          <w:shd w:val="clear" w:color="auto" w:fill="FFFFFF"/>
          <w:lang w:eastAsia="de-DE"/>
        </w:rPr>
        <w:t>.</w:t>
      </w:r>
    </w:p>
    <w:p w14:paraId="14964670" w14:textId="77777777" w:rsidR="0037597E" w:rsidRDefault="0037597E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246062D2" w14:textId="06780A7A" w:rsidR="00C23ADD" w:rsidRPr="00215DCC" w:rsidRDefault="00215DCC" w:rsidP="00215DCC">
      <w:pPr>
        <w:rPr>
          <w:rFonts w:ascii="Arial" w:eastAsia="Times New Roman" w:hAnsi="Arial" w:cs="Arial"/>
          <w:color w:val="FF0000"/>
          <w:shd w:val="clear" w:color="auto" w:fill="FFFFFF"/>
          <w:lang w:eastAsia="de-DE"/>
        </w:rPr>
      </w:pPr>
      <w:r w:rsidRPr="00215DC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>Fakten</w:t>
      </w:r>
    </w:p>
    <w:p w14:paraId="4E97A60D" w14:textId="77777777" w:rsidR="00D1085C" w:rsidRPr="00ED3EF8" w:rsidRDefault="00D1085C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0C8CB238" w14:textId="1DF88EB6" w:rsidR="00335759" w:rsidRDefault="003C3AED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Bezogen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börsengehandelten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Finanzderivate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–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bzw.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genauer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B66237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uf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Finanzderivaten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71782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runde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liegenden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Basiswerte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</w:t>
      </w:r>
      <w:proofErr w:type="spellStart"/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underlyings</w:t>
      </w:r>
      <w:proofErr w:type="spellEnd"/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)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–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B66237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zwischen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2000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B66237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</w:t>
      </w:r>
      <w:r w:rsidR="00C006C5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07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D6DC6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etwa </w:t>
      </w:r>
      <w:r w:rsidR="00C006C5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vers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ieben</w:t>
      </w:r>
      <w:r w:rsidR="00C006C5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facht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sogenannte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Nominalwert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lag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Ende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2007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B7E47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71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Billionen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US-Dollar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deutlich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über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Bestandswert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aller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Aktien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Welt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2007: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B7E47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6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1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Billionen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US-Dollar).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2007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markiert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allerdings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deutlichen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Wendepunkt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Entwicklung.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Durch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hochspekulativen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wurden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umfangreiche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Kreditrisiken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weltweit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Vielzahl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Finanzinstituten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verteilt,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weswegen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falsch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bewerteten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Hauptursache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globalen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Finanz-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Wirtschaftskrise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A16E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gilt.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E5F92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Nach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E5F92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E5F92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deutlichen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E5F92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Einbruch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1502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1502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Marktaktivität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1502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1502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1502A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2008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0D3A49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wurde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Spitzenwert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0D7B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07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erst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2018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432C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überschritten</w:t>
      </w:r>
      <w:r w:rsidR="000D3A49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76ED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Für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676ED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70F5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Ende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70F5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70F5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70F5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</w:t>
      </w:r>
      <w:r w:rsidR="003F3EB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23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wurde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Bank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for</w:t>
      </w:r>
      <w:proofErr w:type="spellEnd"/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International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Settlements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94083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(BIS) </w:t>
      </w:r>
      <w:r w:rsidR="00E70F5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D3EF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Bestandsw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F3EB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86,7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Billionen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US-Dollar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B48A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festgestellt</w:t>
      </w:r>
      <w:r w:rsidR="00335759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Allerdings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schwanken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diese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innerhalb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teilweise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erheblich,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wobei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Herbstwert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meistens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Maximum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darstellt.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Das </w:t>
      </w:r>
      <w:r w:rsidR="003C400F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bisherige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Bestandsmaximum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erreichten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börsengehandelten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Sommer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2019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120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Billionen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US-Dollar.</w:t>
      </w:r>
    </w:p>
    <w:p w14:paraId="63879297" w14:textId="77777777" w:rsidR="0037597E" w:rsidRDefault="0037597E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5E5FDB86" w14:textId="7DF19444" w:rsidR="003A5E65" w:rsidRDefault="003C3AED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Börsengehandelte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werden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Terminbörsen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gehandelt.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derzeit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größte</w:t>
      </w:r>
      <w:r w:rsidR="00335759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Terminbörse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35759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CME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Group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Chicago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Mercantile</w:t>
      </w:r>
      <w:proofErr w:type="spellEnd"/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Exchange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),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Intercontinental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Exchange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A593E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Atlanta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European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Exchange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(EUREX)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Sitz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Frankfurt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76094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Main.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Beim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börslichen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ist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Vertragspartner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immer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Clearingstelle,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auch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Bonitätsprüfung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Geschäftspartner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(Kontrahenten)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übernimmt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Erfüllung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Vertragsbedingungen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garantiert.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Terminbörsen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gehandelten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Finanzprodukte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standardisiert,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wobei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insbesondere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Futures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Optionen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gehandelt</w:t>
      </w:r>
      <w:r w:rsidR="00546E6C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werden.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F67DE0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Futures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stieg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zwischen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2000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</w:t>
      </w:r>
      <w:r w:rsidR="005553A4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07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Fünf</w:t>
      </w:r>
      <w:r w:rsidR="00176094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fache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A5E65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F67DE0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Optionen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Elf</w:t>
      </w:r>
      <w:r w:rsidR="00263692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fache</w:t>
      </w:r>
      <w:r w:rsidR="00EB41CD"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Nach deutlichen Schwankungen im Zeitverlauf, vor allem ausgelöst durch </w:t>
      </w:r>
      <w:r w:rsidR="005553A4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verschiedene</w:t>
      </w:r>
      <w:r w:rsid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Krisen</w:t>
      </w:r>
      <w:r w:rsid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, war das </w:t>
      </w:r>
      <w:r w:rsidR="005553A4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Handelsvolumen</w:t>
      </w:r>
      <w:r w:rsidR="00546E6C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94083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von </w:t>
      </w:r>
      <w:r w:rsidR="0049408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Futures und Optionen </w:t>
      </w:r>
      <w:r w:rsidR="00E21E0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Ende</w:t>
      </w:r>
      <w:r w:rsid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553A4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2023</w:t>
      </w:r>
      <w:r w:rsidR="00546E6C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mehr als doppelt so hoch wie 2020</w:t>
      </w:r>
      <w:r w:rsidR="00AA69B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, also dem </w:t>
      </w:r>
      <w:r w:rsid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ersten </w:t>
      </w:r>
      <w:r w:rsidR="00AA69B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Jahr der </w:t>
      </w:r>
      <w:r w:rsidR="00AA69BB" w:rsidRPr="00481BBA">
        <w:rPr>
          <w:rFonts w:ascii="Arial" w:hAnsi="Arial" w:cs="Arial"/>
        </w:rPr>
        <w:t>Corona-</w:t>
      </w:r>
      <w:r w:rsidR="002866B8">
        <w:rPr>
          <w:rFonts w:ascii="Arial" w:hAnsi="Arial" w:cs="Arial"/>
        </w:rPr>
        <w:t>Pandemie, und 1,5-fach höher als 2007</w:t>
      </w:r>
      <w:r w:rsidR="006E307E"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E21E0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Bezogen auf die b</w:t>
      </w:r>
      <w:r w:rsidR="00E21E0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örsengehandelte</w:t>
      </w:r>
      <w:r w:rsidR="00E21E0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n </w:t>
      </w:r>
      <w:r w:rsidR="00E21E0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Derivate </w:t>
      </w:r>
      <w:r w:rsidR="00E21E0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beziffert die BIS das </w:t>
      </w:r>
      <w:r w:rsidR="0049408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Handelsvolumen</w:t>
      </w:r>
      <w:r w:rsidR="00E21E0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Ende 2023 auf</w:t>
      </w:r>
      <w:r w:rsidR="0049408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11,3 Billionen US Dollar</w:t>
      </w:r>
      <w:r w:rsidR="00E21E0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21E08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pro Handelstag</w:t>
      </w:r>
      <w:r w:rsidR="00494083" w:rsidRPr="00ED3EF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</w:p>
    <w:p w14:paraId="211022D5" w14:textId="77777777" w:rsidR="003A5E65" w:rsidRDefault="003A5E65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427E8F1C" w14:textId="77777777" w:rsidR="0037597E" w:rsidRDefault="003C3AED" w:rsidP="008B2280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lastRenderedPageBreak/>
        <w:t>Der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OTC-Derivaten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weist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rund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siebenmal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großes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Volumen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12134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wie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börsengehandelter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Derivate.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OTC-Geschäfte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können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Gegensatz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E1213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standardisierten</w:t>
      </w:r>
      <w:r w:rsidR="00546E6C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börsengehandelten</w:t>
      </w:r>
      <w:r w:rsidR="00546E6C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entsprechend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Bedürfnisse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Vertragsparteien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gestaltet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werden.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Wichtige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außerbörsliche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Arten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Forwards,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OTC-Optionen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574BFB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Swaps.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Nominalwert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außerbörslich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gehandelter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wuchs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Mitte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2000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bis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E12134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Mitte</w:t>
      </w:r>
      <w:r w:rsid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2008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v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rund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95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gut 670 B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illionen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US-Dollar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blieb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leichten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Schwankungen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22091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bis 2014 auf hohem </w:t>
      </w:r>
      <w:r w:rsidR="008B2280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Niveau.</w:t>
      </w:r>
    </w:p>
    <w:p w14:paraId="4E5F631B" w14:textId="77777777" w:rsidR="0037597E" w:rsidRDefault="0037597E" w:rsidP="008B2280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565A117E" w14:textId="56141CD2" w:rsidR="00CC5DCE" w:rsidRDefault="00CC5DCE" w:rsidP="00CC5DCE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612FE3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Aufgrund der Intransparenz des nicht-börslichen Derivatehandels ha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tt</w:t>
      </w:r>
      <w:r w:rsidRPr="00612FE3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en sich die Gesetzgeber dazu entschlossen, regulatorische Maßnahmen zu ergreifen, die den Handel mit OTC-Derivaten beschränken. In den USA (Dodd-Frank-Act) und in Europa (EMIR – European Market Infrastructure Regulation) wurde ein 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</w:t>
      </w:r>
      <w:r w:rsidRPr="00612FE3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erpflichtendes zentrales Clearing für standardisierte Kontrakte eingeführt und zudem werden von Banken für nicht zentral abgewickelte Kontrakte höhere </w:t>
      </w:r>
      <w:r w:rsidRPr="00263692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Kapitalanforderungen verlangt. Durch </w:t>
      </w:r>
      <w:r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diese regulatorischen Maßnahmen ging der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B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estand an</w:t>
      </w:r>
      <w:r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CC5DC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außerbörslich gehandelten Finanzderivaten</w:t>
      </w:r>
      <w:r w:rsidRPr="00CC5DCE" w:rsidDel="00CC5DC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6E30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zwischen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Ende</w:t>
      </w:r>
      <w:r w:rsidRPr="006B764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2013 und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Ende</w:t>
      </w:r>
      <w:r w:rsidRPr="006B7644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2016 von 710</w:t>
      </w:r>
      <w:r w:rsidRPr="003D6DC6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auf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482 </w:t>
      </w:r>
      <w:r w:rsidRPr="002866B8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Billionen US-Dollar zurück</w:t>
      </w:r>
      <w:r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</w:p>
    <w:p w14:paraId="5CA28518" w14:textId="77777777" w:rsidR="0037597E" w:rsidRDefault="0037597E" w:rsidP="00CC5DCE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4002B64E" w14:textId="1F396BD1" w:rsidR="008B2280" w:rsidRDefault="008B2280" w:rsidP="008B2280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Nach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CC5DC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em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regulatorisch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bedingten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Abschwung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stieg</w:t>
      </w:r>
      <w:r w:rsidR="00546E6C" w:rsidRPr="00122091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B6377A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Bestandsv</w:t>
      </w:r>
      <w:r w:rsidR="00B6377A" w:rsidRPr="0092786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olumen </w:t>
      </w:r>
      <w:r w:rsidRPr="0092786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wieder</w:t>
      </w:r>
      <w:r w:rsidR="00546E6C" w:rsidRPr="0092786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22091" w:rsidRPr="0092786F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und erreichte Mitte 2024 mit 730 Billionen US-Dollar </w:t>
      </w:r>
      <w:r w:rsidR="009C32DC" w:rsidRPr="009C32D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 bisherigen Höchststand</w:t>
      </w:r>
      <w:r w:rsidR="003C3AED" w:rsidRPr="009C32D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546E6C" w:rsidRPr="009C32D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Zinsderivate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mach</w:t>
      </w:r>
      <w:r w:rsidR="00960596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dabei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9C32D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durchgehend rund</w:t>
      </w:r>
      <w:r w:rsidR="00826E8B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80</w:t>
      </w:r>
      <w:r w:rsidR="00960596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Prozent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des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Marktvolumens</w:t>
      </w:r>
      <w:r w:rsidR="00546E6C"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826E8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aus.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Bemerkenswert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ist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auch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dramatische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Einbruch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des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Volumens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OTC-Derivaten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für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Rohstoffe,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Credit</w:t>
      </w:r>
      <w:proofErr w:type="spellEnd"/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default</w:t>
      </w:r>
      <w:proofErr w:type="spellEnd"/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Swaps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Aktien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2008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Laufe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globalen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Finanz-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Wirtschaftskrise.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Jahr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2011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einigen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vermutete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Spekulation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Kreditderivaten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gegen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Griechenland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ist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lediglich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als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„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kleiner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Höcker</w:t>
      </w:r>
      <w:r w:rsidR="0037597E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“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Datenreihe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dieses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Marktsegmentes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D16603" w:rsidRPr="001B2DAB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sehen.</w:t>
      </w:r>
    </w:p>
    <w:p w14:paraId="78E9E5AC" w14:textId="77777777" w:rsidR="0037597E" w:rsidRDefault="0037597E" w:rsidP="008B2280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70A145BC" w14:textId="77777777" w:rsidR="003C3AED" w:rsidRPr="00F57AE6" w:rsidRDefault="003C3AED" w:rsidP="00215DCC">
      <w:pPr>
        <w:rPr>
          <w:rFonts w:ascii="Arial" w:eastAsia="Times New Roman" w:hAnsi="Arial" w:cs="Arial"/>
          <w:color w:val="FF0000"/>
          <w:shd w:val="clear" w:color="auto" w:fill="FFFFFF"/>
          <w:lang w:val="en-US" w:eastAsia="de-DE"/>
        </w:rPr>
      </w:pPr>
      <w:r w:rsidRPr="00F57AE6">
        <w:rPr>
          <w:rFonts w:ascii="Arial" w:eastAsia="Times New Roman" w:hAnsi="Arial" w:cs="Arial"/>
          <w:color w:val="FF0000"/>
          <w:shd w:val="clear" w:color="auto" w:fill="FFFFFF"/>
          <w:lang w:val="en-US" w:eastAsia="de-DE"/>
        </w:rPr>
        <w:t>Datenquelle</w:t>
      </w:r>
    </w:p>
    <w:p w14:paraId="1180B290" w14:textId="77777777" w:rsidR="00DF69B5" w:rsidRDefault="00DF69B5" w:rsidP="00215DCC">
      <w:pPr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</w:pPr>
    </w:p>
    <w:p w14:paraId="75FD42E4" w14:textId="4C6A3433" w:rsidR="003C3AED" w:rsidRPr="00215DCC" w:rsidRDefault="003C3AED" w:rsidP="00215DCC">
      <w:pPr>
        <w:rPr>
          <w:rFonts w:ascii="Arial" w:eastAsia="Times New Roman" w:hAnsi="Arial" w:cs="Arial"/>
          <w:lang w:val="en-US" w:eastAsia="de-DE"/>
        </w:rPr>
      </w:pPr>
      <w:r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Bank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for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132E27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International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132E27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Settlements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132E27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(BIS)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: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Exchange-traded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derivatives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statistics</w:t>
      </w:r>
      <w:r w:rsid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,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Semiannual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OTC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derivatives</w:t>
      </w:r>
      <w:r w:rsidR="00546E6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 xml:space="preserve"> </w:t>
      </w:r>
      <w:r w:rsidR="00215DCC" w:rsidRPr="00215DCC">
        <w:rPr>
          <w:rFonts w:ascii="Arial" w:eastAsia="Times New Roman" w:hAnsi="Arial" w:cs="Arial"/>
          <w:color w:val="000000"/>
          <w:shd w:val="clear" w:color="auto" w:fill="FFFFFF"/>
          <w:lang w:val="en-US" w:eastAsia="de-DE"/>
        </w:rPr>
        <w:t>statistics</w:t>
      </w:r>
    </w:p>
    <w:p w14:paraId="4F3556DA" w14:textId="77777777" w:rsidR="00A85448" w:rsidRPr="00215DCC" w:rsidRDefault="00A85448" w:rsidP="00215DCC">
      <w:pPr>
        <w:rPr>
          <w:rFonts w:ascii="Arial" w:eastAsia="Times New Roman" w:hAnsi="Arial" w:cs="Arial"/>
          <w:lang w:val="en-US" w:eastAsia="de-DE"/>
        </w:rPr>
      </w:pPr>
    </w:p>
    <w:p w14:paraId="0FFC1FF0" w14:textId="457D10A9" w:rsidR="003C3AED" w:rsidRPr="00215DCC" w:rsidRDefault="003C3AED" w:rsidP="00215DCC">
      <w:pPr>
        <w:rPr>
          <w:rFonts w:ascii="Arial" w:eastAsia="Times New Roman" w:hAnsi="Arial" w:cs="Arial"/>
          <w:color w:val="FF0000"/>
          <w:shd w:val="clear" w:color="auto" w:fill="FFFFFF"/>
          <w:lang w:eastAsia="de-DE"/>
        </w:rPr>
      </w:pPr>
      <w:r w:rsidRPr="00215DC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>Begriffe,</w:t>
      </w:r>
      <w:r w:rsidR="00546E6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 xml:space="preserve"> </w:t>
      </w:r>
      <w:r w:rsidRPr="00215DC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>methodische</w:t>
      </w:r>
      <w:r w:rsidR="00546E6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 xml:space="preserve"> </w:t>
      </w:r>
      <w:r w:rsidRPr="00215DC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>Anmerkungen</w:t>
      </w:r>
      <w:r w:rsidR="00546E6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 xml:space="preserve"> </w:t>
      </w:r>
      <w:r w:rsidRPr="00215DC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>oder</w:t>
      </w:r>
      <w:r w:rsidR="00546E6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 xml:space="preserve"> </w:t>
      </w:r>
      <w:r w:rsidRPr="00215DCC">
        <w:rPr>
          <w:rFonts w:ascii="Arial" w:eastAsia="Times New Roman" w:hAnsi="Arial" w:cs="Arial"/>
          <w:color w:val="FF0000"/>
          <w:shd w:val="clear" w:color="auto" w:fill="FFFFFF"/>
          <w:lang w:eastAsia="de-DE"/>
        </w:rPr>
        <w:t>Lesehilfen</w:t>
      </w:r>
    </w:p>
    <w:p w14:paraId="114F0BF1" w14:textId="77777777" w:rsidR="00DF69B5" w:rsidRPr="007F706C" w:rsidRDefault="00DF69B5" w:rsidP="00215DCC">
      <w:pPr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6C1F50CA" w14:textId="77777777" w:rsidR="007F706C" w:rsidRPr="007F706C" w:rsidRDefault="003C3AED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7F706C">
        <w:rPr>
          <w:rFonts w:ascii="Arial" w:eastAsia="Times New Roman" w:hAnsi="Arial" w:cs="Arial"/>
          <w:b/>
          <w:bCs/>
          <w:color w:val="000000"/>
          <w:lang w:eastAsia="de-DE"/>
        </w:rPr>
        <w:t>Finanzderivate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derivative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Finanzinstrumente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Anlageformen,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jeweils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Basiswert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</w:t>
      </w:r>
      <w:proofErr w:type="spellStart"/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underlying</w:t>
      </w:r>
      <w:proofErr w:type="spellEnd"/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)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abgeleitet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worden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Basiswerte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für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Derivatgeschäfte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können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Waren,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Finanzwerte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marktbezogene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Referenzgrößen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aller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Art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sein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(zum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Beispiel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Devisen,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Schuldverschreibungen,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Wertpapiere,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Zinssätze,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Indices).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konstruiert,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Kurs-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bzw.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Preisschwankungen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Basiswerte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überproportional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nachvollziehen.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Daher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lassen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sowohl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Absicherung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gegen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Wertverluste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Spekulation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verwenden.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wird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dabei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zwischen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regulierten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Börsen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gehandelten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b/>
          <w:bCs/>
          <w:color w:val="000000"/>
          <w:lang w:eastAsia="de-DE"/>
        </w:rPr>
        <w:t>OTC-Derivaten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(OTC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=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over</w:t>
      </w:r>
      <w:proofErr w:type="spellEnd"/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the</w:t>
      </w:r>
      <w:proofErr w:type="spellEnd"/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proofErr w:type="spellStart"/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counter</w:t>
      </w:r>
      <w:proofErr w:type="spellEnd"/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)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unterschieden,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direkt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zwischen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Marktteilnehmern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gehandelt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werden.</w:t>
      </w:r>
    </w:p>
    <w:p w14:paraId="18D34C69" w14:textId="77777777" w:rsidR="007F706C" w:rsidRPr="007F706C" w:rsidRDefault="007F706C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1B0DC689" w14:textId="206B2286" w:rsidR="00ED3849" w:rsidRPr="007F706C" w:rsidRDefault="003C3AED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hier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gemachten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Aussagen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über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Bestand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beziehen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b/>
          <w:bCs/>
          <w:color w:val="000000"/>
          <w:lang w:eastAsia="de-DE"/>
        </w:rPr>
        <w:t>Nominalwert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Nominalwert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ergibt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Kursen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bzw.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Preisen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zugrunde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liegenden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Basiswerte.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lang w:eastAsia="de-DE"/>
        </w:rPr>
        <w:br/>
      </w:r>
      <w:r w:rsidRPr="007F706C">
        <w:rPr>
          <w:rFonts w:ascii="Arial" w:eastAsia="Times New Roman" w:hAnsi="Arial" w:cs="Arial"/>
          <w:color w:val="000000"/>
          <w:lang w:eastAsia="de-DE"/>
        </w:rPr>
        <w:br/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Aufgrund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Vielzahl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unterschiedlichen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Varianten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Mischformen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ist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lastRenderedPageBreak/>
        <w:t>trennscharfe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Klassifikation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schwierig.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können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aber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drei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große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Derivate-Gruppen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unterschieden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werden: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Als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b/>
          <w:bCs/>
          <w:color w:val="000000"/>
          <w:lang w:eastAsia="de-DE"/>
        </w:rPr>
        <w:t>Futures</w:t>
      </w:r>
      <w:r w:rsidR="00546E6C" w:rsidRPr="007F706C">
        <w:rPr>
          <w:rFonts w:ascii="Arial" w:eastAsia="Times New Roman" w:hAnsi="Arial" w:cs="Arial"/>
          <w:b/>
          <w:bCs/>
          <w:color w:val="000000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(börsengehandelt)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bzw.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Forwards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(außerbörslich)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werden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Finanztermingeschäfte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bezeichnet,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festgelegten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Zeitpunkt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Preis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zwingend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festlegen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ursprünglich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Begrenzung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Preisrisiken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dienten.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zweite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Gruppe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sogenannten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b/>
          <w:bCs/>
          <w:color w:val="000000"/>
          <w:lang w:eastAsia="de-DE"/>
        </w:rPr>
        <w:t>Optionen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Hierbei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bedingte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Termingeschäfte,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bei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Käufer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einfachsten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Fall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das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Recht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erwirbt,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etwas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späteren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Zeitpunkt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einem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vereinbarten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Preis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kaufen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(Call-Option)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verkaufen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(Put-Option).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Es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gibt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aber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auch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Vielzahl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komplizierteren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Optionsvarianten</w:t>
      </w:r>
      <w:r w:rsidR="007F70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 D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Optionsinhaber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kann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101C9A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zumeist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einseitig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entscheiden,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ob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Option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ausübt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diese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verfallen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lässt.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Bei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dritten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Gruppe,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sogenannten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b/>
          <w:bCs/>
          <w:color w:val="000000"/>
          <w:lang w:eastAsia="de-DE"/>
        </w:rPr>
        <w:t>Swapgeschäften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tauschen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Handelspartner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Schuldpapiere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mit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unterschiedlichen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Zinsen,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Währungen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und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Laufzeiten.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Sinn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Swapgeschäften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liegt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in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Senkung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von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Finanzierungskosten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463895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oder</w:t>
      </w:r>
      <w:r w:rsidR="00546E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 </w:t>
      </w:r>
      <w:r w:rsidR="007F706C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 xml:space="preserve">sie dienen der </w:t>
      </w:r>
      <w:r w:rsidR="00463895"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Spekulation</w:t>
      </w:r>
      <w:r w:rsidRPr="007F706C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.</w:t>
      </w:r>
    </w:p>
    <w:p w14:paraId="491824ED" w14:textId="77777777" w:rsidR="007F706C" w:rsidRPr="007F706C" w:rsidRDefault="007F706C" w:rsidP="00215DCC">
      <w:pPr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14:paraId="413F98C8" w14:textId="77777777" w:rsidR="002A4BD9" w:rsidRPr="00742BB3" w:rsidRDefault="002A4BD9" w:rsidP="002A4BD9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742BB3"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52877BC3" w14:textId="2DE49053" w:rsidR="00C0407C" w:rsidRPr="000B33EE" w:rsidRDefault="002A4BD9" w:rsidP="002A4BD9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 w:cs="Arial"/>
        </w:rPr>
      </w:pPr>
      <w:r w:rsidRPr="00742BB3">
        <w:rPr>
          <w:rFonts w:ascii="Arial" w:hAnsi="Arial"/>
          <w:sz w:val="20"/>
          <w:szCs w:val="20"/>
        </w:rPr>
        <w:t>Bundeszentrale für politische Bildung 202</w:t>
      </w:r>
      <w:r w:rsidR="00CF01D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| www.bpb.de</w:t>
      </w:r>
    </w:p>
    <w:sectPr w:rsidR="00C0407C" w:rsidRPr="000B33EE" w:rsidSect="00CA2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213F" w14:textId="77777777" w:rsidR="00726EE7" w:rsidRDefault="00726EE7" w:rsidP="00E85144">
      <w:r>
        <w:separator/>
      </w:r>
    </w:p>
  </w:endnote>
  <w:endnote w:type="continuationSeparator" w:id="0">
    <w:p w14:paraId="4B7AF68D" w14:textId="77777777" w:rsidR="00726EE7" w:rsidRDefault="00726EE7" w:rsidP="00E8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8472" w14:textId="77777777" w:rsidR="00E85144" w:rsidRDefault="00E851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7749" w14:textId="77777777" w:rsidR="00E85144" w:rsidRDefault="00E851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6568" w14:textId="77777777" w:rsidR="00E85144" w:rsidRDefault="00E851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EACF" w14:textId="77777777" w:rsidR="00726EE7" w:rsidRDefault="00726EE7" w:rsidP="00E85144">
      <w:r>
        <w:separator/>
      </w:r>
    </w:p>
  </w:footnote>
  <w:footnote w:type="continuationSeparator" w:id="0">
    <w:p w14:paraId="23BCF894" w14:textId="77777777" w:rsidR="00726EE7" w:rsidRDefault="00726EE7" w:rsidP="00E8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2BCA" w14:textId="77777777" w:rsidR="00E85144" w:rsidRDefault="00E851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5C2C" w14:textId="77777777" w:rsidR="00E85144" w:rsidRDefault="00E851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CB63" w14:textId="77777777" w:rsidR="00E85144" w:rsidRDefault="00E851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850"/>
    <w:multiLevelType w:val="hybridMultilevel"/>
    <w:tmpl w:val="0B96C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88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ED"/>
    <w:rsid w:val="000013EB"/>
    <w:rsid w:val="00002A01"/>
    <w:rsid w:val="0001502A"/>
    <w:rsid w:val="000215AA"/>
    <w:rsid w:val="00073AA8"/>
    <w:rsid w:val="000B33EE"/>
    <w:rsid w:val="000B7E47"/>
    <w:rsid w:val="000C5EFA"/>
    <w:rsid w:val="000D3A49"/>
    <w:rsid w:val="00100B66"/>
    <w:rsid w:val="00101C9A"/>
    <w:rsid w:val="00105FEF"/>
    <w:rsid w:val="00122091"/>
    <w:rsid w:val="00132E27"/>
    <w:rsid w:val="0014621A"/>
    <w:rsid w:val="0017537A"/>
    <w:rsid w:val="00176094"/>
    <w:rsid w:val="001B1664"/>
    <w:rsid w:val="001B2DAB"/>
    <w:rsid w:val="00213FC7"/>
    <w:rsid w:val="00215DCC"/>
    <w:rsid w:val="00235BED"/>
    <w:rsid w:val="00263692"/>
    <w:rsid w:val="00270944"/>
    <w:rsid w:val="002866B8"/>
    <w:rsid w:val="002A4BD9"/>
    <w:rsid w:val="002A593E"/>
    <w:rsid w:val="003031C1"/>
    <w:rsid w:val="00326944"/>
    <w:rsid w:val="00335759"/>
    <w:rsid w:val="00351E4B"/>
    <w:rsid w:val="003712C6"/>
    <w:rsid w:val="0037216F"/>
    <w:rsid w:val="0037597E"/>
    <w:rsid w:val="00390B1C"/>
    <w:rsid w:val="003A144D"/>
    <w:rsid w:val="003A5E65"/>
    <w:rsid w:val="003B48A3"/>
    <w:rsid w:val="003C343F"/>
    <w:rsid w:val="003C3AED"/>
    <w:rsid w:val="003C400F"/>
    <w:rsid w:val="003D6DC6"/>
    <w:rsid w:val="003F3EBC"/>
    <w:rsid w:val="00435E80"/>
    <w:rsid w:val="00437F55"/>
    <w:rsid w:val="00463676"/>
    <w:rsid w:val="00463895"/>
    <w:rsid w:val="00494083"/>
    <w:rsid w:val="004B3612"/>
    <w:rsid w:val="004C374E"/>
    <w:rsid w:val="004E5F92"/>
    <w:rsid w:val="00505156"/>
    <w:rsid w:val="00546E6C"/>
    <w:rsid w:val="005553A4"/>
    <w:rsid w:val="00574BFB"/>
    <w:rsid w:val="0058296E"/>
    <w:rsid w:val="0059629C"/>
    <w:rsid w:val="0059652D"/>
    <w:rsid w:val="005C2443"/>
    <w:rsid w:val="005D2E14"/>
    <w:rsid w:val="005E039D"/>
    <w:rsid w:val="00612FE3"/>
    <w:rsid w:val="006214DE"/>
    <w:rsid w:val="006309E3"/>
    <w:rsid w:val="0063720D"/>
    <w:rsid w:val="0068450C"/>
    <w:rsid w:val="0069166F"/>
    <w:rsid w:val="006A3410"/>
    <w:rsid w:val="006B7644"/>
    <w:rsid w:val="006C3BB5"/>
    <w:rsid w:val="006C645C"/>
    <w:rsid w:val="006E307E"/>
    <w:rsid w:val="006E7312"/>
    <w:rsid w:val="00700E94"/>
    <w:rsid w:val="00706767"/>
    <w:rsid w:val="00710E0E"/>
    <w:rsid w:val="00717823"/>
    <w:rsid w:val="00726EE7"/>
    <w:rsid w:val="007320E3"/>
    <w:rsid w:val="00792898"/>
    <w:rsid w:val="0079430E"/>
    <w:rsid w:val="007D5961"/>
    <w:rsid w:val="007E359E"/>
    <w:rsid w:val="007F6196"/>
    <w:rsid w:val="007F706C"/>
    <w:rsid w:val="0081237B"/>
    <w:rsid w:val="0082671F"/>
    <w:rsid w:val="00826E8B"/>
    <w:rsid w:val="00860D7B"/>
    <w:rsid w:val="008676ED"/>
    <w:rsid w:val="008B2280"/>
    <w:rsid w:val="008C337F"/>
    <w:rsid w:val="008C579D"/>
    <w:rsid w:val="0092786F"/>
    <w:rsid w:val="00953AEA"/>
    <w:rsid w:val="00960596"/>
    <w:rsid w:val="00967811"/>
    <w:rsid w:val="009A0807"/>
    <w:rsid w:val="009C32DC"/>
    <w:rsid w:val="009D01C6"/>
    <w:rsid w:val="00A312ED"/>
    <w:rsid w:val="00A33CFE"/>
    <w:rsid w:val="00A43906"/>
    <w:rsid w:val="00A65FA3"/>
    <w:rsid w:val="00A721CD"/>
    <w:rsid w:val="00A72612"/>
    <w:rsid w:val="00A84C19"/>
    <w:rsid w:val="00A85448"/>
    <w:rsid w:val="00AA69BB"/>
    <w:rsid w:val="00AC5735"/>
    <w:rsid w:val="00B01B8A"/>
    <w:rsid w:val="00B05E97"/>
    <w:rsid w:val="00B22DC2"/>
    <w:rsid w:val="00B479D6"/>
    <w:rsid w:val="00B520B9"/>
    <w:rsid w:val="00B54F94"/>
    <w:rsid w:val="00B6377A"/>
    <w:rsid w:val="00B66237"/>
    <w:rsid w:val="00B87700"/>
    <w:rsid w:val="00B91782"/>
    <w:rsid w:val="00BB234C"/>
    <w:rsid w:val="00BE4C2A"/>
    <w:rsid w:val="00BF748B"/>
    <w:rsid w:val="00BF74C0"/>
    <w:rsid w:val="00C006C5"/>
    <w:rsid w:val="00C0407C"/>
    <w:rsid w:val="00C23ADD"/>
    <w:rsid w:val="00C432C3"/>
    <w:rsid w:val="00C7396F"/>
    <w:rsid w:val="00C94764"/>
    <w:rsid w:val="00CA0079"/>
    <w:rsid w:val="00CA25DD"/>
    <w:rsid w:val="00CC5DCE"/>
    <w:rsid w:val="00CD67D8"/>
    <w:rsid w:val="00CF01D4"/>
    <w:rsid w:val="00D1085C"/>
    <w:rsid w:val="00D1257C"/>
    <w:rsid w:val="00D1430D"/>
    <w:rsid w:val="00D16603"/>
    <w:rsid w:val="00D17005"/>
    <w:rsid w:val="00D26B3C"/>
    <w:rsid w:val="00D7322C"/>
    <w:rsid w:val="00D92025"/>
    <w:rsid w:val="00D96E1D"/>
    <w:rsid w:val="00DA16EA"/>
    <w:rsid w:val="00DF69B5"/>
    <w:rsid w:val="00E12134"/>
    <w:rsid w:val="00E21E08"/>
    <w:rsid w:val="00E31305"/>
    <w:rsid w:val="00E320CC"/>
    <w:rsid w:val="00E70F58"/>
    <w:rsid w:val="00E7718F"/>
    <w:rsid w:val="00E85144"/>
    <w:rsid w:val="00E97C05"/>
    <w:rsid w:val="00E97E8A"/>
    <w:rsid w:val="00EB41CD"/>
    <w:rsid w:val="00EC3E20"/>
    <w:rsid w:val="00EC4238"/>
    <w:rsid w:val="00ED3849"/>
    <w:rsid w:val="00ED3EF8"/>
    <w:rsid w:val="00F036C2"/>
    <w:rsid w:val="00F15EF1"/>
    <w:rsid w:val="00F42325"/>
    <w:rsid w:val="00F57AE6"/>
    <w:rsid w:val="00F63E80"/>
    <w:rsid w:val="00F67DE0"/>
    <w:rsid w:val="00F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B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C3AE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C3AED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3C3AE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2A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8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82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A4B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0B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0B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0B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B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B1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00B6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B33E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85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5144"/>
  </w:style>
  <w:style w:type="paragraph" w:styleId="Fuzeile">
    <w:name w:val="footer"/>
    <w:basedOn w:val="Standard"/>
    <w:link w:val="FuzeileZchn"/>
    <w:uiPriority w:val="99"/>
    <w:unhideWhenUsed/>
    <w:rsid w:val="00E851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5144"/>
  </w:style>
  <w:style w:type="paragraph" w:styleId="berarbeitung">
    <w:name w:val="Revision"/>
    <w:hidden/>
    <w:uiPriority w:val="99"/>
    <w:semiHidden/>
    <w:rsid w:val="0043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17">
          <w:marLeft w:val="4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02F4-B5A8-444D-9F81-07987F36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2025-05-08T07:10:00Z</dcterms:created>
  <dcterms:modified xsi:type="dcterms:W3CDTF">2025-06-09T13:13:00Z</dcterms:modified>
</cp:coreProperties>
</file>