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84FB" w14:textId="77777777" w:rsidR="007356C0" w:rsidRPr="00B522A6" w:rsidRDefault="00381CBD" w:rsidP="00811112">
      <w:pPr>
        <w:pStyle w:val="Listenabsatz"/>
        <w:numPr>
          <w:ilvl w:val="0"/>
          <w:numId w:val="3"/>
        </w:numPr>
        <w:rPr>
          <w:rFonts w:ascii="Arial" w:eastAsia="Times New Roman" w:hAnsi="Arial" w:cs="Arial"/>
          <w:b/>
          <w:color w:val="000000"/>
          <w:shd w:val="clear" w:color="auto" w:fill="FFFFFF"/>
        </w:rPr>
      </w:pPr>
      <w:r w:rsidRPr="00B522A6">
        <w:rPr>
          <w:rFonts w:ascii="Arial" w:eastAsia="Times New Roman" w:hAnsi="Arial" w:cs="Arial"/>
          <w:b/>
          <w:color w:val="000000"/>
          <w:shd w:val="clear" w:color="auto" w:fill="FFFFFF"/>
        </w:rPr>
        <w:t xml:space="preserve">Institutionelle Investoren </w:t>
      </w:r>
      <w:r w:rsidR="0061775E" w:rsidRPr="00B522A6">
        <w:rPr>
          <w:rFonts w:ascii="Arial" w:eastAsia="Times New Roman" w:hAnsi="Arial" w:cs="Arial"/>
          <w:b/>
          <w:color w:val="000000"/>
          <w:shd w:val="clear" w:color="auto" w:fill="FFFFFF"/>
        </w:rPr>
        <w:t>sammeln Kapital, um es auf den Kapitalmärkten gebündelt anzulegen.</w:t>
      </w:r>
    </w:p>
    <w:p w14:paraId="36784530" w14:textId="77777777" w:rsidR="007356C0" w:rsidRPr="00B522A6" w:rsidRDefault="007356C0" w:rsidP="005E6E22">
      <w:pPr>
        <w:rPr>
          <w:rFonts w:ascii="Arial" w:eastAsia="Times New Roman" w:hAnsi="Arial" w:cs="Arial"/>
          <w:b/>
          <w:color w:val="000000"/>
          <w:shd w:val="clear" w:color="auto" w:fill="FFFFFF"/>
        </w:rPr>
      </w:pPr>
    </w:p>
    <w:p w14:paraId="77D43A27" w14:textId="3B32B7F1" w:rsidR="007356C0" w:rsidRPr="00B522A6" w:rsidRDefault="005E6E22" w:rsidP="00811112">
      <w:pPr>
        <w:pStyle w:val="Listenabsatz"/>
        <w:numPr>
          <w:ilvl w:val="0"/>
          <w:numId w:val="3"/>
        </w:numPr>
        <w:rPr>
          <w:rFonts w:ascii="Arial" w:eastAsia="Times New Roman" w:hAnsi="Arial" w:cs="Arial"/>
          <w:b/>
          <w:color w:val="000000"/>
          <w:shd w:val="clear" w:color="auto" w:fill="FFFFFF"/>
        </w:rPr>
      </w:pPr>
      <w:r w:rsidRPr="00B522A6">
        <w:rPr>
          <w:rFonts w:ascii="Arial" w:eastAsia="Times New Roman" w:hAnsi="Arial" w:cs="Arial"/>
          <w:b/>
          <w:color w:val="000000"/>
          <w:shd w:val="clear" w:color="auto" w:fill="FFFFFF"/>
        </w:rPr>
        <w:t>Im Jahr 20</w:t>
      </w:r>
      <w:r w:rsidR="005B4898" w:rsidRPr="00B522A6">
        <w:rPr>
          <w:rFonts w:ascii="Arial" w:eastAsia="Times New Roman" w:hAnsi="Arial" w:cs="Arial"/>
          <w:b/>
          <w:color w:val="000000"/>
          <w:shd w:val="clear" w:color="auto" w:fill="FFFFFF"/>
        </w:rPr>
        <w:t>23</w:t>
      </w:r>
      <w:r w:rsidRPr="00B522A6">
        <w:rPr>
          <w:rFonts w:ascii="Arial" w:eastAsia="Times New Roman" w:hAnsi="Arial" w:cs="Arial"/>
          <w:b/>
          <w:color w:val="000000"/>
          <w:shd w:val="clear" w:color="auto" w:fill="FFFFFF"/>
        </w:rPr>
        <w:t xml:space="preserve"> </w:t>
      </w:r>
      <w:r w:rsidR="00B522A6">
        <w:rPr>
          <w:rFonts w:ascii="Arial" w:eastAsia="Times New Roman" w:hAnsi="Arial" w:cs="Arial"/>
          <w:b/>
          <w:color w:val="000000"/>
          <w:shd w:val="clear" w:color="auto" w:fill="FFFFFF"/>
        </w:rPr>
        <w:t xml:space="preserve">lag </w:t>
      </w:r>
      <w:r w:rsidRPr="00B522A6">
        <w:rPr>
          <w:rFonts w:ascii="Arial" w:eastAsia="Times New Roman" w:hAnsi="Arial" w:cs="Arial"/>
          <w:b/>
          <w:color w:val="000000"/>
          <w:shd w:val="clear" w:color="auto" w:fill="FFFFFF"/>
        </w:rPr>
        <w:t xml:space="preserve">das von den institutionellen Investoren </w:t>
      </w:r>
      <w:r w:rsidR="005B4898" w:rsidRPr="00B522A6">
        <w:rPr>
          <w:rFonts w:ascii="Arial" w:eastAsia="Times New Roman" w:hAnsi="Arial" w:cs="Arial"/>
          <w:b/>
          <w:color w:val="000000"/>
          <w:shd w:val="clear" w:color="auto" w:fill="FFFFFF"/>
        </w:rPr>
        <w:t>der OECD</w:t>
      </w:r>
      <w:r w:rsidR="001D06E3" w:rsidRPr="00B522A6">
        <w:rPr>
          <w:rFonts w:ascii="Arial" w:eastAsia="Times New Roman" w:hAnsi="Arial" w:cs="Arial"/>
          <w:b/>
          <w:color w:val="000000"/>
          <w:shd w:val="clear" w:color="auto" w:fill="FFFFFF"/>
        </w:rPr>
        <w:t>-Staaten</w:t>
      </w:r>
      <w:r w:rsidR="005B4898" w:rsidRPr="00B522A6">
        <w:rPr>
          <w:rFonts w:ascii="Arial" w:eastAsia="Times New Roman" w:hAnsi="Arial" w:cs="Arial"/>
          <w:b/>
          <w:color w:val="000000"/>
          <w:shd w:val="clear" w:color="auto" w:fill="FFFFFF"/>
        </w:rPr>
        <w:t xml:space="preserve"> </w:t>
      </w:r>
      <w:r w:rsidRPr="00B522A6">
        <w:rPr>
          <w:rFonts w:ascii="Arial" w:eastAsia="Times New Roman" w:hAnsi="Arial" w:cs="Arial"/>
          <w:b/>
          <w:color w:val="000000"/>
          <w:shd w:val="clear" w:color="auto" w:fill="FFFFFF"/>
        </w:rPr>
        <w:t xml:space="preserve">verwaltete </w:t>
      </w:r>
      <w:r w:rsidR="005B4898" w:rsidRPr="00B522A6">
        <w:rPr>
          <w:rFonts w:ascii="Arial" w:eastAsia="Times New Roman" w:hAnsi="Arial" w:cs="Arial"/>
          <w:b/>
          <w:color w:val="000000"/>
          <w:shd w:val="clear" w:color="auto" w:fill="FFFFFF"/>
        </w:rPr>
        <w:t xml:space="preserve">finanzielle </w:t>
      </w:r>
      <w:r w:rsidRPr="00B522A6">
        <w:rPr>
          <w:rFonts w:ascii="Arial" w:eastAsia="Times New Roman" w:hAnsi="Arial" w:cs="Arial"/>
          <w:b/>
          <w:color w:val="000000"/>
          <w:shd w:val="clear" w:color="auto" w:fill="FFFFFF"/>
        </w:rPr>
        <w:t xml:space="preserve">Vermögen </w:t>
      </w:r>
      <w:r w:rsidR="00B522A6">
        <w:rPr>
          <w:rFonts w:ascii="Arial" w:eastAsia="Times New Roman" w:hAnsi="Arial" w:cs="Arial"/>
          <w:b/>
          <w:color w:val="000000"/>
          <w:shd w:val="clear" w:color="auto" w:fill="FFFFFF"/>
        </w:rPr>
        <w:t xml:space="preserve">bei </w:t>
      </w:r>
      <w:r w:rsidR="005B4898" w:rsidRPr="00B522A6">
        <w:rPr>
          <w:rFonts w:ascii="Arial" w:eastAsia="Times New Roman" w:hAnsi="Arial" w:cs="Arial"/>
          <w:b/>
          <w:color w:val="000000"/>
          <w:shd w:val="clear" w:color="auto" w:fill="FFFFFF"/>
        </w:rPr>
        <w:t>126</w:t>
      </w:r>
      <w:r w:rsidR="00381CBD" w:rsidRPr="00B522A6">
        <w:rPr>
          <w:rFonts w:ascii="Arial" w:eastAsia="Times New Roman" w:hAnsi="Arial" w:cs="Arial"/>
          <w:b/>
          <w:color w:val="000000"/>
          <w:shd w:val="clear" w:color="auto" w:fill="FFFFFF"/>
        </w:rPr>
        <w:t xml:space="preserve"> Billionen </w:t>
      </w:r>
      <w:r w:rsidR="005B4898" w:rsidRPr="00B522A6">
        <w:rPr>
          <w:rFonts w:ascii="Arial" w:eastAsia="Times New Roman" w:hAnsi="Arial" w:cs="Arial"/>
          <w:b/>
          <w:color w:val="000000"/>
          <w:shd w:val="clear" w:color="auto" w:fill="FFFFFF"/>
        </w:rPr>
        <w:t>US</w:t>
      </w:r>
      <w:r w:rsidR="00DB1561" w:rsidRPr="00B522A6">
        <w:rPr>
          <w:rFonts w:ascii="Arial" w:eastAsia="Times New Roman" w:hAnsi="Arial" w:cs="Arial"/>
          <w:b/>
          <w:color w:val="000000"/>
          <w:shd w:val="clear" w:color="auto" w:fill="FFFFFF"/>
        </w:rPr>
        <w:t>-</w:t>
      </w:r>
      <w:r w:rsidR="005B4898" w:rsidRPr="00B522A6">
        <w:rPr>
          <w:rFonts w:ascii="Arial" w:eastAsia="Times New Roman" w:hAnsi="Arial" w:cs="Arial"/>
          <w:b/>
          <w:color w:val="000000"/>
          <w:shd w:val="clear" w:color="auto" w:fill="FFFFFF"/>
        </w:rPr>
        <w:t>D</w:t>
      </w:r>
      <w:r w:rsidR="00DB1561" w:rsidRPr="00B522A6">
        <w:rPr>
          <w:rFonts w:ascii="Arial" w:eastAsia="Times New Roman" w:hAnsi="Arial" w:cs="Arial"/>
          <w:b/>
          <w:color w:val="000000"/>
          <w:shd w:val="clear" w:color="auto" w:fill="FFFFFF"/>
        </w:rPr>
        <w:t>ollar</w:t>
      </w:r>
      <w:r w:rsidR="00B522A6">
        <w:rPr>
          <w:rFonts w:ascii="Arial" w:eastAsia="Times New Roman" w:hAnsi="Arial" w:cs="Arial"/>
          <w:b/>
          <w:color w:val="000000"/>
          <w:shd w:val="clear" w:color="auto" w:fill="FFFFFF"/>
        </w:rPr>
        <w:t xml:space="preserve"> und war damit höher als das Welt-BIP</w:t>
      </w:r>
      <w:r w:rsidRPr="00B522A6">
        <w:rPr>
          <w:rFonts w:ascii="Arial" w:eastAsia="Times New Roman" w:hAnsi="Arial" w:cs="Arial"/>
          <w:b/>
          <w:color w:val="000000"/>
          <w:shd w:val="clear" w:color="auto" w:fill="FFFFFF"/>
        </w:rPr>
        <w:t>.</w:t>
      </w:r>
      <w:r w:rsidR="007356C0" w:rsidRPr="00B522A6">
        <w:rPr>
          <w:rFonts w:ascii="Arial" w:eastAsia="Times New Roman" w:hAnsi="Arial" w:cs="Arial"/>
          <w:b/>
          <w:color w:val="000000"/>
          <w:shd w:val="clear" w:color="auto" w:fill="FFFFFF"/>
        </w:rPr>
        <w:t xml:space="preserve"> </w:t>
      </w:r>
      <w:r w:rsidRPr="00B522A6">
        <w:rPr>
          <w:rFonts w:ascii="Arial" w:eastAsia="Times New Roman" w:hAnsi="Arial" w:cs="Arial"/>
          <w:b/>
          <w:color w:val="000000"/>
          <w:shd w:val="clear" w:color="auto" w:fill="FFFFFF"/>
        </w:rPr>
        <w:t xml:space="preserve">Entsprechend hoch ist </w:t>
      </w:r>
      <w:r w:rsidR="005D6ACB" w:rsidRPr="00B522A6">
        <w:rPr>
          <w:rFonts w:ascii="Arial" w:eastAsia="Times New Roman" w:hAnsi="Arial" w:cs="Arial"/>
          <w:b/>
          <w:color w:val="000000"/>
          <w:shd w:val="clear" w:color="auto" w:fill="FFFFFF"/>
        </w:rPr>
        <w:t>die B</w:t>
      </w:r>
      <w:r w:rsidRPr="00B522A6">
        <w:rPr>
          <w:rFonts w:ascii="Arial" w:eastAsia="Times New Roman" w:hAnsi="Arial" w:cs="Arial"/>
          <w:b/>
          <w:color w:val="000000"/>
          <w:shd w:val="clear" w:color="auto" w:fill="FFFFFF"/>
        </w:rPr>
        <w:t>edeutung für Unternehmen und Staaten.</w:t>
      </w:r>
    </w:p>
    <w:p w14:paraId="441B96DA" w14:textId="77777777" w:rsidR="007356C0" w:rsidRPr="00B522A6" w:rsidRDefault="007356C0" w:rsidP="005E6E22">
      <w:pPr>
        <w:rPr>
          <w:rFonts w:ascii="Arial" w:eastAsia="Times New Roman" w:hAnsi="Arial" w:cs="Arial"/>
          <w:b/>
          <w:color w:val="000000"/>
          <w:shd w:val="clear" w:color="auto" w:fill="FFFFFF"/>
        </w:rPr>
      </w:pPr>
    </w:p>
    <w:p w14:paraId="5D199B54" w14:textId="2069C4C9" w:rsidR="00F207F3" w:rsidRPr="00B522A6" w:rsidRDefault="005E6E22" w:rsidP="00811112">
      <w:pPr>
        <w:pStyle w:val="Listenabsatz"/>
        <w:numPr>
          <w:ilvl w:val="0"/>
          <w:numId w:val="3"/>
        </w:numPr>
        <w:rPr>
          <w:rFonts w:ascii="Arial" w:eastAsia="Times New Roman" w:hAnsi="Arial" w:cs="Arial"/>
          <w:color w:val="000000"/>
          <w:shd w:val="clear" w:color="auto" w:fill="FFFFFF"/>
        </w:rPr>
      </w:pPr>
      <w:r w:rsidRPr="00B522A6">
        <w:rPr>
          <w:rFonts w:ascii="Arial" w:eastAsia="Times New Roman" w:hAnsi="Arial" w:cs="Arial"/>
          <w:b/>
          <w:color w:val="000000"/>
          <w:shd w:val="clear" w:color="auto" w:fill="FFFFFF"/>
        </w:rPr>
        <w:t>Allerdings v</w:t>
      </w:r>
      <w:r w:rsidR="0061775E" w:rsidRPr="00B522A6">
        <w:rPr>
          <w:rFonts w:ascii="Arial" w:eastAsia="Times New Roman" w:hAnsi="Arial" w:cs="Arial"/>
          <w:b/>
          <w:color w:val="000000"/>
          <w:shd w:val="clear" w:color="auto" w:fill="FFFFFF"/>
        </w:rPr>
        <w:t>ariiert die</w:t>
      </w:r>
      <w:r w:rsidRPr="00B522A6">
        <w:rPr>
          <w:rFonts w:ascii="Arial" w:eastAsia="Times New Roman" w:hAnsi="Arial" w:cs="Arial"/>
          <w:b/>
          <w:color w:val="000000"/>
          <w:shd w:val="clear" w:color="auto" w:fill="FFFFFF"/>
        </w:rPr>
        <w:t>se</w:t>
      </w:r>
      <w:r w:rsidR="0061775E" w:rsidRPr="00B522A6">
        <w:rPr>
          <w:rFonts w:ascii="Arial" w:eastAsia="Times New Roman" w:hAnsi="Arial" w:cs="Arial"/>
          <w:b/>
          <w:color w:val="000000"/>
          <w:shd w:val="clear" w:color="auto" w:fill="FFFFFF"/>
        </w:rPr>
        <w:t xml:space="preserve"> Bedeutung </w:t>
      </w:r>
      <w:r w:rsidR="009549F5" w:rsidRPr="00B522A6">
        <w:rPr>
          <w:rFonts w:ascii="Arial" w:eastAsia="Times New Roman" w:hAnsi="Arial" w:cs="Arial"/>
          <w:b/>
          <w:color w:val="000000"/>
          <w:shd w:val="clear" w:color="auto" w:fill="FFFFFF"/>
        </w:rPr>
        <w:t>erheblich</w:t>
      </w:r>
      <w:r w:rsidRPr="00B522A6">
        <w:rPr>
          <w:rFonts w:ascii="Arial" w:eastAsia="Times New Roman" w:hAnsi="Arial" w:cs="Arial"/>
          <w:b/>
          <w:color w:val="000000"/>
          <w:shd w:val="clear" w:color="auto" w:fill="FFFFFF"/>
        </w:rPr>
        <w:t>: Während beispielsweise das verwaltete Vermögen von Investmentfonds, Pensionsfonds u</w:t>
      </w:r>
      <w:r w:rsidR="00991BDA" w:rsidRPr="00B522A6">
        <w:rPr>
          <w:rFonts w:ascii="Arial" w:eastAsia="Times New Roman" w:hAnsi="Arial" w:cs="Arial"/>
          <w:b/>
          <w:color w:val="000000"/>
          <w:shd w:val="clear" w:color="auto" w:fill="FFFFFF"/>
        </w:rPr>
        <w:t>nd Versicherungen in den USA 2</w:t>
      </w:r>
      <w:r w:rsidR="002C0E9A" w:rsidRPr="00B522A6">
        <w:rPr>
          <w:rFonts w:ascii="Arial" w:eastAsia="Times New Roman" w:hAnsi="Arial" w:cs="Arial"/>
          <w:b/>
          <w:color w:val="000000"/>
          <w:shd w:val="clear" w:color="auto" w:fill="FFFFFF"/>
        </w:rPr>
        <w:t>68</w:t>
      </w:r>
      <w:r w:rsidRPr="00B522A6">
        <w:rPr>
          <w:rFonts w:ascii="Arial" w:eastAsia="Times New Roman" w:hAnsi="Arial" w:cs="Arial"/>
          <w:b/>
          <w:color w:val="000000"/>
          <w:shd w:val="clear" w:color="auto" w:fill="FFFFFF"/>
        </w:rPr>
        <w:t xml:space="preserve"> Prozent des BIP entsprach, lag der Wert in </w:t>
      </w:r>
      <w:r w:rsidR="002C0E9A" w:rsidRPr="00B522A6">
        <w:rPr>
          <w:rFonts w:ascii="Arial" w:eastAsia="Times New Roman" w:hAnsi="Arial" w:cs="Arial"/>
          <w:b/>
          <w:color w:val="000000"/>
          <w:shd w:val="clear" w:color="auto" w:fill="FFFFFF"/>
        </w:rPr>
        <w:t>Griechenland</w:t>
      </w:r>
      <w:r w:rsidRPr="00B522A6">
        <w:rPr>
          <w:rFonts w:ascii="Arial" w:eastAsia="Times New Roman" w:hAnsi="Arial" w:cs="Arial"/>
          <w:b/>
          <w:color w:val="000000"/>
          <w:shd w:val="clear" w:color="auto" w:fill="FFFFFF"/>
        </w:rPr>
        <w:t xml:space="preserve"> b</w:t>
      </w:r>
      <w:r w:rsidR="00991BDA" w:rsidRPr="00B522A6">
        <w:rPr>
          <w:rFonts w:ascii="Arial" w:eastAsia="Times New Roman" w:hAnsi="Arial" w:cs="Arial"/>
          <w:b/>
          <w:color w:val="000000"/>
          <w:shd w:val="clear" w:color="auto" w:fill="FFFFFF"/>
        </w:rPr>
        <w:t>ei lediglich 1</w:t>
      </w:r>
      <w:r w:rsidR="002C0E9A" w:rsidRPr="00B522A6">
        <w:rPr>
          <w:rFonts w:ascii="Arial" w:eastAsia="Times New Roman" w:hAnsi="Arial" w:cs="Arial"/>
          <w:b/>
          <w:color w:val="000000"/>
          <w:shd w:val="clear" w:color="auto" w:fill="FFFFFF"/>
        </w:rPr>
        <w:t>6</w:t>
      </w:r>
      <w:r w:rsidRPr="00B522A6">
        <w:rPr>
          <w:rFonts w:ascii="Arial" w:eastAsia="Times New Roman" w:hAnsi="Arial" w:cs="Arial"/>
          <w:b/>
          <w:color w:val="000000"/>
          <w:shd w:val="clear" w:color="auto" w:fill="FFFFFF"/>
        </w:rPr>
        <w:t xml:space="preserve"> Prozent (Deutschland: 1</w:t>
      </w:r>
      <w:r w:rsidR="002C0E9A" w:rsidRPr="00B522A6">
        <w:rPr>
          <w:rFonts w:ascii="Arial" w:eastAsia="Times New Roman" w:hAnsi="Arial" w:cs="Arial"/>
          <w:b/>
          <w:color w:val="000000"/>
          <w:shd w:val="clear" w:color="auto" w:fill="FFFFFF"/>
        </w:rPr>
        <w:t>4</w:t>
      </w:r>
      <w:r w:rsidR="00B522A6" w:rsidRPr="00B522A6">
        <w:rPr>
          <w:rFonts w:ascii="Arial" w:eastAsia="Times New Roman" w:hAnsi="Arial" w:cs="Arial"/>
          <w:b/>
          <w:color w:val="000000"/>
          <w:shd w:val="clear" w:color="auto" w:fill="FFFFFF"/>
        </w:rPr>
        <w:t>1</w:t>
      </w:r>
      <w:r w:rsidRPr="00B522A6">
        <w:rPr>
          <w:rFonts w:ascii="Arial" w:eastAsia="Times New Roman" w:hAnsi="Arial" w:cs="Arial"/>
          <w:b/>
          <w:color w:val="000000"/>
          <w:shd w:val="clear" w:color="auto" w:fill="FFFFFF"/>
        </w:rPr>
        <w:t xml:space="preserve"> Prozent).</w:t>
      </w:r>
      <w:r w:rsidR="00F207F3" w:rsidRPr="00B522A6">
        <w:rPr>
          <w:rFonts w:ascii="Arial" w:eastAsia="Times New Roman" w:hAnsi="Arial" w:cs="Arial"/>
          <w:color w:val="000000"/>
          <w:shd w:val="clear" w:color="auto" w:fill="FFFFFF"/>
        </w:rPr>
        <w:br/>
      </w:r>
    </w:p>
    <w:p w14:paraId="5988C13A" w14:textId="77777777" w:rsidR="00F207F3" w:rsidRPr="003257F3" w:rsidRDefault="00F207F3" w:rsidP="009C3E94">
      <w:pPr>
        <w:outlineLvl w:val="1"/>
        <w:rPr>
          <w:rFonts w:ascii="Arial" w:eastAsia="Times New Roman" w:hAnsi="Arial" w:cs="Arial"/>
          <w:bCs/>
          <w:color w:val="FF0000"/>
        </w:rPr>
      </w:pPr>
      <w:r w:rsidRPr="003257F3">
        <w:rPr>
          <w:rFonts w:ascii="Arial" w:eastAsia="Times New Roman" w:hAnsi="Arial" w:cs="Arial"/>
          <w:bCs/>
          <w:color w:val="FF0000"/>
        </w:rPr>
        <w:t>Fakten</w:t>
      </w:r>
    </w:p>
    <w:p w14:paraId="6D201553" w14:textId="77777777" w:rsidR="009C3E94" w:rsidRPr="002309D6" w:rsidRDefault="009C3E94" w:rsidP="009C3E94">
      <w:pPr>
        <w:rPr>
          <w:rFonts w:ascii="Arial" w:eastAsia="Times New Roman" w:hAnsi="Arial" w:cs="Arial"/>
          <w:color w:val="000000"/>
          <w:shd w:val="clear" w:color="auto" w:fill="FFFFFF"/>
        </w:rPr>
      </w:pPr>
    </w:p>
    <w:p w14:paraId="295C9DC1" w14:textId="7A54F202" w:rsidR="0031755A" w:rsidRDefault="00317463" w:rsidP="0031755A">
      <w:pPr>
        <w:rPr>
          <w:rFonts w:ascii="Arial" w:eastAsia="Times New Roman" w:hAnsi="Arial" w:cs="Arial"/>
          <w:color w:val="000000"/>
          <w:shd w:val="clear" w:color="auto" w:fill="FFFFFF"/>
        </w:rPr>
      </w:pPr>
      <w:r w:rsidRPr="00D0247C">
        <w:rPr>
          <w:rFonts w:ascii="Arial" w:eastAsia="Times New Roman" w:hAnsi="Arial" w:cs="Arial"/>
          <w:color w:val="000000"/>
          <w:shd w:val="clear" w:color="auto" w:fill="FFFFFF"/>
        </w:rPr>
        <w:t xml:space="preserve">Seit Jahrzehnten nimmt das </w:t>
      </w:r>
      <w:r w:rsidR="00F207F3" w:rsidRPr="00D0247C">
        <w:rPr>
          <w:rFonts w:ascii="Arial" w:eastAsia="Times New Roman" w:hAnsi="Arial" w:cs="Arial"/>
          <w:color w:val="000000"/>
          <w:shd w:val="clear" w:color="auto" w:fill="FFFFFF"/>
        </w:rPr>
        <w:t xml:space="preserve">von </w:t>
      </w:r>
      <w:r w:rsidR="0061775E" w:rsidRPr="00D0247C">
        <w:rPr>
          <w:rFonts w:ascii="Arial" w:eastAsia="Times New Roman" w:hAnsi="Arial" w:cs="Arial"/>
          <w:color w:val="000000"/>
          <w:shd w:val="clear" w:color="auto" w:fill="FFFFFF"/>
        </w:rPr>
        <w:t>i</w:t>
      </w:r>
      <w:r w:rsidR="00F207F3" w:rsidRPr="00D0247C">
        <w:rPr>
          <w:rFonts w:ascii="Arial" w:eastAsia="Times New Roman" w:hAnsi="Arial" w:cs="Arial"/>
          <w:color w:val="000000"/>
          <w:shd w:val="clear" w:color="auto" w:fill="FFFFFF"/>
        </w:rPr>
        <w:t xml:space="preserve">nstitutionellen Investoren verwaltete Vermögen </w:t>
      </w:r>
      <w:r w:rsidRPr="00D0247C">
        <w:rPr>
          <w:rFonts w:ascii="Arial" w:eastAsia="Times New Roman" w:hAnsi="Arial" w:cs="Arial"/>
          <w:color w:val="000000"/>
          <w:shd w:val="clear" w:color="auto" w:fill="FFFFFF"/>
        </w:rPr>
        <w:t>zu</w:t>
      </w:r>
      <w:r w:rsidR="00166730" w:rsidRPr="00D0247C">
        <w:rPr>
          <w:rFonts w:ascii="Arial" w:eastAsia="Times New Roman" w:hAnsi="Arial" w:cs="Arial"/>
          <w:color w:val="000000"/>
          <w:shd w:val="clear" w:color="auto" w:fill="FFFFFF"/>
        </w:rPr>
        <w:t>.</w:t>
      </w:r>
      <w:r w:rsidR="00A02A4F">
        <w:rPr>
          <w:rFonts w:ascii="Arial" w:eastAsia="Times New Roman" w:hAnsi="Arial" w:cs="Arial"/>
          <w:color w:val="000000"/>
          <w:shd w:val="clear" w:color="auto" w:fill="FFFFFF"/>
        </w:rPr>
        <w:t xml:space="preserve"> </w:t>
      </w:r>
      <w:r w:rsidR="00DF55ED" w:rsidRPr="00D0247C">
        <w:rPr>
          <w:rFonts w:ascii="Arial" w:eastAsia="Times New Roman" w:hAnsi="Arial" w:cs="Arial"/>
          <w:color w:val="000000"/>
          <w:shd w:val="clear" w:color="auto" w:fill="FFFFFF"/>
        </w:rPr>
        <w:t>D</w:t>
      </w:r>
      <w:r w:rsidR="00DF55ED">
        <w:rPr>
          <w:rFonts w:ascii="Arial" w:eastAsia="Times New Roman" w:hAnsi="Arial" w:cs="Arial"/>
          <w:color w:val="000000"/>
          <w:shd w:val="clear" w:color="auto" w:fill="FFFFFF"/>
        </w:rPr>
        <w:t xml:space="preserve">er kontinuierliche Anstieg wurde lediglich in einigen Jahren, wie zum Beispiel durch die globale Finanzkrise 2008, unterbrochen. Von anderen Krisen, wie zum Beispiel der </w:t>
      </w:r>
      <w:r w:rsidR="00DF55ED" w:rsidRPr="00D0247C">
        <w:rPr>
          <w:rFonts w:ascii="Arial" w:eastAsia="Times New Roman" w:hAnsi="Arial" w:cs="Arial"/>
          <w:color w:val="000000"/>
          <w:shd w:val="clear" w:color="auto" w:fill="FFFFFF"/>
        </w:rPr>
        <w:t xml:space="preserve">Corona-Pandemie, blieb </w:t>
      </w:r>
      <w:r w:rsidR="00DF55ED">
        <w:rPr>
          <w:rFonts w:ascii="Arial" w:eastAsia="Times New Roman" w:hAnsi="Arial" w:cs="Arial"/>
          <w:color w:val="000000"/>
          <w:shd w:val="clear" w:color="auto" w:fill="FFFFFF"/>
        </w:rPr>
        <w:t>die Entwicklung unbeeindruckt</w:t>
      </w:r>
      <w:r w:rsidR="00D0247C">
        <w:rPr>
          <w:rFonts w:ascii="Arial" w:eastAsia="Times New Roman" w:hAnsi="Arial" w:cs="Arial"/>
          <w:color w:val="000000"/>
          <w:shd w:val="clear" w:color="auto" w:fill="FFFFFF"/>
        </w:rPr>
        <w:t xml:space="preserve">. </w:t>
      </w:r>
      <w:r w:rsidR="00DF55ED" w:rsidRPr="00D0247C">
        <w:rPr>
          <w:rFonts w:ascii="Arial" w:eastAsia="Times New Roman" w:hAnsi="Arial" w:cs="Arial"/>
          <w:color w:val="000000"/>
          <w:shd w:val="clear" w:color="auto" w:fill="FFFFFF"/>
        </w:rPr>
        <w:t>I</w:t>
      </w:r>
      <w:r w:rsidR="0031755A" w:rsidRPr="00D0247C">
        <w:rPr>
          <w:rFonts w:ascii="Arial" w:eastAsia="Times New Roman" w:hAnsi="Arial" w:cs="Arial"/>
          <w:color w:val="000000"/>
          <w:shd w:val="clear" w:color="auto" w:fill="FFFFFF"/>
        </w:rPr>
        <w:t xml:space="preserve">m Jahr 2023 lag das von den institutionellen Investoren der OECD-Staaten verwaltete finanzielle Vermögen bei 126 Billionen US-Dollar und war damit höher als das </w:t>
      </w:r>
      <w:r w:rsidR="00D0247C">
        <w:rPr>
          <w:rFonts w:ascii="Arial" w:eastAsia="Times New Roman" w:hAnsi="Arial" w:cs="Arial"/>
          <w:color w:val="000000"/>
          <w:shd w:val="clear" w:color="auto" w:fill="FFFFFF"/>
        </w:rPr>
        <w:t>weltweite Bruttoinlandsprodukt (BIP)</w:t>
      </w:r>
      <w:r w:rsidR="0031755A" w:rsidRPr="00D0247C">
        <w:rPr>
          <w:rFonts w:ascii="Arial" w:eastAsia="Times New Roman" w:hAnsi="Arial" w:cs="Arial"/>
          <w:color w:val="000000"/>
          <w:shd w:val="clear" w:color="auto" w:fill="FFFFFF"/>
        </w:rPr>
        <w:t>. Entsprechend hoch ist die Bedeutung für Unternehmen und Staaten.</w:t>
      </w:r>
    </w:p>
    <w:p w14:paraId="18941E7D" w14:textId="77777777" w:rsidR="00D0247C" w:rsidRDefault="00D0247C" w:rsidP="0031755A">
      <w:pPr>
        <w:rPr>
          <w:rFonts w:ascii="Arial" w:eastAsia="Times New Roman" w:hAnsi="Arial" w:cs="Arial"/>
          <w:color w:val="000000"/>
          <w:shd w:val="clear" w:color="auto" w:fill="FFFFFF"/>
        </w:rPr>
      </w:pPr>
    </w:p>
    <w:p w14:paraId="7BC67908" w14:textId="25564F05" w:rsidR="00B65411" w:rsidRPr="00A635D1" w:rsidRDefault="00B16D16" w:rsidP="00DA233A">
      <w:pPr>
        <w:rPr>
          <w:rFonts w:ascii="Arial" w:eastAsia="Times New Roman" w:hAnsi="Arial" w:cs="Arial"/>
          <w:color w:val="000000"/>
          <w:shd w:val="clear" w:color="auto" w:fill="FFFFFF"/>
        </w:rPr>
      </w:pPr>
      <w:r w:rsidRPr="00D0247C">
        <w:rPr>
          <w:rFonts w:ascii="Arial" w:eastAsia="Times New Roman" w:hAnsi="Arial" w:cs="Arial"/>
          <w:color w:val="000000"/>
          <w:shd w:val="clear" w:color="auto" w:fill="FFFFFF"/>
        </w:rPr>
        <w:t xml:space="preserve">In </w:t>
      </w:r>
      <w:r w:rsidR="00317463" w:rsidRPr="00D0247C">
        <w:rPr>
          <w:rFonts w:ascii="Arial" w:eastAsia="Times New Roman" w:hAnsi="Arial" w:cs="Arial"/>
          <w:color w:val="000000"/>
          <w:shd w:val="clear" w:color="auto" w:fill="FFFFFF"/>
        </w:rPr>
        <w:t>den einzelnen Staaten</w:t>
      </w:r>
      <w:r w:rsidR="009C3E94" w:rsidRPr="00D0247C">
        <w:rPr>
          <w:rFonts w:ascii="Arial" w:eastAsia="Times New Roman" w:hAnsi="Arial" w:cs="Arial"/>
          <w:color w:val="000000"/>
          <w:shd w:val="clear" w:color="auto" w:fill="FFFFFF"/>
        </w:rPr>
        <w:t xml:space="preserve"> </w:t>
      </w:r>
      <w:r w:rsidRPr="00D0247C">
        <w:rPr>
          <w:rFonts w:ascii="Arial" w:eastAsia="Times New Roman" w:hAnsi="Arial" w:cs="Arial"/>
          <w:color w:val="000000"/>
          <w:shd w:val="clear" w:color="auto" w:fill="FFFFFF"/>
        </w:rPr>
        <w:t xml:space="preserve">variiert die Bedeutung von </w:t>
      </w:r>
      <w:r w:rsidR="0061775E" w:rsidRPr="00D0247C">
        <w:rPr>
          <w:rFonts w:ascii="Arial" w:eastAsia="Times New Roman" w:hAnsi="Arial" w:cs="Arial"/>
          <w:color w:val="000000"/>
          <w:shd w:val="clear" w:color="auto" w:fill="FFFFFF"/>
        </w:rPr>
        <w:t>inst</w:t>
      </w:r>
      <w:r w:rsidRPr="00D0247C">
        <w:rPr>
          <w:rFonts w:ascii="Arial" w:eastAsia="Times New Roman" w:hAnsi="Arial" w:cs="Arial"/>
          <w:color w:val="000000"/>
          <w:shd w:val="clear" w:color="auto" w:fill="FFFFFF"/>
        </w:rPr>
        <w:t xml:space="preserve">itutionellen Investoren </w:t>
      </w:r>
      <w:r w:rsidR="00D0247C">
        <w:rPr>
          <w:rFonts w:ascii="Arial" w:eastAsia="Times New Roman" w:hAnsi="Arial" w:cs="Arial"/>
          <w:color w:val="000000"/>
          <w:shd w:val="clear" w:color="auto" w:fill="FFFFFF"/>
        </w:rPr>
        <w:t xml:space="preserve">jedoch </w:t>
      </w:r>
      <w:r w:rsidRPr="00D0247C">
        <w:rPr>
          <w:rFonts w:ascii="Arial" w:eastAsia="Times New Roman" w:hAnsi="Arial" w:cs="Arial"/>
          <w:color w:val="000000"/>
          <w:shd w:val="clear" w:color="auto" w:fill="FFFFFF"/>
        </w:rPr>
        <w:t xml:space="preserve">erheblich. </w:t>
      </w:r>
      <w:r w:rsidR="00720080" w:rsidRPr="00D0247C">
        <w:rPr>
          <w:rFonts w:ascii="Arial" w:eastAsia="Times New Roman" w:hAnsi="Arial" w:cs="Arial"/>
          <w:color w:val="000000"/>
          <w:shd w:val="clear" w:color="auto" w:fill="FFFFFF"/>
        </w:rPr>
        <w:t>Die</w:t>
      </w:r>
      <w:r w:rsidRPr="00D0247C">
        <w:rPr>
          <w:rFonts w:ascii="Arial" w:eastAsia="Times New Roman" w:hAnsi="Arial" w:cs="Arial"/>
          <w:color w:val="000000"/>
          <w:shd w:val="clear" w:color="auto" w:fill="FFFFFF"/>
        </w:rPr>
        <w:t xml:space="preserve"> Organisation für wirtschaftliche Zusammenarbeit und Entwicklung (OECD) </w:t>
      </w:r>
      <w:r w:rsidR="00720080" w:rsidRPr="00D0247C">
        <w:rPr>
          <w:rFonts w:ascii="Arial" w:eastAsia="Times New Roman" w:hAnsi="Arial" w:cs="Arial"/>
          <w:color w:val="000000"/>
          <w:shd w:val="clear" w:color="auto" w:fill="FFFFFF"/>
        </w:rPr>
        <w:t xml:space="preserve">erfasst </w:t>
      </w:r>
      <w:r w:rsidRPr="00D0247C">
        <w:rPr>
          <w:rFonts w:ascii="Arial" w:eastAsia="Times New Roman" w:hAnsi="Arial" w:cs="Arial"/>
          <w:color w:val="000000"/>
          <w:shd w:val="clear" w:color="auto" w:fill="FFFFFF"/>
        </w:rPr>
        <w:t xml:space="preserve">in ihren Institutional Investors Statistics das verwaltete Vermögen der </w:t>
      </w:r>
      <w:r w:rsidR="00317463" w:rsidRPr="00D0247C">
        <w:rPr>
          <w:rFonts w:ascii="Arial" w:eastAsia="Times New Roman" w:hAnsi="Arial" w:cs="Arial"/>
          <w:color w:val="000000"/>
          <w:shd w:val="clear" w:color="auto" w:fill="FFFFFF"/>
        </w:rPr>
        <w:t>"</w:t>
      </w:r>
      <w:r w:rsidR="00610D40" w:rsidRPr="00D0247C">
        <w:rPr>
          <w:rFonts w:ascii="Arial" w:eastAsia="Times New Roman" w:hAnsi="Arial" w:cs="Arial"/>
          <w:color w:val="000000"/>
          <w:shd w:val="clear" w:color="auto" w:fill="FFFFFF"/>
        </w:rPr>
        <w:t>traditionellen</w:t>
      </w:r>
      <w:r w:rsidR="00317463" w:rsidRPr="00D0247C">
        <w:rPr>
          <w:rFonts w:ascii="Arial" w:eastAsia="Times New Roman" w:hAnsi="Arial" w:cs="Arial"/>
          <w:color w:val="000000"/>
          <w:shd w:val="clear" w:color="auto" w:fill="FFFFFF"/>
        </w:rPr>
        <w:t>"</w:t>
      </w:r>
      <w:r w:rsidR="00610D40" w:rsidRPr="00D0247C">
        <w:rPr>
          <w:rFonts w:ascii="Arial" w:eastAsia="Times New Roman" w:hAnsi="Arial" w:cs="Arial"/>
          <w:color w:val="000000"/>
          <w:shd w:val="clear" w:color="auto" w:fill="FFFFFF"/>
        </w:rPr>
        <w:t xml:space="preserve"> </w:t>
      </w:r>
      <w:r w:rsidR="0061775E" w:rsidRPr="00D0247C">
        <w:rPr>
          <w:rFonts w:ascii="Arial" w:eastAsia="Times New Roman" w:hAnsi="Arial" w:cs="Arial"/>
          <w:color w:val="000000"/>
          <w:shd w:val="clear" w:color="auto" w:fill="FFFFFF"/>
        </w:rPr>
        <w:t>institutionell</w:t>
      </w:r>
      <w:r w:rsidR="00610D40" w:rsidRPr="00D0247C">
        <w:rPr>
          <w:rFonts w:ascii="Arial" w:eastAsia="Times New Roman" w:hAnsi="Arial" w:cs="Arial"/>
          <w:color w:val="000000"/>
          <w:shd w:val="clear" w:color="auto" w:fill="FFFFFF"/>
        </w:rPr>
        <w:t xml:space="preserve">en Investoren </w:t>
      </w:r>
      <w:r w:rsidR="004F35A2" w:rsidRPr="00D0247C">
        <w:rPr>
          <w:rFonts w:ascii="Arial" w:eastAsia="Times New Roman" w:hAnsi="Arial" w:cs="Arial"/>
          <w:color w:val="000000"/>
          <w:shd w:val="clear" w:color="auto" w:fill="FFFFFF"/>
        </w:rPr>
        <w:t xml:space="preserve">nominal und </w:t>
      </w:r>
      <w:r w:rsidR="00610D40" w:rsidRPr="00D0247C">
        <w:rPr>
          <w:rFonts w:ascii="Arial" w:eastAsia="Times New Roman" w:hAnsi="Arial" w:cs="Arial"/>
          <w:color w:val="000000"/>
          <w:shd w:val="clear" w:color="auto" w:fill="FFFFFF"/>
        </w:rPr>
        <w:t>in Relation zum</w:t>
      </w:r>
      <w:r w:rsidR="009C3E94" w:rsidRPr="00D0247C">
        <w:rPr>
          <w:rFonts w:ascii="Arial" w:eastAsia="Times New Roman" w:hAnsi="Arial" w:cs="Arial"/>
          <w:color w:val="000000"/>
          <w:shd w:val="clear" w:color="auto" w:fill="FFFFFF"/>
        </w:rPr>
        <w:t xml:space="preserve"> </w:t>
      </w:r>
      <w:r w:rsidR="0061775E" w:rsidRPr="00D0247C">
        <w:rPr>
          <w:rFonts w:ascii="Arial" w:eastAsia="Times New Roman" w:hAnsi="Arial" w:cs="Arial"/>
          <w:color w:val="000000"/>
          <w:shd w:val="clear" w:color="auto" w:fill="FFFFFF"/>
        </w:rPr>
        <w:t>BIP</w:t>
      </w:r>
      <w:r w:rsidR="00E95CB2" w:rsidRPr="00D0247C">
        <w:rPr>
          <w:rFonts w:ascii="Arial" w:eastAsia="Times New Roman" w:hAnsi="Arial" w:cs="Arial"/>
          <w:color w:val="000000"/>
          <w:shd w:val="clear" w:color="auto" w:fill="FFFFFF"/>
        </w:rPr>
        <w:t>.</w:t>
      </w:r>
      <w:r w:rsidR="00DA233A" w:rsidRPr="00DA233A">
        <w:t xml:space="preserve"> </w:t>
      </w:r>
      <w:r w:rsidR="00DA233A" w:rsidRPr="00DA233A">
        <w:rPr>
          <w:rFonts w:ascii="Arial" w:eastAsia="Times New Roman" w:hAnsi="Arial" w:cs="Arial"/>
          <w:color w:val="000000"/>
          <w:shd w:val="clear" w:color="auto" w:fill="FFFFFF"/>
        </w:rPr>
        <w:t xml:space="preserve">Demnach betrug das insgesamt verwaltete Vermögen von Investmentfonds, Pensionsfonds und Versicherungen in Island, Australien und Frankreich im Jahr 2023 etwa das Zweifache des jeweiligen BIP. In den USA und Kanada entsprach das entsprechende Vermögen dem Zweieinhalbfachen, in Schweden und Dänemark sogar fast dem Dreifachen des BIP. In der Schweiz und den Niederlanden verwalteten allein Pensionsfonds und Versicherungen ein finanzielles Vermögen, </w:t>
      </w:r>
      <w:r w:rsidR="00A02A4F">
        <w:rPr>
          <w:rFonts w:ascii="Arial" w:eastAsia="Times New Roman" w:hAnsi="Arial" w:cs="Arial"/>
          <w:color w:val="000000"/>
          <w:shd w:val="clear" w:color="auto" w:fill="FFFFFF"/>
        </w:rPr>
        <w:t xml:space="preserve">welches </w:t>
      </w:r>
      <w:r w:rsidR="00DA233A" w:rsidRPr="00DA233A">
        <w:rPr>
          <w:rFonts w:ascii="Arial" w:eastAsia="Times New Roman" w:hAnsi="Arial" w:cs="Arial"/>
          <w:color w:val="000000"/>
          <w:shd w:val="clear" w:color="auto" w:fill="FFFFFF"/>
        </w:rPr>
        <w:t>rund 220 Prozent des jeweiligen BIP entsprach.</w:t>
      </w:r>
      <w:r w:rsidR="00A635D1">
        <w:rPr>
          <w:rFonts w:ascii="Arial" w:eastAsia="Times New Roman" w:hAnsi="Arial" w:cs="Arial"/>
          <w:color w:val="000000"/>
          <w:shd w:val="clear" w:color="auto" w:fill="FFFFFF"/>
        </w:rPr>
        <w:t xml:space="preserve"> </w:t>
      </w:r>
      <w:r w:rsidR="00BB0A54" w:rsidRPr="00A635D1">
        <w:rPr>
          <w:rFonts w:ascii="Arial" w:eastAsia="Times New Roman" w:hAnsi="Arial" w:cs="Arial"/>
          <w:color w:val="000000"/>
          <w:shd w:val="clear" w:color="auto" w:fill="FFFFFF"/>
        </w:rPr>
        <w:t xml:space="preserve">Hingegen </w:t>
      </w:r>
      <w:r w:rsidR="00B649CB" w:rsidRPr="00A635D1">
        <w:rPr>
          <w:rFonts w:ascii="Arial" w:eastAsia="Times New Roman" w:hAnsi="Arial" w:cs="Arial"/>
          <w:color w:val="000000"/>
          <w:shd w:val="clear" w:color="auto" w:fill="FFFFFF"/>
        </w:rPr>
        <w:t>verwaltete</w:t>
      </w:r>
      <w:r w:rsidR="00BB0A54" w:rsidRPr="00A635D1">
        <w:rPr>
          <w:rFonts w:ascii="Arial" w:eastAsia="Times New Roman" w:hAnsi="Arial" w:cs="Arial"/>
          <w:color w:val="000000"/>
          <w:shd w:val="clear" w:color="auto" w:fill="FFFFFF"/>
        </w:rPr>
        <w:t xml:space="preserve">n </w:t>
      </w:r>
      <w:r w:rsidR="00B649CB" w:rsidRPr="00A635D1">
        <w:rPr>
          <w:rFonts w:ascii="Arial" w:eastAsia="Times New Roman" w:hAnsi="Arial" w:cs="Arial"/>
          <w:color w:val="000000"/>
          <w:shd w:val="clear" w:color="auto" w:fill="FFFFFF"/>
        </w:rPr>
        <w:t xml:space="preserve">die institutionellen Investoren in </w:t>
      </w:r>
      <w:r w:rsidR="00DA233A" w:rsidRPr="00A635D1">
        <w:rPr>
          <w:rFonts w:ascii="Arial" w:eastAsia="Times New Roman" w:hAnsi="Arial" w:cs="Arial"/>
          <w:color w:val="000000"/>
          <w:shd w:val="clear" w:color="auto" w:fill="FFFFFF"/>
        </w:rPr>
        <w:t xml:space="preserve">Russland, Griechenland, </w:t>
      </w:r>
      <w:r w:rsidR="00A635D1" w:rsidRPr="00A635D1">
        <w:rPr>
          <w:rFonts w:ascii="Arial" w:eastAsia="Times New Roman" w:hAnsi="Arial" w:cs="Arial"/>
          <w:color w:val="000000"/>
          <w:shd w:val="clear" w:color="auto" w:fill="FFFFFF"/>
        </w:rPr>
        <w:t xml:space="preserve">Estland, Slowenien, </w:t>
      </w:r>
      <w:r w:rsidR="00DA233A" w:rsidRPr="00A635D1">
        <w:rPr>
          <w:rFonts w:ascii="Arial" w:eastAsia="Times New Roman" w:hAnsi="Arial" w:cs="Arial"/>
          <w:color w:val="000000"/>
          <w:shd w:val="clear" w:color="auto" w:fill="FFFFFF"/>
        </w:rPr>
        <w:t xml:space="preserve">Ungarn und Tschechien </w:t>
      </w:r>
      <w:r w:rsidR="00A635D1" w:rsidRPr="00A635D1">
        <w:rPr>
          <w:rFonts w:ascii="Arial" w:eastAsia="Times New Roman" w:hAnsi="Arial" w:cs="Arial"/>
          <w:color w:val="000000"/>
          <w:shd w:val="clear" w:color="auto" w:fill="FFFFFF"/>
        </w:rPr>
        <w:t>ein Vermögen, da</w:t>
      </w:r>
      <w:r w:rsidR="00A02A4F">
        <w:rPr>
          <w:rFonts w:ascii="Arial" w:eastAsia="Times New Roman" w:hAnsi="Arial" w:cs="Arial"/>
          <w:color w:val="000000"/>
          <w:shd w:val="clear" w:color="auto" w:fill="FFFFFF"/>
        </w:rPr>
        <w:t>s</w:t>
      </w:r>
      <w:r w:rsidR="00A635D1" w:rsidRPr="00A635D1">
        <w:rPr>
          <w:rFonts w:ascii="Arial" w:eastAsia="Times New Roman" w:hAnsi="Arial" w:cs="Arial"/>
          <w:color w:val="000000"/>
          <w:shd w:val="clear" w:color="auto" w:fill="FFFFFF"/>
        </w:rPr>
        <w:t xml:space="preserve"> weniger als einem Drittel </w:t>
      </w:r>
      <w:r w:rsidR="00A635D1" w:rsidRPr="00DA233A">
        <w:rPr>
          <w:rFonts w:ascii="Arial" w:eastAsia="Times New Roman" w:hAnsi="Arial" w:cs="Arial"/>
          <w:color w:val="000000"/>
          <w:shd w:val="clear" w:color="auto" w:fill="FFFFFF"/>
        </w:rPr>
        <w:t>des jeweiligen BIP entsprach</w:t>
      </w:r>
      <w:r w:rsidR="009F598D" w:rsidRPr="00A635D1">
        <w:rPr>
          <w:rFonts w:ascii="Arial" w:eastAsia="Times New Roman" w:hAnsi="Arial" w:cs="Arial"/>
          <w:color w:val="000000"/>
          <w:shd w:val="clear" w:color="auto" w:fill="FFFFFF"/>
        </w:rPr>
        <w:t xml:space="preserve">. </w:t>
      </w:r>
      <w:r w:rsidR="000D4346" w:rsidRPr="00A635D1">
        <w:rPr>
          <w:rFonts w:ascii="Arial" w:eastAsia="Times New Roman" w:hAnsi="Arial" w:cs="Arial"/>
          <w:color w:val="000000"/>
          <w:shd w:val="clear" w:color="auto" w:fill="FFFFFF"/>
        </w:rPr>
        <w:t xml:space="preserve">In Deutschland stieg das von institutionellen Investoren verwaltete Vermögen </w:t>
      </w:r>
      <w:r w:rsidR="009F598D" w:rsidRPr="00A635D1">
        <w:rPr>
          <w:rFonts w:ascii="Arial" w:eastAsia="Times New Roman" w:hAnsi="Arial" w:cs="Arial"/>
          <w:color w:val="000000"/>
          <w:shd w:val="clear" w:color="auto" w:fill="FFFFFF"/>
        </w:rPr>
        <w:t xml:space="preserve">von 116 Prozent des BIP im Jahr 2007 auf 120 </w:t>
      </w:r>
      <w:r w:rsidR="000D4346" w:rsidRPr="00A635D1">
        <w:rPr>
          <w:rFonts w:ascii="Arial" w:eastAsia="Times New Roman" w:hAnsi="Arial" w:cs="Arial"/>
          <w:color w:val="000000"/>
          <w:shd w:val="clear" w:color="auto" w:fill="FFFFFF"/>
        </w:rPr>
        <w:t>Prozent</w:t>
      </w:r>
      <w:r w:rsidR="009F598D" w:rsidRPr="00A635D1">
        <w:rPr>
          <w:rFonts w:ascii="Arial" w:eastAsia="Times New Roman" w:hAnsi="Arial" w:cs="Arial"/>
          <w:color w:val="000000"/>
          <w:shd w:val="clear" w:color="auto" w:fill="FFFFFF"/>
        </w:rPr>
        <w:t xml:space="preserve"> </w:t>
      </w:r>
      <w:r w:rsidR="00DA233A" w:rsidRPr="00A635D1">
        <w:rPr>
          <w:rFonts w:ascii="Arial" w:eastAsia="Times New Roman" w:hAnsi="Arial" w:cs="Arial"/>
          <w:color w:val="000000"/>
          <w:shd w:val="clear" w:color="auto" w:fill="FFFFFF"/>
        </w:rPr>
        <w:t>im</w:t>
      </w:r>
      <w:r w:rsidR="009F598D" w:rsidRPr="00A635D1">
        <w:rPr>
          <w:rFonts w:ascii="Arial" w:eastAsia="Times New Roman" w:hAnsi="Arial" w:cs="Arial"/>
          <w:color w:val="000000"/>
          <w:shd w:val="clear" w:color="auto" w:fill="FFFFFF"/>
        </w:rPr>
        <w:t xml:space="preserve"> Jahr 2014 und auf 141 Prozent im Jahr 2023</w:t>
      </w:r>
      <w:r w:rsidR="000D4346" w:rsidRPr="00A635D1">
        <w:rPr>
          <w:rFonts w:ascii="Arial" w:eastAsia="Times New Roman" w:hAnsi="Arial" w:cs="Arial"/>
          <w:color w:val="000000"/>
          <w:shd w:val="clear" w:color="auto" w:fill="FFFFFF"/>
        </w:rPr>
        <w:t>.</w:t>
      </w:r>
    </w:p>
    <w:p w14:paraId="0266E16A" w14:textId="77777777" w:rsidR="00E95CB2" w:rsidRPr="00A635D1" w:rsidRDefault="00E95CB2" w:rsidP="009C3E94">
      <w:pPr>
        <w:rPr>
          <w:rFonts w:ascii="Arial" w:eastAsia="Times New Roman" w:hAnsi="Arial" w:cs="Arial"/>
          <w:color w:val="000000"/>
          <w:shd w:val="clear" w:color="auto" w:fill="FFFFFF"/>
        </w:rPr>
      </w:pPr>
    </w:p>
    <w:p w14:paraId="162CAB26" w14:textId="57479822" w:rsidR="00264A79" w:rsidRPr="003B5080" w:rsidRDefault="00264A79" w:rsidP="00264A79">
      <w:pPr>
        <w:rPr>
          <w:rFonts w:ascii="Arial" w:eastAsia="Times New Roman" w:hAnsi="Arial" w:cs="Arial"/>
          <w:color w:val="000000"/>
          <w:shd w:val="clear" w:color="auto" w:fill="FFFFFF"/>
        </w:rPr>
      </w:pPr>
      <w:r w:rsidRPr="003B5080">
        <w:rPr>
          <w:rFonts w:ascii="Arial" w:eastAsia="Times New Roman" w:hAnsi="Arial" w:cs="Arial"/>
          <w:color w:val="000000"/>
          <w:shd w:val="clear" w:color="auto" w:fill="FFFFFF"/>
        </w:rPr>
        <w:t>Sehr unterschiedlich fällt auch die relative Bedeutung der verschiedenen institutionellen Investoren aus. So sind zum Beispiel in Island</w:t>
      </w:r>
      <w:r w:rsidR="003B5080" w:rsidRPr="003B5080">
        <w:rPr>
          <w:rFonts w:ascii="Arial" w:eastAsia="Times New Roman" w:hAnsi="Arial" w:cs="Arial"/>
          <w:color w:val="000000"/>
          <w:shd w:val="clear" w:color="auto" w:fill="FFFFFF"/>
        </w:rPr>
        <w:t>, Australien und</w:t>
      </w:r>
      <w:r w:rsidRPr="003B5080">
        <w:rPr>
          <w:rFonts w:ascii="Arial" w:eastAsia="Times New Roman" w:hAnsi="Arial" w:cs="Arial"/>
          <w:color w:val="000000"/>
          <w:shd w:val="clear" w:color="auto" w:fill="FFFFFF"/>
        </w:rPr>
        <w:t xml:space="preserve"> </w:t>
      </w:r>
      <w:r w:rsidR="003B5080" w:rsidRPr="003B5080">
        <w:rPr>
          <w:rFonts w:ascii="Arial" w:eastAsia="Times New Roman" w:hAnsi="Arial" w:cs="Arial"/>
          <w:color w:val="000000"/>
          <w:shd w:val="clear" w:color="auto" w:fill="FFFFFF"/>
        </w:rPr>
        <w:t xml:space="preserve">Mexiko </w:t>
      </w:r>
      <w:r w:rsidRPr="003B5080">
        <w:rPr>
          <w:rFonts w:ascii="Arial" w:eastAsia="Times New Roman" w:hAnsi="Arial" w:cs="Arial"/>
          <w:color w:val="000000"/>
          <w:shd w:val="clear" w:color="auto" w:fill="FFFFFF"/>
        </w:rPr>
        <w:t>Pensionsfonds die dominante Form institutioneller Anlagen. Ihr Anteil am institutionell verwalteten Vermögen lag 20</w:t>
      </w:r>
      <w:r w:rsidR="009F598D" w:rsidRPr="003B5080">
        <w:rPr>
          <w:rFonts w:ascii="Arial" w:eastAsia="Times New Roman" w:hAnsi="Arial" w:cs="Arial"/>
          <w:color w:val="000000"/>
          <w:shd w:val="clear" w:color="auto" w:fill="FFFFFF"/>
        </w:rPr>
        <w:t>23</w:t>
      </w:r>
      <w:r w:rsidRPr="003B5080">
        <w:rPr>
          <w:rFonts w:ascii="Arial" w:eastAsia="Times New Roman" w:hAnsi="Arial" w:cs="Arial"/>
          <w:color w:val="000000"/>
          <w:shd w:val="clear" w:color="auto" w:fill="FFFFFF"/>
        </w:rPr>
        <w:t xml:space="preserve"> bei 8</w:t>
      </w:r>
      <w:r w:rsidR="009F598D" w:rsidRPr="003B5080">
        <w:rPr>
          <w:rFonts w:ascii="Arial" w:eastAsia="Times New Roman" w:hAnsi="Arial" w:cs="Arial"/>
          <w:color w:val="000000"/>
          <w:shd w:val="clear" w:color="auto" w:fill="FFFFFF"/>
        </w:rPr>
        <w:t>2</w:t>
      </w:r>
      <w:r w:rsidRPr="003B5080">
        <w:rPr>
          <w:rFonts w:ascii="Arial" w:eastAsia="Times New Roman" w:hAnsi="Arial" w:cs="Arial"/>
          <w:color w:val="000000"/>
          <w:shd w:val="clear" w:color="auto" w:fill="FFFFFF"/>
        </w:rPr>
        <w:t>,</w:t>
      </w:r>
      <w:r w:rsidR="009F598D" w:rsidRPr="003B5080">
        <w:rPr>
          <w:rFonts w:ascii="Arial" w:eastAsia="Times New Roman" w:hAnsi="Arial" w:cs="Arial"/>
          <w:color w:val="000000"/>
          <w:shd w:val="clear" w:color="auto" w:fill="FFFFFF"/>
        </w:rPr>
        <w:t>9</w:t>
      </w:r>
      <w:r w:rsidRPr="003B5080">
        <w:rPr>
          <w:rFonts w:ascii="Arial" w:eastAsia="Times New Roman" w:hAnsi="Arial" w:cs="Arial"/>
          <w:color w:val="000000"/>
          <w:shd w:val="clear" w:color="auto" w:fill="FFFFFF"/>
        </w:rPr>
        <w:t xml:space="preserve"> bzw. </w:t>
      </w:r>
      <w:r w:rsidR="003B5080" w:rsidRPr="003B5080">
        <w:rPr>
          <w:rFonts w:ascii="Arial" w:eastAsia="Times New Roman" w:hAnsi="Arial" w:cs="Arial"/>
          <w:color w:val="000000"/>
          <w:shd w:val="clear" w:color="auto" w:fill="FFFFFF"/>
        </w:rPr>
        <w:t xml:space="preserve">bei </w:t>
      </w:r>
      <w:r w:rsidRPr="003B5080">
        <w:rPr>
          <w:rFonts w:ascii="Arial" w:eastAsia="Times New Roman" w:hAnsi="Arial" w:cs="Arial"/>
          <w:color w:val="000000"/>
          <w:shd w:val="clear" w:color="auto" w:fill="FFFFFF"/>
        </w:rPr>
        <w:t>61,</w:t>
      </w:r>
      <w:r w:rsidR="003B5080" w:rsidRPr="003B5080">
        <w:rPr>
          <w:rFonts w:ascii="Arial" w:eastAsia="Times New Roman" w:hAnsi="Arial" w:cs="Arial"/>
          <w:color w:val="000000"/>
          <w:shd w:val="clear" w:color="auto" w:fill="FFFFFF"/>
        </w:rPr>
        <w:t>4 und 60,3</w:t>
      </w:r>
      <w:r w:rsidRPr="003B5080">
        <w:rPr>
          <w:rFonts w:ascii="Arial" w:eastAsia="Times New Roman" w:hAnsi="Arial" w:cs="Arial"/>
          <w:color w:val="000000"/>
          <w:shd w:val="clear" w:color="auto" w:fill="FFFFFF"/>
        </w:rPr>
        <w:t xml:space="preserve"> Prozent.</w:t>
      </w:r>
      <w:r w:rsidR="006B42D0" w:rsidRPr="003B5080">
        <w:rPr>
          <w:rFonts w:ascii="Arial" w:eastAsia="Times New Roman" w:hAnsi="Arial" w:cs="Arial"/>
          <w:color w:val="000000"/>
          <w:shd w:val="clear" w:color="auto" w:fill="FFFFFF"/>
        </w:rPr>
        <w:t xml:space="preserve"> In Italien (</w:t>
      </w:r>
      <w:r w:rsidR="002805EB" w:rsidRPr="003B5080">
        <w:rPr>
          <w:rFonts w:ascii="Arial" w:eastAsia="Times New Roman" w:hAnsi="Arial" w:cs="Arial"/>
          <w:color w:val="000000"/>
          <w:shd w:val="clear" w:color="auto" w:fill="FFFFFF"/>
        </w:rPr>
        <w:t>66,4</w:t>
      </w:r>
      <w:r w:rsidR="006B42D0" w:rsidRPr="003B5080">
        <w:rPr>
          <w:rFonts w:ascii="Arial" w:eastAsia="Times New Roman" w:hAnsi="Arial" w:cs="Arial"/>
          <w:color w:val="000000"/>
          <w:shd w:val="clear" w:color="auto" w:fill="FFFFFF"/>
        </w:rPr>
        <w:t xml:space="preserve"> Prozent) </w:t>
      </w:r>
      <w:r w:rsidR="003B5080" w:rsidRPr="003B5080">
        <w:rPr>
          <w:rFonts w:ascii="Arial" w:eastAsia="Times New Roman" w:hAnsi="Arial" w:cs="Arial"/>
          <w:color w:val="000000"/>
          <w:shd w:val="clear" w:color="auto" w:fill="FFFFFF"/>
        </w:rPr>
        <w:t xml:space="preserve">Griechenland (56,2 Prozent) </w:t>
      </w:r>
      <w:r w:rsidR="002805EB" w:rsidRPr="003B5080">
        <w:rPr>
          <w:rFonts w:ascii="Arial" w:eastAsia="Times New Roman" w:hAnsi="Arial" w:cs="Arial"/>
          <w:color w:val="000000"/>
          <w:shd w:val="clear" w:color="auto" w:fill="FFFFFF"/>
        </w:rPr>
        <w:t xml:space="preserve">und </w:t>
      </w:r>
      <w:r w:rsidR="003B5080" w:rsidRPr="003B5080">
        <w:rPr>
          <w:rFonts w:ascii="Arial" w:eastAsia="Times New Roman" w:hAnsi="Arial" w:cs="Arial"/>
          <w:color w:val="000000"/>
          <w:shd w:val="clear" w:color="auto" w:fill="FFFFFF"/>
        </w:rPr>
        <w:t xml:space="preserve">Frankreich </w:t>
      </w:r>
      <w:r w:rsidR="002805EB" w:rsidRPr="003B5080">
        <w:rPr>
          <w:rFonts w:ascii="Arial" w:eastAsia="Times New Roman" w:hAnsi="Arial" w:cs="Arial"/>
          <w:color w:val="000000"/>
          <w:shd w:val="clear" w:color="auto" w:fill="FFFFFF"/>
        </w:rPr>
        <w:t>(</w:t>
      </w:r>
      <w:r w:rsidR="003B5080" w:rsidRPr="003B5080">
        <w:rPr>
          <w:rFonts w:ascii="Arial" w:eastAsia="Times New Roman" w:hAnsi="Arial" w:cs="Arial"/>
          <w:color w:val="000000"/>
          <w:shd w:val="clear" w:color="auto" w:fill="FFFFFF"/>
        </w:rPr>
        <w:t>56,0</w:t>
      </w:r>
      <w:r w:rsidR="002805EB" w:rsidRPr="003B5080">
        <w:rPr>
          <w:rFonts w:ascii="Arial" w:eastAsia="Times New Roman" w:hAnsi="Arial" w:cs="Arial"/>
          <w:color w:val="000000"/>
          <w:shd w:val="clear" w:color="auto" w:fill="FFFFFF"/>
        </w:rPr>
        <w:t xml:space="preserve"> Prozent) </w:t>
      </w:r>
      <w:r w:rsidR="006B42D0" w:rsidRPr="003B5080">
        <w:rPr>
          <w:rFonts w:ascii="Arial" w:eastAsia="Times New Roman" w:hAnsi="Arial" w:cs="Arial"/>
          <w:color w:val="000000"/>
          <w:shd w:val="clear" w:color="auto" w:fill="FFFFFF"/>
        </w:rPr>
        <w:t xml:space="preserve">hatten hingegen Versicherungen den größten Anteil an den </w:t>
      </w:r>
      <w:bookmarkStart w:id="0" w:name="_Hlk197588691"/>
      <w:r w:rsidR="006B42D0" w:rsidRPr="003B5080">
        <w:rPr>
          <w:rFonts w:ascii="Arial" w:eastAsia="Times New Roman" w:hAnsi="Arial" w:cs="Arial"/>
          <w:color w:val="000000"/>
          <w:shd w:val="clear" w:color="auto" w:fill="FFFFFF"/>
        </w:rPr>
        <w:t>traditionellen institutionellen Investitionen</w:t>
      </w:r>
      <w:bookmarkEnd w:id="0"/>
      <w:r w:rsidRPr="003B5080">
        <w:rPr>
          <w:rFonts w:ascii="Arial" w:eastAsia="Times New Roman" w:hAnsi="Arial" w:cs="Arial"/>
          <w:color w:val="000000"/>
          <w:shd w:val="clear" w:color="auto" w:fill="FFFFFF"/>
        </w:rPr>
        <w:t xml:space="preserve">. Und in </w:t>
      </w:r>
      <w:r w:rsidR="002805EB" w:rsidRPr="003B5080">
        <w:rPr>
          <w:rFonts w:ascii="Arial" w:eastAsia="Times New Roman" w:hAnsi="Arial" w:cs="Arial"/>
          <w:color w:val="000000"/>
          <w:shd w:val="clear" w:color="auto" w:fill="FFFFFF"/>
        </w:rPr>
        <w:t>Estland</w:t>
      </w:r>
      <w:r w:rsidR="003B5080" w:rsidRPr="003B5080">
        <w:rPr>
          <w:rFonts w:ascii="Arial" w:eastAsia="Times New Roman" w:hAnsi="Arial" w:cs="Arial"/>
          <w:color w:val="000000"/>
          <w:shd w:val="clear" w:color="auto" w:fill="FFFFFF"/>
        </w:rPr>
        <w:t>, Ungarn</w:t>
      </w:r>
      <w:r w:rsidR="002805EB" w:rsidRPr="003B5080">
        <w:rPr>
          <w:rFonts w:ascii="Arial" w:eastAsia="Times New Roman" w:hAnsi="Arial" w:cs="Arial"/>
          <w:color w:val="000000"/>
          <w:shd w:val="clear" w:color="auto" w:fill="FFFFFF"/>
        </w:rPr>
        <w:t xml:space="preserve"> und Finnland </w:t>
      </w:r>
      <w:r w:rsidR="006B42D0" w:rsidRPr="003B5080">
        <w:rPr>
          <w:rFonts w:ascii="Arial" w:eastAsia="Times New Roman" w:hAnsi="Arial" w:cs="Arial"/>
          <w:color w:val="000000"/>
          <w:shd w:val="clear" w:color="auto" w:fill="FFFFFF"/>
        </w:rPr>
        <w:t xml:space="preserve">vereinten Investmentfonds </w:t>
      </w:r>
      <w:r w:rsidRPr="003B5080">
        <w:rPr>
          <w:rFonts w:ascii="Arial" w:eastAsia="Times New Roman" w:hAnsi="Arial" w:cs="Arial"/>
          <w:color w:val="000000"/>
          <w:shd w:val="clear" w:color="auto" w:fill="FFFFFF"/>
        </w:rPr>
        <w:t>im Jahr 20</w:t>
      </w:r>
      <w:r w:rsidR="003B5080" w:rsidRPr="003B5080">
        <w:rPr>
          <w:rFonts w:ascii="Arial" w:eastAsia="Times New Roman" w:hAnsi="Arial" w:cs="Arial"/>
          <w:color w:val="000000"/>
          <w:shd w:val="clear" w:color="auto" w:fill="FFFFFF"/>
        </w:rPr>
        <w:t>23</w:t>
      </w:r>
      <w:r w:rsidRPr="003B5080">
        <w:rPr>
          <w:rFonts w:ascii="Arial" w:eastAsia="Times New Roman" w:hAnsi="Arial" w:cs="Arial"/>
          <w:color w:val="000000"/>
          <w:shd w:val="clear" w:color="auto" w:fill="FFFFFF"/>
        </w:rPr>
        <w:t xml:space="preserve"> mehr </w:t>
      </w:r>
      <w:r w:rsidR="003B5080" w:rsidRPr="003B5080">
        <w:rPr>
          <w:rFonts w:ascii="Arial" w:eastAsia="Times New Roman" w:hAnsi="Arial" w:cs="Arial"/>
          <w:color w:val="000000"/>
          <w:shd w:val="clear" w:color="auto" w:fill="FFFFFF"/>
        </w:rPr>
        <w:t xml:space="preserve">als zwei Drittel </w:t>
      </w:r>
      <w:r w:rsidR="003B5080">
        <w:rPr>
          <w:rFonts w:ascii="Arial" w:eastAsia="Times New Roman" w:hAnsi="Arial" w:cs="Arial"/>
          <w:color w:val="000000"/>
          <w:shd w:val="clear" w:color="auto" w:fill="FFFFFF"/>
        </w:rPr>
        <w:t xml:space="preserve">aller </w:t>
      </w:r>
      <w:r w:rsidRPr="003B5080">
        <w:rPr>
          <w:rFonts w:ascii="Arial" w:eastAsia="Times New Roman" w:hAnsi="Arial" w:cs="Arial"/>
          <w:color w:val="000000"/>
          <w:shd w:val="clear" w:color="auto" w:fill="FFFFFF"/>
        </w:rPr>
        <w:t>Assets (</w:t>
      </w:r>
      <w:r w:rsidR="003B5080" w:rsidRPr="003B5080">
        <w:rPr>
          <w:rFonts w:ascii="Arial" w:eastAsia="Times New Roman" w:hAnsi="Arial" w:cs="Arial"/>
          <w:color w:val="000000"/>
          <w:shd w:val="clear" w:color="auto" w:fill="FFFFFF"/>
        </w:rPr>
        <w:t>82,5 Prozent, 72</w:t>
      </w:r>
      <w:r w:rsidR="002805EB" w:rsidRPr="003B5080">
        <w:rPr>
          <w:rFonts w:ascii="Arial" w:eastAsia="Times New Roman" w:hAnsi="Arial" w:cs="Arial"/>
          <w:color w:val="000000"/>
          <w:shd w:val="clear" w:color="auto" w:fill="FFFFFF"/>
        </w:rPr>
        <w:t>,</w:t>
      </w:r>
      <w:r w:rsidR="003B5080" w:rsidRPr="003B5080">
        <w:rPr>
          <w:rFonts w:ascii="Arial" w:eastAsia="Times New Roman" w:hAnsi="Arial" w:cs="Arial"/>
          <w:color w:val="000000"/>
          <w:shd w:val="clear" w:color="auto" w:fill="FFFFFF"/>
        </w:rPr>
        <w:t>9</w:t>
      </w:r>
      <w:r w:rsidRPr="003B5080">
        <w:rPr>
          <w:rFonts w:ascii="Arial" w:eastAsia="Times New Roman" w:hAnsi="Arial" w:cs="Arial"/>
          <w:color w:val="000000"/>
          <w:shd w:val="clear" w:color="auto" w:fill="FFFFFF"/>
        </w:rPr>
        <w:t xml:space="preserve"> Prozent</w:t>
      </w:r>
      <w:r w:rsidR="002805EB" w:rsidRPr="003B5080">
        <w:rPr>
          <w:rFonts w:ascii="Arial" w:eastAsia="Times New Roman" w:hAnsi="Arial" w:cs="Arial"/>
          <w:color w:val="000000"/>
          <w:shd w:val="clear" w:color="auto" w:fill="FFFFFF"/>
        </w:rPr>
        <w:t xml:space="preserve"> und </w:t>
      </w:r>
      <w:r w:rsidR="003B5080" w:rsidRPr="003B5080">
        <w:rPr>
          <w:rFonts w:ascii="Arial" w:eastAsia="Times New Roman" w:hAnsi="Arial" w:cs="Arial"/>
          <w:color w:val="000000"/>
          <w:shd w:val="clear" w:color="auto" w:fill="FFFFFF"/>
        </w:rPr>
        <w:t>67,1 P</w:t>
      </w:r>
      <w:r w:rsidR="002805EB" w:rsidRPr="003B5080">
        <w:rPr>
          <w:rFonts w:ascii="Arial" w:eastAsia="Times New Roman" w:hAnsi="Arial" w:cs="Arial"/>
          <w:color w:val="000000"/>
          <w:shd w:val="clear" w:color="auto" w:fill="FFFFFF"/>
        </w:rPr>
        <w:t>rozent</w:t>
      </w:r>
      <w:r w:rsidRPr="003B5080">
        <w:rPr>
          <w:rFonts w:ascii="Arial" w:eastAsia="Times New Roman" w:hAnsi="Arial" w:cs="Arial"/>
          <w:color w:val="000000"/>
          <w:shd w:val="clear" w:color="auto" w:fill="FFFFFF"/>
        </w:rPr>
        <w:t xml:space="preserve">). </w:t>
      </w:r>
    </w:p>
    <w:p w14:paraId="665D02FF" w14:textId="77777777" w:rsidR="00E95CB2" w:rsidRPr="005D3D4D" w:rsidRDefault="00E95CB2" w:rsidP="00264A79">
      <w:pPr>
        <w:rPr>
          <w:rFonts w:ascii="Arial" w:eastAsia="Times New Roman" w:hAnsi="Arial" w:cs="Arial"/>
          <w:color w:val="000000"/>
          <w:shd w:val="clear" w:color="auto" w:fill="FFFFFF"/>
        </w:rPr>
      </w:pPr>
    </w:p>
    <w:p w14:paraId="112E7060" w14:textId="0F305476" w:rsidR="00742F28" w:rsidRDefault="001537C9" w:rsidP="009C3E94">
      <w:pPr>
        <w:rPr>
          <w:rFonts w:ascii="Arial" w:eastAsia="Times New Roman" w:hAnsi="Arial" w:cs="Arial"/>
          <w:color w:val="000000"/>
          <w:shd w:val="clear" w:color="auto" w:fill="FFFFFF"/>
        </w:rPr>
      </w:pPr>
      <w:r w:rsidRPr="005D3D4D">
        <w:rPr>
          <w:rFonts w:ascii="Arial" w:eastAsia="Times New Roman" w:hAnsi="Arial" w:cs="Arial"/>
          <w:color w:val="000000"/>
          <w:shd w:val="clear" w:color="auto" w:fill="FFFFFF"/>
        </w:rPr>
        <w:lastRenderedPageBreak/>
        <w:t xml:space="preserve">Der </w:t>
      </w:r>
      <w:r w:rsidR="00C32C23" w:rsidRPr="005D3D4D">
        <w:rPr>
          <w:rFonts w:ascii="Arial" w:eastAsia="Times New Roman" w:hAnsi="Arial" w:cs="Arial"/>
          <w:color w:val="000000"/>
          <w:shd w:val="clear" w:color="auto" w:fill="FFFFFF"/>
        </w:rPr>
        <w:t xml:space="preserve">globale </w:t>
      </w:r>
      <w:r w:rsidRPr="005D3D4D">
        <w:rPr>
          <w:rFonts w:ascii="Arial" w:eastAsia="Times New Roman" w:hAnsi="Arial" w:cs="Arial"/>
          <w:color w:val="000000"/>
          <w:shd w:val="clear" w:color="auto" w:fill="FFFFFF"/>
        </w:rPr>
        <w:t xml:space="preserve">Finanzplatz Luxemburg </w:t>
      </w:r>
      <w:r w:rsidR="00C32C23" w:rsidRPr="005D3D4D">
        <w:rPr>
          <w:rFonts w:ascii="Arial" w:eastAsia="Times New Roman" w:hAnsi="Arial" w:cs="Arial"/>
          <w:color w:val="000000"/>
          <w:shd w:val="clear" w:color="auto" w:fill="FFFFFF"/>
        </w:rPr>
        <w:t xml:space="preserve">mit seiner Spezialisierung auf private und institutionelle Anleger </w:t>
      </w:r>
      <w:r w:rsidRPr="005D3D4D">
        <w:rPr>
          <w:rFonts w:ascii="Arial" w:eastAsia="Times New Roman" w:hAnsi="Arial" w:cs="Arial"/>
          <w:color w:val="000000"/>
          <w:shd w:val="clear" w:color="auto" w:fill="FFFFFF"/>
        </w:rPr>
        <w:t xml:space="preserve">stellt </w:t>
      </w:r>
      <w:r w:rsidR="00ED6764" w:rsidRPr="005D3D4D">
        <w:rPr>
          <w:rFonts w:ascii="Arial" w:eastAsia="Times New Roman" w:hAnsi="Arial" w:cs="Arial"/>
          <w:color w:val="000000"/>
          <w:shd w:val="clear" w:color="auto" w:fill="FFFFFF"/>
        </w:rPr>
        <w:t>eine absolute Ausnahme dar: Das A</w:t>
      </w:r>
      <w:r w:rsidRPr="005D3D4D">
        <w:rPr>
          <w:rFonts w:ascii="Arial" w:eastAsia="Times New Roman" w:hAnsi="Arial" w:cs="Arial"/>
          <w:color w:val="000000"/>
          <w:shd w:val="clear" w:color="auto" w:fill="FFFFFF"/>
        </w:rPr>
        <w:t xml:space="preserve">nlagevolumen </w:t>
      </w:r>
      <w:r w:rsidR="00C32C23" w:rsidRPr="005D3D4D">
        <w:rPr>
          <w:rFonts w:ascii="Arial" w:eastAsia="Times New Roman" w:hAnsi="Arial" w:cs="Arial"/>
          <w:color w:val="000000"/>
          <w:shd w:val="clear" w:color="auto" w:fill="FFFFFF"/>
        </w:rPr>
        <w:t>bei</w:t>
      </w:r>
      <w:r w:rsidRPr="005D3D4D">
        <w:rPr>
          <w:rFonts w:ascii="Arial" w:eastAsia="Times New Roman" w:hAnsi="Arial" w:cs="Arial"/>
          <w:color w:val="000000"/>
          <w:shd w:val="clear" w:color="auto" w:fill="FFFFFF"/>
        </w:rPr>
        <w:t xml:space="preserve"> Investmentfonds</w:t>
      </w:r>
      <w:r w:rsidR="00ED6764" w:rsidRPr="005D3D4D">
        <w:rPr>
          <w:rFonts w:ascii="Arial" w:eastAsia="Times New Roman" w:hAnsi="Arial" w:cs="Arial"/>
          <w:color w:val="000000"/>
          <w:shd w:val="clear" w:color="auto" w:fill="FFFFFF"/>
        </w:rPr>
        <w:t xml:space="preserve"> entsprach im Jahr </w:t>
      </w:r>
      <w:r w:rsidR="00081759" w:rsidRPr="005D3D4D">
        <w:rPr>
          <w:rFonts w:ascii="Arial" w:eastAsia="Times New Roman" w:hAnsi="Arial" w:cs="Arial"/>
          <w:color w:val="000000"/>
          <w:shd w:val="clear" w:color="auto" w:fill="FFFFFF"/>
        </w:rPr>
        <w:t>20</w:t>
      </w:r>
      <w:r w:rsidR="002805EB" w:rsidRPr="005D3D4D">
        <w:rPr>
          <w:rFonts w:ascii="Arial" w:eastAsia="Times New Roman" w:hAnsi="Arial" w:cs="Arial"/>
          <w:color w:val="000000"/>
          <w:shd w:val="clear" w:color="auto" w:fill="FFFFFF"/>
        </w:rPr>
        <w:t>23</w:t>
      </w:r>
      <w:r w:rsidR="00081759" w:rsidRPr="005D3D4D">
        <w:rPr>
          <w:rFonts w:ascii="Arial" w:eastAsia="Times New Roman" w:hAnsi="Arial" w:cs="Arial"/>
          <w:color w:val="000000"/>
          <w:shd w:val="clear" w:color="auto" w:fill="FFFFFF"/>
        </w:rPr>
        <w:t xml:space="preserve"> </w:t>
      </w:r>
      <w:r w:rsidR="002805EB" w:rsidRPr="005D3D4D">
        <w:rPr>
          <w:rFonts w:ascii="Arial" w:eastAsia="Times New Roman" w:hAnsi="Arial" w:cs="Arial"/>
          <w:color w:val="000000"/>
          <w:shd w:val="clear" w:color="auto" w:fill="FFFFFF"/>
        </w:rPr>
        <w:t>dem 89</w:t>
      </w:r>
      <w:r w:rsidRPr="005D3D4D">
        <w:rPr>
          <w:rFonts w:ascii="Arial" w:eastAsia="Times New Roman" w:hAnsi="Arial" w:cs="Arial"/>
          <w:color w:val="000000"/>
          <w:shd w:val="clear" w:color="auto" w:fill="FFFFFF"/>
        </w:rPr>
        <w:t xml:space="preserve">-fachen des BIP </w:t>
      </w:r>
      <w:r w:rsidR="00DA024D" w:rsidRPr="005D3D4D">
        <w:rPr>
          <w:rFonts w:ascii="Arial" w:eastAsia="Times New Roman" w:hAnsi="Arial" w:cs="Arial"/>
          <w:color w:val="000000"/>
          <w:shd w:val="clear" w:color="auto" w:fill="FFFFFF"/>
        </w:rPr>
        <w:t xml:space="preserve">und </w:t>
      </w:r>
      <w:r w:rsidR="00ED6764" w:rsidRPr="005D3D4D">
        <w:rPr>
          <w:rFonts w:ascii="Arial" w:eastAsia="Times New Roman" w:hAnsi="Arial" w:cs="Arial"/>
          <w:color w:val="000000"/>
          <w:shd w:val="clear" w:color="auto" w:fill="FFFFFF"/>
        </w:rPr>
        <w:t xml:space="preserve">machte </w:t>
      </w:r>
      <w:r w:rsidR="002805EB" w:rsidRPr="005D3D4D">
        <w:rPr>
          <w:rFonts w:ascii="Arial" w:eastAsia="Times New Roman" w:hAnsi="Arial" w:cs="Arial"/>
          <w:color w:val="000000"/>
          <w:shd w:val="clear" w:color="auto" w:fill="FFFFFF"/>
        </w:rPr>
        <w:t>damit 96</w:t>
      </w:r>
      <w:r w:rsidR="00DA024D" w:rsidRPr="005D3D4D">
        <w:rPr>
          <w:rFonts w:ascii="Arial" w:eastAsia="Times New Roman" w:hAnsi="Arial" w:cs="Arial"/>
          <w:color w:val="000000"/>
          <w:shd w:val="clear" w:color="auto" w:fill="FFFFFF"/>
        </w:rPr>
        <w:t>,</w:t>
      </w:r>
      <w:r w:rsidR="002805EB" w:rsidRPr="005D3D4D">
        <w:rPr>
          <w:rFonts w:ascii="Arial" w:eastAsia="Times New Roman" w:hAnsi="Arial" w:cs="Arial"/>
          <w:color w:val="000000"/>
          <w:shd w:val="clear" w:color="auto" w:fill="FFFFFF"/>
        </w:rPr>
        <w:t>3</w:t>
      </w:r>
      <w:r w:rsidR="00DA024D" w:rsidRPr="005D3D4D">
        <w:rPr>
          <w:rFonts w:ascii="Arial" w:eastAsia="Times New Roman" w:hAnsi="Arial" w:cs="Arial"/>
          <w:color w:val="000000"/>
          <w:shd w:val="clear" w:color="auto" w:fill="FFFFFF"/>
        </w:rPr>
        <w:t xml:space="preserve"> Prozent des </w:t>
      </w:r>
      <w:r w:rsidR="00081759" w:rsidRPr="005D3D4D">
        <w:rPr>
          <w:rFonts w:ascii="Arial" w:eastAsia="Times New Roman" w:hAnsi="Arial" w:cs="Arial"/>
          <w:color w:val="000000"/>
          <w:shd w:val="clear" w:color="auto" w:fill="FFFFFF"/>
        </w:rPr>
        <w:t>in Luxemburg</w:t>
      </w:r>
      <w:r w:rsidR="00DE68EE" w:rsidRPr="005D3D4D">
        <w:rPr>
          <w:rFonts w:ascii="Arial" w:eastAsia="Times New Roman" w:hAnsi="Arial" w:cs="Arial"/>
          <w:color w:val="000000"/>
          <w:shd w:val="clear" w:color="auto" w:fill="FFFFFF"/>
        </w:rPr>
        <w:t xml:space="preserve"> </w:t>
      </w:r>
      <w:r w:rsidR="00DA024D" w:rsidRPr="005D3D4D">
        <w:rPr>
          <w:rFonts w:ascii="Arial" w:eastAsia="Times New Roman" w:hAnsi="Arial" w:cs="Arial"/>
          <w:color w:val="000000"/>
          <w:shd w:val="clear" w:color="auto" w:fill="FFFFFF"/>
        </w:rPr>
        <w:t>institutionell verwalteten Vermögen</w:t>
      </w:r>
      <w:r w:rsidR="00DE68EE" w:rsidRPr="005D3D4D">
        <w:rPr>
          <w:rFonts w:ascii="Arial" w:eastAsia="Times New Roman" w:hAnsi="Arial" w:cs="Arial"/>
          <w:color w:val="000000"/>
          <w:shd w:val="clear" w:color="auto" w:fill="FFFFFF"/>
        </w:rPr>
        <w:t>s</w:t>
      </w:r>
      <w:r w:rsidR="00DA024D" w:rsidRPr="005D3D4D">
        <w:rPr>
          <w:rFonts w:ascii="Arial" w:eastAsia="Times New Roman" w:hAnsi="Arial" w:cs="Arial"/>
          <w:color w:val="000000"/>
          <w:shd w:val="clear" w:color="auto" w:fill="FFFFFF"/>
        </w:rPr>
        <w:t xml:space="preserve"> aus</w:t>
      </w:r>
      <w:r w:rsidRPr="005D3D4D">
        <w:rPr>
          <w:rFonts w:ascii="Arial" w:eastAsia="Times New Roman" w:hAnsi="Arial" w:cs="Arial"/>
          <w:color w:val="000000"/>
          <w:shd w:val="clear" w:color="auto" w:fill="FFFFFF"/>
        </w:rPr>
        <w:t>.</w:t>
      </w:r>
      <w:r w:rsidR="00C35AE8" w:rsidRPr="005D3D4D">
        <w:rPr>
          <w:rFonts w:ascii="Arial" w:eastAsia="Times New Roman" w:hAnsi="Arial" w:cs="Arial"/>
          <w:color w:val="000000"/>
          <w:shd w:val="clear" w:color="auto" w:fill="FFFFFF"/>
        </w:rPr>
        <w:t xml:space="preserve"> </w:t>
      </w:r>
      <w:r w:rsidR="002805EB" w:rsidRPr="005D3D4D">
        <w:rPr>
          <w:rFonts w:ascii="Arial" w:eastAsia="Times New Roman" w:hAnsi="Arial" w:cs="Arial"/>
          <w:color w:val="000000"/>
          <w:shd w:val="clear" w:color="auto" w:fill="FFFFFF"/>
        </w:rPr>
        <w:t>I</w:t>
      </w:r>
      <w:r w:rsidR="00081759" w:rsidRPr="005D3D4D">
        <w:rPr>
          <w:rFonts w:ascii="Arial" w:eastAsia="Times New Roman" w:hAnsi="Arial" w:cs="Arial"/>
          <w:color w:val="000000"/>
          <w:shd w:val="clear" w:color="auto" w:fill="FFFFFF"/>
        </w:rPr>
        <w:t>n D</w:t>
      </w:r>
      <w:r w:rsidR="002805EB" w:rsidRPr="005D3D4D">
        <w:rPr>
          <w:rFonts w:ascii="Arial" w:eastAsia="Times New Roman" w:hAnsi="Arial" w:cs="Arial"/>
          <w:color w:val="000000"/>
          <w:shd w:val="clear" w:color="auto" w:fill="FFFFFF"/>
        </w:rPr>
        <w:t>eutschland war</w:t>
      </w:r>
      <w:r w:rsidR="00081759" w:rsidRPr="005D3D4D">
        <w:rPr>
          <w:rFonts w:ascii="Arial" w:eastAsia="Times New Roman" w:hAnsi="Arial" w:cs="Arial"/>
          <w:color w:val="000000"/>
          <w:shd w:val="clear" w:color="auto" w:fill="FFFFFF"/>
        </w:rPr>
        <w:t xml:space="preserve"> das institutionell verwaltete Vermögen im Jahr 20</w:t>
      </w:r>
      <w:r w:rsidR="002805EB" w:rsidRPr="005D3D4D">
        <w:rPr>
          <w:rFonts w:ascii="Arial" w:eastAsia="Times New Roman" w:hAnsi="Arial" w:cs="Arial"/>
          <w:color w:val="000000"/>
          <w:shd w:val="clear" w:color="auto" w:fill="FFFFFF"/>
        </w:rPr>
        <w:t>23</w:t>
      </w:r>
      <w:r w:rsidR="00081759" w:rsidRPr="005D3D4D">
        <w:rPr>
          <w:rFonts w:ascii="Arial" w:eastAsia="Times New Roman" w:hAnsi="Arial" w:cs="Arial"/>
          <w:color w:val="000000"/>
          <w:shd w:val="clear" w:color="auto" w:fill="FFFFFF"/>
        </w:rPr>
        <w:t xml:space="preserve"> relativ gleichmäßig auf Investmentfonds (</w:t>
      </w:r>
      <w:r w:rsidR="002805EB" w:rsidRPr="005D3D4D">
        <w:rPr>
          <w:rFonts w:ascii="Arial" w:eastAsia="Times New Roman" w:hAnsi="Arial" w:cs="Arial"/>
          <w:color w:val="000000"/>
          <w:shd w:val="clear" w:color="auto" w:fill="FFFFFF"/>
        </w:rPr>
        <w:t>46,1</w:t>
      </w:r>
      <w:r w:rsidR="00081759" w:rsidRPr="005D3D4D">
        <w:rPr>
          <w:rFonts w:ascii="Arial" w:eastAsia="Times New Roman" w:hAnsi="Arial" w:cs="Arial"/>
          <w:color w:val="000000"/>
          <w:shd w:val="clear" w:color="auto" w:fill="FFFFFF"/>
        </w:rPr>
        <w:t xml:space="preserve"> Prozent) und Versicherungen (</w:t>
      </w:r>
      <w:r w:rsidR="002805EB" w:rsidRPr="005D3D4D">
        <w:rPr>
          <w:rFonts w:ascii="Arial" w:eastAsia="Times New Roman" w:hAnsi="Arial" w:cs="Arial"/>
          <w:color w:val="000000"/>
          <w:shd w:val="clear" w:color="auto" w:fill="FFFFFF"/>
        </w:rPr>
        <w:t>41,8</w:t>
      </w:r>
      <w:r w:rsidR="00081759" w:rsidRPr="005D3D4D">
        <w:rPr>
          <w:rFonts w:ascii="Arial" w:eastAsia="Times New Roman" w:hAnsi="Arial" w:cs="Arial"/>
          <w:color w:val="000000"/>
          <w:shd w:val="clear" w:color="auto" w:fill="FFFFFF"/>
        </w:rPr>
        <w:t xml:space="preserve"> Prozent) verteilt</w:t>
      </w:r>
      <w:r w:rsidR="002805EB" w:rsidRPr="005D3D4D">
        <w:rPr>
          <w:rFonts w:ascii="Arial" w:eastAsia="Times New Roman" w:hAnsi="Arial" w:cs="Arial"/>
          <w:color w:val="000000"/>
          <w:shd w:val="clear" w:color="auto" w:fill="FFFFFF"/>
        </w:rPr>
        <w:t xml:space="preserve">, während </w:t>
      </w:r>
      <w:r w:rsidR="005D3D4D">
        <w:rPr>
          <w:rFonts w:ascii="Arial" w:eastAsia="Times New Roman" w:hAnsi="Arial" w:cs="Arial"/>
          <w:color w:val="000000"/>
          <w:shd w:val="clear" w:color="auto" w:fill="FFFFFF"/>
        </w:rPr>
        <w:t xml:space="preserve">der Anteil der </w:t>
      </w:r>
      <w:r w:rsidR="002805EB" w:rsidRPr="005D3D4D">
        <w:rPr>
          <w:rFonts w:ascii="Arial" w:eastAsia="Times New Roman" w:hAnsi="Arial" w:cs="Arial"/>
          <w:color w:val="000000"/>
          <w:shd w:val="clear" w:color="auto" w:fill="FFFFFF"/>
        </w:rPr>
        <w:t xml:space="preserve">Pensionsfonds </w:t>
      </w:r>
      <w:r w:rsidR="005D3D4D">
        <w:rPr>
          <w:rFonts w:ascii="Arial" w:eastAsia="Times New Roman" w:hAnsi="Arial" w:cs="Arial"/>
          <w:color w:val="000000"/>
          <w:shd w:val="clear" w:color="auto" w:fill="FFFFFF"/>
        </w:rPr>
        <w:t>– vor allem aufgrund des hohen Anteils der umlagefinanzierten Renten an der Altersversorgung</w:t>
      </w:r>
      <w:r w:rsidR="005D3D4D" w:rsidRPr="005D3D4D">
        <w:rPr>
          <w:rFonts w:ascii="Arial" w:eastAsia="Times New Roman" w:hAnsi="Arial" w:cs="Arial"/>
          <w:color w:val="000000"/>
          <w:shd w:val="clear" w:color="auto" w:fill="FFFFFF"/>
        </w:rPr>
        <w:t xml:space="preserve"> </w:t>
      </w:r>
      <w:r w:rsidR="005D3D4D">
        <w:rPr>
          <w:rFonts w:ascii="Arial" w:eastAsia="Times New Roman" w:hAnsi="Arial" w:cs="Arial"/>
          <w:color w:val="000000"/>
          <w:shd w:val="clear" w:color="auto" w:fill="FFFFFF"/>
        </w:rPr>
        <w:t xml:space="preserve">– </w:t>
      </w:r>
      <w:r w:rsidR="002805EB" w:rsidRPr="005D3D4D">
        <w:rPr>
          <w:rFonts w:ascii="Arial" w:eastAsia="Times New Roman" w:hAnsi="Arial" w:cs="Arial"/>
          <w:color w:val="000000"/>
          <w:shd w:val="clear" w:color="auto" w:fill="FFFFFF"/>
        </w:rPr>
        <w:t>mit 12,1 Prozent geringer ausfiel.</w:t>
      </w:r>
    </w:p>
    <w:p w14:paraId="4C24F1E2" w14:textId="77777777" w:rsidR="005D3D4D" w:rsidRDefault="005D3D4D" w:rsidP="009C3E94">
      <w:pPr>
        <w:rPr>
          <w:rFonts w:ascii="Arial" w:eastAsia="Times New Roman" w:hAnsi="Arial" w:cs="Arial"/>
          <w:color w:val="000000"/>
          <w:shd w:val="clear" w:color="auto" w:fill="FFFFFF"/>
        </w:rPr>
      </w:pPr>
    </w:p>
    <w:p w14:paraId="5BA630B7" w14:textId="77777777" w:rsidR="00F207F3" w:rsidRPr="00BB0A54" w:rsidRDefault="00F207F3" w:rsidP="009C3E94">
      <w:pPr>
        <w:outlineLvl w:val="1"/>
        <w:rPr>
          <w:rFonts w:ascii="Arial" w:eastAsia="Times New Roman" w:hAnsi="Arial" w:cs="Arial"/>
          <w:bCs/>
          <w:color w:val="FF0000"/>
          <w:lang w:val="en-US"/>
        </w:rPr>
      </w:pPr>
      <w:r w:rsidRPr="00BB0A54">
        <w:rPr>
          <w:rFonts w:ascii="Arial" w:eastAsia="Times New Roman" w:hAnsi="Arial" w:cs="Arial"/>
          <w:bCs/>
          <w:color w:val="FF0000"/>
          <w:lang w:val="en-US"/>
        </w:rPr>
        <w:t>Datenquelle</w:t>
      </w:r>
    </w:p>
    <w:p w14:paraId="6E400202" w14:textId="77777777" w:rsidR="003257F3" w:rsidRPr="003C465A" w:rsidRDefault="003257F3" w:rsidP="009C3E94">
      <w:pPr>
        <w:rPr>
          <w:rFonts w:ascii="Arial" w:eastAsia="Times New Roman" w:hAnsi="Arial" w:cs="Arial"/>
          <w:color w:val="000000"/>
          <w:shd w:val="clear" w:color="auto" w:fill="FFFFFF"/>
          <w:lang w:val="en-US"/>
        </w:rPr>
      </w:pPr>
    </w:p>
    <w:p w14:paraId="0FAB06DC" w14:textId="6CC89EA0" w:rsidR="00BB0A54" w:rsidRPr="003C465A" w:rsidRDefault="00BB0A54" w:rsidP="009C3E94">
      <w:pPr>
        <w:rPr>
          <w:rFonts w:ascii="Arial" w:eastAsia="Times New Roman" w:hAnsi="Arial" w:cs="Arial"/>
          <w:color w:val="000000"/>
          <w:shd w:val="clear" w:color="auto" w:fill="FFFFFF"/>
          <w:lang w:val="en-US"/>
        </w:rPr>
      </w:pPr>
      <w:r w:rsidRPr="003C465A">
        <w:rPr>
          <w:rFonts w:ascii="Arial" w:eastAsia="Times New Roman" w:hAnsi="Arial" w:cs="Arial"/>
          <w:color w:val="000000"/>
          <w:shd w:val="clear" w:color="auto" w:fill="FFFFFF"/>
          <w:lang w:val="en-US"/>
        </w:rPr>
        <w:t xml:space="preserve">© Organisation for Economic Co-operation and Development (OECD): </w:t>
      </w:r>
      <w:r w:rsidR="002805EB" w:rsidRPr="003C465A">
        <w:rPr>
          <w:rFonts w:ascii="Arial" w:eastAsia="Times New Roman" w:hAnsi="Arial" w:cs="Arial"/>
          <w:color w:val="000000"/>
          <w:shd w:val="clear" w:color="auto" w:fill="FFFFFF"/>
          <w:lang w:val="en-US"/>
        </w:rPr>
        <w:t>Data Explorer: Nominal GDP and Institutional Investors’ Assets and Liabilities</w:t>
      </w:r>
    </w:p>
    <w:p w14:paraId="452D2A7B" w14:textId="77777777" w:rsidR="00E67200" w:rsidRPr="003C465A" w:rsidRDefault="00E67200" w:rsidP="009C3E94">
      <w:pPr>
        <w:rPr>
          <w:rFonts w:ascii="Arial" w:eastAsia="Times New Roman" w:hAnsi="Arial" w:cs="Arial"/>
          <w:color w:val="000000"/>
          <w:shd w:val="clear" w:color="auto" w:fill="FFFFFF"/>
          <w:lang w:val="en-US"/>
        </w:rPr>
      </w:pPr>
    </w:p>
    <w:p w14:paraId="6BF5C358" w14:textId="77777777" w:rsidR="00F207F3" w:rsidRPr="003257F3" w:rsidRDefault="00F207F3" w:rsidP="009C3E94">
      <w:pPr>
        <w:outlineLvl w:val="1"/>
        <w:rPr>
          <w:rFonts w:ascii="Arial" w:eastAsia="Times New Roman" w:hAnsi="Arial" w:cs="Arial"/>
          <w:bCs/>
          <w:color w:val="FF0000"/>
        </w:rPr>
      </w:pPr>
      <w:r w:rsidRPr="003257F3">
        <w:rPr>
          <w:rFonts w:ascii="Arial" w:eastAsia="Times New Roman" w:hAnsi="Arial" w:cs="Arial"/>
          <w:bCs/>
          <w:color w:val="FF0000"/>
        </w:rPr>
        <w:t>Begriffe, methodische Anmerkungen oder Lesehilfen</w:t>
      </w:r>
    </w:p>
    <w:p w14:paraId="289A0728" w14:textId="77777777" w:rsidR="003257F3" w:rsidRDefault="003257F3" w:rsidP="009C3E94">
      <w:pPr>
        <w:rPr>
          <w:rFonts w:ascii="Arial" w:eastAsia="Times New Roman" w:hAnsi="Arial" w:cs="Arial"/>
          <w:b/>
          <w:bCs/>
          <w:color w:val="000000"/>
        </w:rPr>
      </w:pPr>
    </w:p>
    <w:p w14:paraId="02D887FA" w14:textId="77777777" w:rsidR="003257F3" w:rsidRPr="003257F3" w:rsidRDefault="00F207F3" w:rsidP="009C3E94">
      <w:pPr>
        <w:rPr>
          <w:rFonts w:ascii="Arial" w:eastAsia="Times New Roman" w:hAnsi="Arial" w:cs="Arial"/>
          <w:color w:val="000000"/>
          <w:shd w:val="clear" w:color="auto" w:fill="FFFFFF"/>
        </w:rPr>
      </w:pPr>
      <w:r w:rsidRPr="003257F3">
        <w:rPr>
          <w:rFonts w:ascii="Arial" w:eastAsia="Times New Roman" w:hAnsi="Arial" w:cs="Arial"/>
          <w:b/>
          <w:bCs/>
          <w:color w:val="000000"/>
        </w:rPr>
        <w:t>Institutionelle Investoren</w:t>
      </w:r>
      <w:r w:rsidRPr="003257F3">
        <w:rPr>
          <w:rFonts w:ascii="Arial" w:eastAsia="Times New Roman" w:hAnsi="Arial" w:cs="Arial"/>
          <w:color w:val="000000"/>
          <w:shd w:val="clear" w:color="auto" w:fill="FFFFFF"/>
        </w:rPr>
        <w:t xml:space="preserve"> sammeln Kapital, um es auf den Kapitalmärkten gebündelt anzulegen. </w:t>
      </w:r>
      <w:r w:rsidR="0014010D" w:rsidRPr="003257F3">
        <w:rPr>
          <w:rFonts w:ascii="Arial" w:eastAsia="Times New Roman" w:hAnsi="Arial" w:cs="Arial"/>
          <w:color w:val="000000"/>
          <w:shd w:val="clear" w:color="auto" w:fill="FFFFFF"/>
        </w:rPr>
        <w:t xml:space="preserve">Im Unterschied zu Privatanlegern handelt es sich um </w:t>
      </w:r>
      <w:r w:rsidR="0018187B" w:rsidRPr="003257F3">
        <w:rPr>
          <w:rFonts w:ascii="Arial" w:eastAsia="Times New Roman" w:hAnsi="Arial" w:cs="Arial"/>
          <w:color w:val="000000"/>
          <w:shd w:val="clear" w:color="auto" w:fill="FFFFFF"/>
        </w:rPr>
        <w:t xml:space="preserve">sogenannte </w:t>
      </w:r>
      <w:r w:rsidR="0014010D" w:rsidRPr="003257F3">
        <w:rPr>
          <w:rFonts w:ascii="Arial" w:eastAsia="Times New Roman" w:hAnsi="Arial" w:cs="Arial"/>
          <w:color w:val="000000"/>
          <w:shd w:val="clear" w:color="auto" w:fill="FFFFFF"/>
        </w:rPr>
        <w:t>Finanzintermediäre</w:t>
      </w:r>
      <w:r w:rsidR="0018187B" w:rsidRPr="003257F3">
        <w:rPr>
          <w:rFonts w:ascii="Arial" w:eastAsia="Times New Roman" w:hAnsi="Arial" w:cs="Arial"/>
          <w:color w:val="000000"/>
          <w:shd w:val="clear" w:color="auto" w:fill="FFFFFF"/>
        </w:rPr>
        <w:t>, die das gesammelte Kapital im Kundenauftrag verwalten und möglichst gewinnbringend anlegen.</w:t>
      </w:r>
    </w:p>
    <w:p w14:paraId="3C1E3A1B" w14:textId="77777777" w:rsidR="003257F3" w:rsidRPr="003257F3" w:rsidRDefault="003257F3" w:rsidP="009C3E94">
      <w:pPr>
        <w:rPr>
          <w:rFonts w:ascii="Arial" w:eastAsia="Times New Roman" w:hAnsi="Arial" w:cs="Arial"/>
          <w:color w:val="000000"/>
          <w:shd w:val="clear" w:color="auto" w:fill="FFFFFF"/>
        </w:rPr>
      </w:pPr>
    </w:p>
    <w:p w14:paraId="4E53F88F" w14:textId="1626B0B3" w:rsidR="00F207F3" w:rsidRDefault="0018187B" w:rsidP="009C3E94">
      <w:pPr>
        <w:rPr>
          <w:rFonts w:ascii="Arial" w:eastAsia="Times New Roman" w:hAnsi="Arial" w:cs="Arial"/>
          <w:color w:val="000000"/>
          <w:shd w:val="clear" w:color="auto" w:fill="FFFFFF"/>
        </w:rPr>
      </w:pPr>
      <w:r w:rsidRPr="003257F3">
        <w:rPr>
          <w:rFonts w:ascii="Arial" w:eastAsia="Times New Roman" w:hAnsi="Arial" w:cs="Arial"/>
          <w:color w:val="000000"/>
          <w:shd w:val="clear" w:color="auto" w:fill="FFFFFF"/>
        </w:rPr>
        <w:t>In den OECD Institution</w:t>
      </w:r>
      <w:r w:rsidR="003C465A">
        <w:rPr>
          <w:rFonts w:ascii="Arial" w:eastAsia="Times New Roman" w:hAnsi="Arial" w:cs="Arial"/>
          <w:color w:val="000000"/>
          <w:shd w:val="clear" w:color="auto" w:fill="FFFFFF"/>
        </w:rPr>
        <w:t>a</w:t>
      </w:r>
      <w:r w:rsidRPr="003257F3">
        <w:rPr>
          <w:rFonts w:ascii="Arial" w:eastAsia="Times New Roman" w:hAnsi="Arial" w:cs="Arial"/>
          <w:color w:val="000000"/>
          <w:shd w:val="clear" w:color="auto" w:fill="FFFFFF"/>
        </w:rPr>
        <w:t>l Investors Statistics</w:t>
      </w:r>
      <w:r w:rsidR="00E600CF" w:rsidRPr="003257F3">
        <w:rPr>
          <w:rFonts w:ascii="Arial" w:eastAsia="Times New Roman" w:hAnsi="Arial" w:cs="Arial"/>
          <w:color w:val="000000"/>
          <w:shd w:val="clear" w:color="auto" w:fill="FFFFFF"/>
        </w:rPr>
        <w:t>, auf die sich die hier angegebenen Werte beziehen,</w:t>
      </w:r>
      <w:r w:rsidRPr="003257F3">
        <w:rPr>
          <w:rFonts w:ascii="Arial" w:eastAsia="Times New Roman" w:hAnsi="Arial" w:cs="Arial"/>
          <w:color w:val="000000"/>
          <w:shd w:val="clear" w:color="auto" w:fill="FFFFFF"/>
        </w:rPr>
        <w:t xml:space="preserve"> werden </w:t>
      </w:r>
      <w:r w:rsidR="002422E1">
        <w:rPr>
          <w:rFonts w:ascii="Arial" w:eastAsia="Times New Roman" w:hAnsi="Arial" w:cs="Arial"/>
          <w:color w:val="000000"/>
          <w:shd w:val="clear" w:color="auto" w:fill="FFFFFF"/>
        </w:rPr>
        <w:t>ausschließlich</w:t>
      </w:r>
      <w:r w:rsidR="002422E1" w:rsidRPr="003257F3">
        <w:rPr>
          <w:rFonts w:ascii="Arial" w:eastAsia="Times New Roman" w:hAnsi="Arial" w:cs="Arial"/>
          <w:color w:val="000000"/>
          <w:shd w:val="clear" w:color="auto" w:fill="FFFFFF"/>
        </w:rPr>
        <w:t xml:space="preserve"> </w:t>
      </w:r>
      <w:r w:rsidRPr="003257F3">
        <w:rPr>
          <w:rFonts w:ascii="Arial" w:eastAsia="Times New Roman" w:hAnsi="Arial" w:cs="Arial"/>
          <w:color w:val="000000"/>
          <w:shd w:val="clear" w:color="auto" w:fill="FFFFFF"/>
        </w:rPr>
        <w:t xml:space="preserve">Daten </w:t>
      </w:r>
      <w:r w:rsidR="004967A1">
        <w:rPr>
          <w:rFonts w:ascii="Arial" w:eastAsia="Times New Roman" w:hAnsi="Arial" w:cs="Arial"/>
          <w:color w:val="000000"/>
          <w:shd w:val="clear" w:color="auto" w:fill="FFFFFF"/>
        </w:rPr>
        <w:t xml:space="preserve">zu </w:t>
      </w:r>
      <w:r w:rsidR="004967A1" w:rsidRPr="003257F3">
        <w:rPr>
          <w:rFonts w:ascii="Arial" w:eastAsia="Times New Roman" w:hAnsi="Arial" w:cs="Arial"/>
          <w:color w:val="000000"/>
          <w:shd w:val="clear" w:color="auto" w:fill="FFFFFF"/>
        </w:rPr>
        <w:t>"</w:t>
      </w:r>
      <w:r w:rsidR="004967A1" w:rsidRPr="004967A1">
        <w:rPr>
          <w:rFonts w:ascii="Arial" w:eastAsia="Times New Roman" w:hAnsi="Arial" w:cs="Arial"/>
          <w:color w:val="000000"/>
          <w:shd w:val="clear" w:color="auto" w:fill="FFFFFF"/>
        </w:rPr>
        <w:t>traditionellen</w:t>
      </w:r>
      <w:r w:rsidR="004967A1" w:rsidRPr="003257F3">
        <w:rPr>
          <w:rFonts w:ascii="Arial" w:eastAsia="Times New Roman" w:hAnsi="Arial" w:cs="Arial"/>
          <w:color w:val="000000"/>
          <w:shd w:val="clear" w:color="auto" w:fill="FFFFFF"/>
        </w:rPr>
        <w:t>"</w:t>
      </w:r>
      <w:r w:rsidR="004967A1" w:rsidRPr="004967A1">
        <w:rPr>
          <w:rFonts w:ascii="Arial" w:eastAsia="Times New Roman" w:hAnsi="Arial" w:cs="Arial"/>
          <w:color w:val="000000"/>
          <w:shd w:val="clear" w:color="auto" w:fill="FFFFFF"/>
        </w:rPr>
        <w:t xml:space="preserve"> institutionellen Invest</w:t>
      </w:r>
      <w:r w:rsidR="004967A1">
        <w:rPr>
          <w:rFonts w:ascii="Arial" w:eastAsia="Times New Roman" w:hAnsi="Arial" w:cs="Arial"/>
          <w:color w:val="000000"/>
          <w:shd w:val="clear" w:color="auto" w:fill="FFFFFF"/>
        </w:rPr>
        <w:t>oren (</w:t>
      </w:r>
      <w:r w:rsidR="00F207F3" w:rsidRPr="003257F3">
        <w:rPr>
          <w:rFonts w:ascii="Arial" w:eastAsia="Times New Roman" w:hAnsi="Arial" w:cs="Arial"/>
          <w:color w:val="000000"/>
          <w:shd w:val="clear" w:color="auto" w:fill="FFFFFF"/>
        </w:rPr>
        <w:t>Versicherungen</w:t>
      </w:r>
      <w:r w:rsidRPr="003257F3">
        <w:rPr>
          <w:rFonts w:ascii="Arial" w:eastAsia="Times New Roman" w:hAnsi="Arial" w:cs="Arial"/>
          <w:color w:val="000000"/>
          <w:shd w:val="clear" w:color="auto" w:fill="FFFFFF"/>
        </w:rPr>
        <w:t xml:space="preserve">, </w:t>
      </w:r>
      <w:r w:rsidR="00F207F3" w:rsidRPr="003257F3">
        <w:rPr>
          <w:rFonts w:ascii="Arial" w:eastAsia="Times New Roman" w:hAnsi="Arial" w:cs="Arial"/>
          <w:color w:val="000000"/>
          <w:shd w:val="clear" w:color="auto" w:fill="FFFFFF"/>
        </w:rPr>
        <w:t>Investment- und Pensionsfonds</w:t>
      </w:r>
      <w:r w:rsidR="003C465A">
        <w:rPr>
          <w:rFonts w:ascii="Arial" w:eastAsia="Times New Roman" w:hAnsi="Arial" w:cs="Arial"/>
          <w:color w:val="000000"/>
          <w:shd w:val="clear" w:color="auto" w:fill="FFFFFF"/>
        </w:rPr>
        <w:t>)</w:t>
      </w:r>
      <w:r w:rsidRPr="003257F3">
        <w:rPr>
          <w:rFonts w:ascii="Arial" w:eastAsia="Times New Roman" w:hAnsi="Arial" w:cs="Arial"/>
          <w:color w:val="000000"/>
          <w:shd w:val="clear" w:color="auto" w:fill="FFFFFF"/>
        </w:rPr>
        <w:t xml:space="preserve"> ausgewiesen. </w:t>
      </w:r>
      <w:r w:rsidR="00727A78">
        <w:rPr>
          <w:rFonts w:ascii="Arial" w:eastAsia="Times New Roman" w:hAnsi="Arial" w:cs="Arial"/>
          <w:color w:val="000000"/>
          <w:shd w:val="clear" w:color="auto" w:fill="FFFFFF"/>
        </w:rPr>
        <w:t>Andere</w:t>
      </w:r>
      <w:r w:rsidRPr="003257F3">
        <w:rPr>
          <w:rFonts w:ascii="Arial" w:eastAsia="Times New Roman" w:hAnsi="Arial" w:cs="Arial"/>
          <w:color w:val="000000"/>
          <w:shd w:val="clear" w:color="auto" w:fill="FFFFFF"/>
        </w:rPr>
        <w:t xml:space="preserve"> </w:t>
      </w:r>
      <w:r w:rsidR="0061775E">
        <w:rPr>
          <w:rFonts w:ascii="Arial" w:eastAsia="Times New Roman" w:hAnsi="Arial" w:cs="Arial"/>
          <w:color w:val="000000"/>
          <w:shd w:val="clear" w:color="auto" w:fill="FFFFFF"/>
        </w:rPr>
        <w:t>institutionell</w:t>
      </w:r>
      <w:r w:rsidRPr="003257F3">
        <w:rPr>
          <w:rFonts w:ascii="Arial" w:eastAsia="Times New Roman" w:hAnsi="Arial" w:cs="Arial"/>
          <w:color w:val="000000"/>
          <w:shd w:val="clear" w:color="auto" w:fill="FFFFFF"/>
        </w:rPr>
        <w:t>e Investoren</w:t>
      </w:r>
      <w:r w:rsidR="00BB0A54">
        <w:rPr>
          <w:rFonts w:ascii="Arial" w:eastAsia="Times New Roman" w:hAnsi="Arial" w:cs="Arial"/>
          <w:color w:val="000000"/>
          <w:shd w:val="clear" w:color="auto" w:fill="FFFFFF"/>
        </w:rPr>
        <w:t xml:space="preserve"> – </w:t>
      </w:r>
      <w:r w:rsidRPr="003257F3">
        <w:rPr>
          <w:rFonts w:ascii="Arial" w:eastAsia="Times New Roman" w:hAnsi="Arial" w:cs="Arial"/>
          <w:color w:val="000000"/>
          <w:shd w:val="clear" w:color="auto" w:fill="FFFFFF"/>
        </w:rPr>
        <w:t xml:space="preserve">wie </w:t>
      </w:r>
      <w:r w:rsidR="00F207F3" w:rsidRPr="003257F3">
        <w:rPr>
          <w:rFonts w:ascii="Arial" w:eastAsia="Times New Roman" w:hAnsi="Arial" w:cs="Arial"/>
          <w:color w:val="000000"/>
          <w:shd w:val="clear" w:color="auto" w:fill="FFFFFF"/>
        </w:rPr>
        <w:t>Private Equity F</w:t>
      </w:r>
      <w:r w:rsidRPr="003257F3">
        <w:rPr>
          <w:rFonts w:ascii="Arial" w:eastAsia="Times New Roman" w:hAnsi="Arial" w:cs="Arial"/>
          <w:color w:val="000000"/>
          <w:shd w:val="clear" w:color="auto" w:fill="FFFFFF"/>
        </w:rPr>
        <w:t>onds</w:t>
      </w:r>
      <w:r w:rsidR="00F207F3" w:rsidRPr="003257F3">
        <w:rPr>
          <w:rFonts w:ascii="Arial" w:eastAsia="Times New Roman" w:hAnsi="Arial" w:cs="Arial"/>
          <w:color w:val="000000"/>
          <w:shd w:val="clear" w:color="auto" w:fill="FFFFFF"/>
        </w:rPr>
        <w:t>, Hedge-</w:t>
      </w:r>
      <w:r w:rsidR="00BB0A54">
        <w:rPr>
          <w:rFonts w:ascii="Arial" w:eastAsia="Times New Roman" w:hAnsi="Arial" w:cs="Arial"/>
          <w:color w:val="000000"/>
          <w:shd w:val="clear" w:color="auto" w:fill="FFFFFF"/>
        </w:rPr>
        <w:t xml:space="preserve"> </w:t>
      </w:r>
      <w:r w:rsidR="00F207F3" w:rsidRPr="003257F3">
        <w:rPr>
          <w:rFonts w:ascii="Arial" w:eastAsia="Times New Roman" w:hAnsi="Arial" w:cs="Arial"/>
          <w:color w:val="000000"/>
          <w:shd w:val="clear" w:color="auto" w:fill="FFFFFF"/>
        </w:rPr>
        <w:t>und Dachfonds</w:t>
      </w:r>
      <w:r w:rsidR="00A36910" w:rsidRPr="003257F3">
        <w:rPr>
          <w:rFonts w:ascii="Arial" w:eastAsia="Times New Roman" w:hAnsi="Arial" w:cs="Arial"/>
          <w:color w:val="000000"/>
          <w:shd w:val="clear" w:color="auto" w:fill="FFFFFF"/>
        </w:rPr>
        <w:t xml:space="preserve">, Staatsfonds </w:t>
      </w:r>
      <w:r w:rsidR="00BB0A54">
        <w:rPr>
          <w:rFonts w:ascii="Arial" w:eastAsia="Times New Roman" w:hAnsi="Arial" w:cs="Arial"/>
          <w:color w:val="000000"/>
          <w:shd w:val="clear" w:color="auto" w:fill="FFFFFF"/>
        </w:rPr>
        <w:t xml:space="preserve">– </w:t>
      </w:r>
      <w:r w:rsidR="00E600CF" w:rsidRPr="003257F3">
        <w:rPr>
          <w:rFonts w:ascii="Arial" w:eastAsia="Times New Roman" w:hAnsi="Arial" w:cs="Arial"/>
          <w:color w:val="000000"/>
          <w:shd w:val="clear" w:color="auto" w:fill="FFFFFF"/>
        </w:rPr>
        <w:t xml:space="preserve">werden von der OECD statistisch nicht erfasst. Dies gilt ebenso für Asset Management Gesellschaften, die nach dem britischen </w:t>
      </w:r>
      <w:r w:rsidR="00317463" w:rsidRPr="003257F3">
        <w:rPr>
          <w:rFonts w:ascii="Arial" w:eastAsia="Times New Roman" w:hAnsi="Arial" w:cs="Arial"/>
          <w:color w:val="000000"/>
          <w:shd w:val="clear" w:color="auto" w:fill="FFFFFF"/>
        </w:rPr>
        <w:t>"</w:t>
      </w:r>
      <w:r w:rsidR="00E600CF" w:rsidRPr="003257F3">
        <w:rPr>
          <w:rFonts w:ascii="Arial" w:eastAsia="Times New Roman" w:hAnsi="Arial" w:cs="Arial"/>
          <w:color w:val="000000"/>
          <w:shd w:val="clear" w:color="auto" w:fill="FFFFFF"/>
        </w:rPr>
        <w:t>Stewardship Code</w:t>
      </w:r>
      <w:r w:rsidR="00317463" w:rsidRPr="003257F3">
        <w:rPr>
          <w:rFonts w:ascii="Arial" w:eastAsia="Times New Roman" w:hAnsi="Arial" w:cs="Arial"/>
          <w:color w:val="000000"/>
          <w:shd w:val="clear" w:color="auto" w:fill="FFFFFF"/>
        </w:rPr>
        <w:t>"</w:t>
      </w:r>
      <w:r w:rsidR="00E600CF" w:rsidRPr="003257F3">
        <w:rPr>
          <w:rFonts w:ascii="Arial" w:eastAsia="Times New Roman" w:hAnsi="Arial" w:cs="Arial"/>
          <w:color w:val="000000"/>
          <w:shd w:val="clear" w:color="auto" w:fill="FFFFFF"/>
        </w:rPr>
        <w:t xml:space="preserve"> ebenfalls als </w:t>
      </w:r>
      <w:r w:rsidR="0061775E">
        <w:rPr>
          <w:rFonts w:ascii="Arial" w:eastAsia="Times New Roman" w:hAnsi="Arial" w:cs="Arial"/>
          <w:color w:val="000000"/>
          <w:shd w:val="clear" w:color="auto" w:fill="FFFFFF"/>
        </w:rPr>
        <w:t>institutionell</w:t>
      </w:r>
      <w:r w:rsidR="00E600CF" w:rsidRPr="003257F3">
        <w:rPr>
          <w:rFonts w:ascii="Arial" w:eastAsia="Times New Roman" w:hAnsi="Arial" w:cs="Arial"/>
          <w:color w:val="000000"/>
          <w:shd w:val="clear" w:color="auto" w:fill="FFFFFF"/>
        </w:rPr>
        <w:t>e Investoren klas</w:t>
      </w:r>
      <w:r w:rsidR="003257F3" w:rsidRPr="003257F3">
        <w:rPr>
          <w:rFonts w:ascii="Arial" w:eastAsia="Times New Roman" w:hAnsi="Arial" w:cs="Arial"/>
          <w:color w:val="000000"/>
          <w:shd w:val="clear" w:color="auto" w:fill="FFFFFF"/>
        </w:rPr>
        <w:t>sifiziert werden.</w:t>
      </w:r>
    </w:p>
    <w:p w14:paraId="74143DC4" w14:textId="77777777" w:rsidR="00EA4DB1" w:rsidRDefault="00EA4DB1" w:rsidP="009C3E94">
      <w:pPr>
        <w:rPr>
          <w:rFonts w:ascii="Arial" w:eastAsia="Times New Roman" w:hAnsi="Arial" w:cs="Arial"/>
          <w:color w:val="000000"/>
          <w:shd w:val="clear" w:color="auto" w:fill="FFFFFF"/>
        </w:rPr>
      </w:pPr>
    </w:p>
    <w:p w14:paraId="47927B11" w14:textId="4745F2EE" w:rsidR="00EA4DB1" w:rsidRPr="00111C5B" w:rsidRDefault="00EA4DB1" w:rsidP="00B13F1C">
      <w:pPr>
        <w:rPr>
          <w:rFonts w:ascii="Arial" w:hAnsi="Arial"/>
          <w:sz w:val="20"/>
          <w:szCs w:val="20"/>
        </w:rPr>
      </w:pPr>
      <w:r w:rsidRPr="00381CBD">
        <w:rPr>
          <w:rFonts w:ascii="Arial" w:hAnsi="Arial"/>
          <w:sz w:val="20"/>
          <w:szCs w:val="20"/>
        </w:rPr>
        <w:t xml:space="preserve">© OECD: </w:t>
      </w:r>
      <w:r w:rsidR="00111C5B" w:rsidRPr="00111C5B">
        <w:rPr>
          <w:rFonts w:ascii="Arial" w:hAnsi="Arial"/>
          <w:sz w:val="20"/>
          <w:szCs w:val="20"/>
        </w:rPr>
        <w:t>Data Explorer: Nominal GDP and Institutional Investors’ Assets and Liabilities</w:t>
      </w:r>
      <w:r w:rsidR="00111C5B" w:rsidRPr="00EA4DB1">
        <w:rPr>
          <w:rFonts w:ascii="Arial" w:hAnsi="Arial"/>
          <w:sz w:val="20"/>
          <w:szCs w:val="20"/>
        </w:rPr>
        <w:t xml:space="preserve"> </w:t>
      </w:r>
      <w:r w:rsidRPr="00EA4DB1">
        <w:rPr>
          <w:rFonts w:ascii="Arial" w:hAnsi="Arial"/>
          <w:sz w:val="20"/>
          <w:szCs w:val="20"/>
        </w:rPr>
        <w:t>Bundeszentrale für politische Bildung 20</w:t>
      </w:r>
      <w:r w:rsidR="00727A78">
        <w:rPr>
          <w:rFonts w:ascii="Arial" w:hAnsi="Arial"/>
          <w:sz w:val="20"/>
          <w:szCs w:val="20"/>
        </w:rPr>
        <w:t>25</w:t>
      </w:r>
      <w:r w:rsidRPr="00EA4DB1">
        <w:rPr>
          <w:rFonts w:ascii="Arial" w:hAnsi="Arial"/>
          <w:sz w:val="20"/>
          <w:szCs w:val="20"/>
        </w:rPr>
        <w:t xml:space="preserve"> | </w:t>
      </w:r>
      <w:hyperlink r:id="rId8" w:history="1">
        <w:r w:rsidRPr="00EA4DB1">
          <w:rPr>
            <w:rFonts w:ascii="Arial" w:hAnsi="Arial"/>
            <w:sz w:val="20"/>
            <w:szCs w:val="20"/>
          </w:rPr>
          <w:t>www.bpb.de</w:t>
        </w:r>
      </w:hyperlink>
    </w:p>
    <w:sectPr w:rsidR="00EA4DB1" w:rsidRPr="00111C5B" w:rsidSect="00CA25D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0A26" w14:textId="77777777" w:rsidR="007B0FB2" w:rsidRDefault="007B0FB2" w:rsidP="00B16D16">
      <w:r>
        <w:separator/>
      </w:r>
    </w:p>
  </w:endnote>
  <w:endnote w:type="continuationSeparator" w:id="0">
    <w:p w14:paraId="321E3BA2" w14:textId="77777777" w:rsidR="007B0FB2" w:rsidRDefault="007B0FB2" w:rsidP="00B1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CF9F" w14:textId="77777777" w:rsidR="007B0FB2" w:rsidRDefault="007B0FB2" w:rsidP="00B16D16">
      <w:r>
        <w:separator/>
      </w:r>
    </w:p>
  </w:footnote>
  <w:footnote w:type="continuationSeparator" w:id="0">
    <w:p w14:paraId="26650877" w14:textId="77777777" w:rsidR="007B0FB2" w:rsidRDefault="007B0FB2" w:rsidP="00B1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93740"/>
    <w:multiLevelType w:val="hybridMultilevel"/>
    <w:tmpl w:val="8710D9A6"/>
    <w:lvl w:ilvl="0" w:tplc="B19054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E047B"/>
    <w:multiLevelType w:val="hybridMultilevel"/>
    <w:tmpl w:val="18C454E6"/>
    <w:lvl w:ilvl="0" w:tplc="B19054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940411"/>
    <w:multiLevelType w:val="hybridMultilevel"/>
    <w:tmpl w:val="78BAD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9777129">
    <w:abstractNumId w:val="0"/>
  </w:num>
  <w:num w:numId="2" w16cid:durableId="1088116712">
    <w:abstractNumId w:val="1"/>
  </w:num>
  <w:num w:numId="3" w16cid:durableId="28065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F3"/>
    <w:rsid w:val="000115EF"/>
    <w:rsid w:val="000710FE"/>
    <w:rsid w:val="00081759"/>
    <w:rsid w:val="000C7306"/>
    <w:rsid w:val="000D0185"/>
    <w:rsid w:val="000D4346"/>
    <w:rsid w:val="000D65CA"/>
    <w:rsid w:val="000D6E5E"/>
    <w:rsid w:val="00111C5B"/>
    <w:rsid w:val="0014010D"/>
    <w:rsid w:val="001537C9"/>
    <w:rsid w:val="00166730"/>
    <w:rsid w:val="0018187B"/>
    <w:rsid w:val="00183DED"/>
    <w:rsid w:val="00185422"/>
    <w:rsid w:val="00185B62"/>
    <w:rsid w:val="001D06E3"/>
    <w:rsid w:val="001D093A"/>
    <w:rsid w:val="001E214F"/>
    <w:rsid w:val="00226A2C"/>
    <w:rsid w:val="002309D6"/>
    <w:rsid w:val="002422E1"/>
    <w:rsid w:val="0026104B"/>
    <w:rsid w:val="00264A79"/>
    <w:rsid w:val="002805EB"/>
    <w:rsid w:val="002C0E9A"/>
    <w:rsid w:val="00317463"/>
    <w:rsid w:val="0031755A"/>
    <w:rsid w:val="003257F3"/>
    <w:rsid w:val="00381CBD"/>
    <w:rsid w:val="003B5080"/>
    <w:rsid w:val="003C465A"/>
    <w:rsid w:val="00456D4B"/>
    <w:rsid w:val="004967A1"/>
    <w:rsid w:val="004E1D1C"/>
    <w:rsid w:val="004F35A2"/>
    <w:rsid w:val="00536712"/>
    <w:rsid w:val="005444CF"/>
    <w:rsid w:val="00544B81"/>
    <w:rsid w:val="005777F7"/>
    <w:rsid w:val="00595374"/>
    <w:rsid w:val="005B4898"/>
    <w:rsid w:val="005D3D4D"/>
    <w:rsid w:val="005D6ACB"/>
    <w:rsid w:val="005E2956"/>
    <w:rsid w:val="005E6E22"/>
    <w:rsid w:val="00600CF2"/>
    <w:rsid w:val="00610D40"/>
    <w:rsid w:val="0061584A"/>
    <w:rsid w:val="0061775E"/>
    <w:rsid w:val="00657EEF"/>
    <w:rsid w:val="006932F8"/>
    <w:rsid w:val="006B42D0"/>
    <w:rsid w:val="006D560E"/>
    <w:rsid w:val="00700542"/>
    <w:rsid w:val="00710A3E"/>
    <w:rsid w:val="00720080"/>
    <w:rsid w:val="007212F9"/>
    <w:rsid w:val="00727A78"/>
    <w:rsid w:val="007356C0"/>
    <w:rsid w:val="00742F28"/>
    <w:rsid w:val="00747528"/>
    <w:rsid w:val="00796266"/>
    <w:rsid w:val="00796881"/>
    <w:rsid w:val="007973D5"/>
    <w:rsid w:val="007A4624"/>
    <w:rsid w:val="007B0FB2"/>
    <w:rsid w:val="0080386D"/>
    <w:rsid w:val="00811112"/>
    <w:rsid w:val="00837457"/>
    <w:rsid w:val="00866073"/>
    <w:rsid w:val="0087252A"/>
    <w:rsid w:val="00883F16"/>
    <w:rsid w:val="008A5FD0"/>
    <w:rsid w:val="009319EC"/>
    <w:rsid w:val="009549F5"/>
    <w:rsid w:val="0097697D"/>
    <w:rsid w:val="00991BDA"/>
    <w:rsid w:val="009B141D"/>
    <w:rsid w:val="009C3E94"/>
    <w:rsid w:val="009F598D"/>
    <w:rsid w:val="00A02A4F"/>
    <w:rsid w:val="00A17DD2"/>
    <w:rsid w:val="00A36910"/>
    <w:rsid w:val="00A635D1"/>
    <w:rsid w:val="00A873A4"/>
    <w:rsid w:val="00AB2B12"/>
    <w:rsid w:val="00AC4C8F"/>
    <w:rsid w:val="00AE6B4C"/>
    <w:rsid w:val="00B13F1C"/>
    <w:rsid w:val="00B16D16"/>
    <w:rsid w:val="00B3055C"/>
    <w:rsid w:val="00B522A6"/>
    <w:rsid w:val="00B6034E"/>
    <w:rsid w:val="00B649CB"/>
    <w:rsid w:val="00B65411"/>
    <w:rsid w:val="00B73E40"/>
    <w:rsid w:val="00B839B7"/>
    <w:rsid w:val="00BB0A54"/>
    <w:rsid w:val="00C32C23"/>
    <w:rsid w:val="00C35AE8"/>
    <w:rsid w:val="00C40356"/>
    <w:rsid w:val="00C40C76"/>
    <w:rsid w:val="00C52E14"/>
    <w:rsid w:val="00C666BD"/>
    <w:rsid w:val="00C87BE9"/>
    <w:rsid w:val="00C91A65"/>
    <w:rsid w:val="00CA25DD"/>
    <w:rsid w:val="00CE0D10"/>
    <w:rsid w:val="00CE0E20"/>
    <w:rsid w:val="00CF33B5"/>
    <w:rsid w:val="00CF533E"/>
    <w:rsid w:val="00D0247C"/>
    <w:rsid w:val="00D122C9"/>
    <w:rsid w:val="00D1430D"/>
    <w:rsid w:val="00D84B35"/>
    <w:rsid w:val="00DA024D"/>
    <w:rsid w:val="00DA233A"/>
    <w:rsid w:val="00DB1561"/>
    <w:rsid w:val="00DE6362"/>
    <w:rsid w:val="00DE68EE"/>
    <w:rsid w:val="00DF55ED"/>
    <w:rsid w:val="00E600CF"/>
    <w:rsid w:val="00E67200"/>
    <w:rsid w:val="00E81FCB"/>
    <w:rsid w:val="00E83610"/>
    <w:rsid w:val="00E95CB2"/>
    <w:rsid w:val="00EA4DB1"/>
    <w:rsid w:val="00ED6764"/>
    <w:rsid w:val="00F207F3"/>
    <w:rsid w:val="00F226F4"/>
    <w:rsid w:val="00F44856"/>
    <w:rsid w:val="00F8107E"/>
    <w:rsid w:val="00F85361"/>
    <w:rsid w:val="00F93CB7"/>
    <w:rsid w:val="00FC3FEC"/>
    <w:rsid w:val="00FF1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9D2F"/>
  <w14:defaultImageDpi w14:val="32767"/>
  <w15:docId w15:val="{6CAF17B3-BFDF-48A3-9DCD-8F11C58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112"/>
    <w:rPr>
      <w:rFonts w:ascii="Times New Roman" w:hAnsi="Times New Roman" w:cs="Times New Roman"/>
      <w:lang w:eastAsia="de-DE"/>
    </w:rPr>
  </w:style>
  <w:style w:type="paragraph" w:styleId="berschrift1">
    <w:name w:val="heading 1"/>
    <w:basedOn w:val="Standard"/>
    <w:link w:val="berschrift1Zchn"/>
    <w:uiPriority w:val="9"/>
    <w:qFormat/>
    <w:rsid w:val="00F207F3"/>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F207F3"/>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07F3"/>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207F3"/>
    <w:rPr>
      <w:rFonts w:ascii="Times New Roman" w:hAnsi="Times New Roman" w:cs="Times New Roman"/>
      <w:b/>
      <w:bCs/>
      <w:sz w:val="36"/>
      <w:szCs w:val="36"/>
      <w:lang w:eastAsia="de-DE"/>
    </w:rPr>
  </w:style>
  <w:style w:type="character" w:styleId="Hyperlink">
    <w:name w:val="Hyperlink"/>
    <w:basedOn w:val="Absatz-Standardschriftart"/>
    <w:uiPriority w:val="99"/>
    <w:unhideWhenUsed/>
    <w:rsid w:val="00F207F3"/>
    <w:rPr>
      <w:color w:val="0000FF"/>
      <w:u w:val="single"/>
    </w:rPr>
  </w:style>
  <w:style w:type="character" w:styleId="Fett">
    <w:name w:val="Strong"/>
    <w:basedOn w:val="Absatz-Standardschriftart"/>
    <w:uiPriority w:val="22"/>
    <w:qFormat/>
    <w:rsid w:val="00F207F3"/>
    <w:rPr>
      <w:b/>
      <w:bCs/>
    </w:rPr>
  </w:style>
  <w:style w:type="paragraph" w:styleId="StandardWeb">
    <w:name w:val="Normal (Web)"/>
    <w:basedOn w:val="Standard"/>
    <w:uiPriority w:val="99"/>
    <w:semiHidden/>
    <w:unhideWhenUsed/>
    <w:rsid w:val="00F207F3"/>
    <w:pPr>
      <w:spacing w:before="100" w:beforeAutospacing="1" w:after="100" w:afterAutospacing="1"/>
    </w:pPr>
  </w:style>
  <w:style w:type="paragraph" w:styleId="Funotentext">
    <w:name w:val="footnote text"/>
    <w:basedOn w:val="Standard"/>
    <w:link w:val="FunotentextZchn"/>
    <w:uiPriority w:val="99"/>
    <w:unhideWhenUsed/>
    <w:rsid w:val="00B16D16"/>
    <w:rPr>
      <w:rFonts w:asciiTheme="minorHAnsi" w:hAnsiTheme="minorHAnsi" w:cstheme="minorBidi"/>
      <w:lang w:eastAsia="en-US"/>
    </w:rPr>
  </w:style>
  <w:style w:type="character" w:customStyle="1" w:styleId="FunotentextZchn">
    <w:name w:val="Fußnotentext Zchn"/>
    <w:basedOn w:val="Absatz-Standardschriftart"/>
    <w:link w:val="Funotentext"/>
    <w:uiPriority w:val="99"/>
    <w:rsid w:val="00B16D16"/>
  </w:style>
  <w:style w:type="character" w:styleId="Funotenzeichen">
    <w:name w:val="footnote reference"/>
    <w:basedOn w:val="Absatz-Standardschriftart"/>
    <w:uiPriority w:val="99"/>
    <w:unhideWhenUsed/>
    <w:rsid w:val="00B16D16"/>
    <w:rPr>
      <w:vertAlign w:val="superscript"/>
    </w:rPr>
  </w:style>
  <w:style w:type="paragraph" w:styleId="Sprechblasentext">
    <w:name w:val="Balloon Text"/>
    <w:basedOn w:val="Standard"/>
    <w:link w:val="SprechblasentextZchn"/>
    <w:uiPriority w:val="99"/>
    <w:semiHidden/>
    <w:unhideWhenUsed/>
    <w:rsid w:val="003174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7463"/>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317463"/>
    <w:rPr>
      <w:sz w:val="16"/>
      <w:szCs w:val="16"/>
    </w:rPr>
  </w:style>
  <w:style w:type="paragraph" w:styleId="Kommentartext">
    <w:name w:val="annotation text"/>
    <w:basedOn w:val="Standard"/>
    <w:link w:val="KommentartextZchn"/>
    <w:uiPriority w:val="99"/>
    <w:unhideWhenUsed/>
    <w:rsid w:val="00317463"/>
    <w:rPr>
      <w:sz w:val="20"/>
      <w:szCs w:val="20"/>
    </w:rPr>
  </w:style>
  <w:style w:type="character" w:customStyle="1" w:styleId="KommentartextZchn">
    <w:name w:val="Kommentartext Zchn"/>
    <w:basedOn w:val="Absatz-Standardschriftart"/>
    <w:link w:val="Kommentartext"/>
    <w:uiPriority w:val="99"/>
    <w:rsid w:val="00317463"/>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17463"/>
    <w:rPr>
      <w:b/>
      <w:bCs/>
    </w:rPr>
  </w:style>
  <w:style w:type="character" w:customStyle="1" w:styleId="KommentarthemaZchn">
    <w:name w:val="Kommentarthema Zchn"/>
    <w:basedOn w:val="KommentartextZchn"/>
    <w:link w:val="Kommentarthema"/>
    <w:uiPriority w:val="99"/>
    <w:semiHidden/>
    <w:rsid w:val="00317463"/>
    <w:rPr>
      <w:rFonts w:ascii="Times New Roman" w:hAnsi="Times New Roman" w:cs="Times New Roman"/>
      <w:b/>
      <w:bCs/>
      <w:sz w:val="20"/>
      <w:szCs w:val="20"/>
      <w:lang w:eastAsia="de-DE"/>
    </w:rPr>
  </w:style>
  <w:style w:type="paragraph" w:styleId="Listenabsatz">
    <w:name w:val="List Paragraph"/>
    <w:basedOn w:val="Standard"/>
    <w:uiPriority w:val="34"/>
    <w:qFormat/>
    <w:rsid w:val="005444CF"/>
    <w:pPr>
      <w:ind w:left="720"/>
      <w:contextualSpacing/>
    </w:pPr>
  </w:style>
  <w:style w:type="paragraph" w:styleId="berarbeitung">
    <w:name w:val="Revision"/>
    <w:hidden/>
    <w:uiPriority w:val="99"/>
    <w:semiHidden/>
    <w:rsid w:val="003C465A"/>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50698">
      <w:bodyDiv w:val="1"/>
      <w:marLeft w:val="0"/>
      <w:marRight w:val="0"/>
      <w:marTop w:val="0"/>
      <w:marBottom w:val="0"/>
      <w:divBdr>
        <w:top w:val="none" w:sz="0" w:space="0" w:color="auto"/>
        <w:left w:val="none" w:sz="0" w:space="0" w:color="auto"/>
        <w:bottom w:val="none" w:sz="0" w:space="0" w:color="auto"/>
        <w:right w:val="none" w:sz="0" w:space="0" w:color="auto"/>
      </w:divBdr>
    </w:div>
    <w:div w:id="506528730">
      <w:bodyDiv w:val="1"/>
      <w:marLeft w:val="0"/>
      <w:marRight w:val="0"/>
      <w:marTop w:val="0"/>
      <w:marBottom w:val="0"/>
      <w:divBdr>
        <w:top w:val="none" w:sz="0" w:space="0" w:color="auto"/>
        <w:left w:val="none" w:sz="0" w:space="0" w:color="auto"/>
        <w:bottom w:val="none" w:sz="0" w:space="0" w:color="auto"/>
        <w:right w:val="none" w:sz="0" w:space="0" w:color="auto"/>
      </w:divBdr>
    </w:div>
    <w:div w:id="540362061">
      <w:bodyDiv w:val="1"/>
      <w:marLeft w:val="0"/>
      <w:marRight w:val="0"/>
      <w:marTop w:val="0"/>
      <w:marBottom w:val="0"/>
      <w:divBdr>
        <w:top w:val="none" w:sz="0" w:space="0" w:color="auto"/>
        <w:left w:val="none" w:sz="0" w:space="0" w:color="auto"/>
        <w:bottom w:val="none" w:sz="0" w:space="0" w:color="auto"/>
        <w:right w:val="none" w:sz="0" w:space="0" w:color="auto"/>
      </w:divBdr>
      <w:divsChild>
        <w:div w:id="1540047717">
          <w:marLeft w:val="450"/>
          <w:marRight w:val="0"/>
          <w:marTop w:val="0"/>
          <w:marBottom w:val="75"/>
          <w:divBdr>
            <w:top w:val="none" w:sz="0" w:space="0" w:color="auto"/>
            <w:left w:val="none" w:sz="0" w:space="0" w:color="auto"/>
            <w:bottom w:val="none" w:sz="0" w:space="0" w:color="auto"/>
            <w:right w:val="none" w:sz="0" w:space="0" w:color="auto"/>
          </w:divBdr>
        </w:div>
        <w:div w:id="114175854">
          <w:marLeft w:val="0"/>
          <w:marRight w:val="0"/>
          <w:marTop w:val="150"/>
          <w:marBottom w:val="150"/>
          <w:divBdr>
            <w:top w:val="none" w:sz="0" w:space="0" w:color="auto"/>
            <w:left w:val="none" w:sz="0" w:space="0" w:color="auto"/>
            <w:bottom w:val="none" w:sz="0" w:space="0" w:color="auto"/>
            <w:right w:val="none" w:sz="0" w:space="0" w:color="auto"/>
          </w:divBdr>
        </w:div>
      </w:divsChild>
    </w:div>
    <w:div w:id="1005061754">
      <w:bodyDiv w:val="1"/>
      <w:marLeft w:val="0"/>
      <w:marRight w:val="0"/>
      <w:marTop w:val="0"/>
      <w:marBottom w:val="0"/>
      <w:divBdr>
        <w:top w:val="none" w:sz="0" w:space="0" w:color="auto"/>
        <w:left w:val="none" w:sz="0" w:space="0" w:color="auto"/>
        <w:bottom w:val="none" w:sz="0" w:space="0" w:color="auto"/>
        <w:right w:val="none" w:sz="0" w:space="0" w:color="auto"/>
      </w:divBdr>
    </w:div>
    <w:div w:id="1134064486">
      <w:bodyDiv w:val="1"/>
      <w:marLeft w:val="0"/>
      <w:marRight w:val="0"/>
      <w:marTop w:val="0"/>
      <w:marBottom w:val="0"/>
      <w:divBdr>
        <w:top w:val="none" w:sz="0" w:space="0" w:color="auto"/>
        <w:left w:val="none" w:sz="0" w:space="0" w:color="auto"/>
        <w:bottom w:val="none" w:sz="0" w:space="0" w:color="auto"/>
        <w:right w:val="none" w:sz="0" w:space="0" w:color="auto"/>
      </w:divBdr>
      <w:divsChild>
        <w:div w:id="1177648337">
          <w:marLeft w:val="0"/>
          <w:marRight w:val="0"/>
          <w:marTop w:val="0"/>
          <w:marBottom w:val="0"/>
          <w:divBdr>
            <w:top w:val="none" w:sz="0" w:space="0" w:color="auto"/>
            <w:left w:val="none" w:sz="0" w:space="0" w:color="auto"/>
            <w:bottom w:val="none" w:sz="0" w:space="0" w:color="auto"/>
            <w:right w:val="none" w:sz="0" w:space="0" w:color="auto"/>
          </w:divBdr>
        </w:div>
        <w:div w:id="5596908">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sChild>
            <w:div w:id="1786583670">
              <w:marLeft w:val="0"/>
              <w:marRight w:val="0"/>
              <w:marTop w:val="0"/>
              <w:marBottom w:val="0"/>
              <w:divBdr>
                <w:top w:val="none" w:sz="0" w:space="0" w:color="auto"/>
                <w:left w:val="none" w:sz="0" w:space="0" w:color="auto"/>
                <w:bottom w:val="none" w:sz="0" w:space="0" w:color="auto"/>
                <w:right w:val="none" w:sz="0" w:space="0" w:color="auto"/>
              </w:divBdr>
            </w:div>
          </w:divsChild>
        </w:div>
        <w:div w:id="68621866">
          <w:marLeft w:val="0"/>
          <w:marRight w:val="0"/>
          <w:marTop w:val="0"/>
          <w:marBottom w:val="0"/>
          <w:divBdr>
            <w:top w:val="none" w:sz="0" w:space="0" w:color="auto"/>
            <w:left w:val="none" w:sz="0" w:space="0" w:color="auto"/>
            <w:bottom w:val="none" w:sz="0" w:space="0" w:color="auto"/>
            <w:right w:val="none" w:sz="0" w:space="0" w:color="auto"/>
          </w:divBdr>
          <w:divsChild>
            <w:div w:id="1548100257">
              <w:marLeft w:val="0"/>
              <w:marRight w:val="0"/>
              <w:marTop w:val="0"/>
              <w:marBottom w:val="0"/>
              <w:divBdr>
                <w:top w:val="none" w:sz="0" w:space="0" w:color="auto"/>
                <w:left w:val="none" w:sz="0" w:space="0" w:color="auto"/>
                <w:bottom w:val="none" w:sz="0" w:space="0" w:color="auto"/>
                <w:right w:val="none" w:sz="0" w:space="0" w:color="auto"/>
              </w:divBdr>
            </w:div>
          </w:divsChild>
        </w:div>
        <w:div w:id="1883011869">
          <w:marLeft w:val="0"/>
          <w:marRight w:val="0"/>
          <w:marTop w:val="0"/>
          <w:marBottom w:val="0"/>
          <w:divBdr>
            <w:top w:val="none" w:sz="0" w:space="0" w:color="auto"/>
            <w:left w:val="none" w:sz="0" w:space="0" w:color="auto"/>
            <w:bottom w:val="none" w:sz="0" w:space="0" w:color="auto"/>
            <w:right w:val="none" w:sz="0" w:space="0" w:color="auto"/>
          </w:divBdr>
          <w:divsChild>
            <w:div w:id="1168059661">
              <w:marLeft w:val="0"/>
              <w:marRight w:val="0"/>
              <w:marTop w:val="0"/>
              <w:marBottom w:val="0"/>
              <w:divBdr>
                <w:top w:val="none" w:sz="0" w:space="0" w:color="auto"/>
                <w:left w:val="none" w:sz="0" w:space="0" w:color="auto"/>
                <w:bottom w:val="none" w:sz="0" w:space="0" w:color="auto"/>
                <w:right w:val="none" w:sz="0" w:space="0" w:color="auto"/>
              </w:divBdr>
            </w:div>
          </w:divsChild>
        </w:div>
        <w:div w:id="985277173">
          <w:marLeft w:val="0"/>
          <w:marRight w:val="0"/>
          <w:marTop w:val="0"/>
          <w:marBottom w:val="0"/>
          <w:divBdr>
            <w:top w:val="none" w:sz="0" w:space="0" w:color="auto"/>
            <w:left w:val="none" w:sz="0" w:space="0" w:color="auto"/>
            <w:bottom w:val="none" w:sz="0" w:space="0" w:color="auto"/>
            <w:right w:val="none" w:sz="0" w:space="0" w:color="auto"/>
          </w:divBdr>
          <w:divsChild>
            <w:div w:id="574247453">
              <w:marLeft w:val="0"/>
              <w:marRight w:val="0"/>
              <w:marTop w:val="0"/>
              <w:marBottom w:val="0"/>
              <w:divBdr>
                <w:top w:val="none" w:sz="0" w:space="0" w:color="auto"/>
                <w:left w:val="none" w:sz="0" w:space="0" w:color="auto"/>
                <w:bottom w:val="none" w:sz="0" w:space="0" w:color="auto"/>
                <w:right w:val="none" w:sz="0" w:space="0" w:color="auto"/>
              </w:divBdr>
            </w:div>
          </w:divsChild>
        </w:div>
        <w:div w:id="855121954">
          <w:marLeft w:val="0"/>
          <w:marRight w:val="0"/>
          <w:marTop w:val="0"/>
          <w:marBottom w:val="0"/>
          <w:divBdr>
            <w:top w:val="none" w:sz="0" w:space="0" w:color="auto"/>
            <w:left w:val="none" w:sz="0" w:space="0" w:color="auto"/>
            <w:bottom w:val="none" w:sz="0" w:space="0" w:color="auto"/>
            <w:right w:val="none" w:sz="0" w:space="0" w:color="auto"/>
          </w:divBdr>
          <w:divsChild>
            <w:div w:id="521284522">
              <w:marLeft w:val="0"/>
              <w:marRight w:val="0"/>
              <w:marTop w:val="0"/>
              <w:marBottom w:val="0"/>
              <w:divBdr>
                <w:top w:val="none" w:sz="0" w:space="0" w:color="auto"/>
                <w:left w:val="none" w:sz="0" w:space="0" w:color="auto"/>
                <w:bottom w:val="none" w:sz="0" w:space="0" w:color="auto"/>
                <w:right w:val="none" w:sz="0" w:space="0" w:color="auto"/>
              </w:divBdr>
            </w:div>
          </w:divsChild>
        </w:div>
        <w:div w:id="1402830684">
          <w:marLeft w:val="0"/>
          <w:marRight w:val="0"/>
          <w:marTop w:val="0"/>
          <w:marBottom w:val="0"/>
          <w:divBdr>
            <w:top w:val="none" w:sz="0" w:space="0" w:color="auto"/>
            <w:left w:val="none" w:sz="0" w:space="0" w:color="auto"/>
            <w:bottom w:val="none" w:sz="0" w:space="0" w:color="auto"/>
            <w:right w:val="none" w:sz="0" w:space="0" w:color="auto"/>
          </w:divBdr>
          <w:divsChild>
            <w:div w:id="1156529872">
              <w:marLeft w:val="0"/>
              <w:marRight w:val="0"/>
              <w:marTop w:val="0"/>
              <w:marBottom w:val="0"/>
              <w:divBdr>
                <w:top w:val="none" w:sz="0" w:space="0" w:color="auto"/>
                <w:left w:val="none" w:sz="0" w:space="0" w:color="auto"/>
                <w:bottom w:val="none" w:sz="0" w:space="0" w:color="auto"/>
                <w:right w:val="none" w:sz="0" w:space="0" w:color="auto"/>
              </w:divBdr>
            </w:div>
          </w:divsChild>
        </w:div>
        <w:div w:id="1580095304">
          <w:marLeft w:val="0"/>
          <w:marRight w:val="0"/>
          <w:marTop w:val="0"/>
          <w:marBottom w:val="0"/>
          <w:divBdr>
            <w:top w:val="none" w:sz="0" w:space="0" w:color="auto"/>
            <w:left w:val="none" w:sz="0" w:space="0" w:color="auto"/>
            <w:bottom w:val="none" w:sz="0" w:space="0" w:color="auto"/>
            <w:right w:val="none" w:sz="0" w:space="0" w:color="auto"/>
          </w:divBdr>
          <w:divsChild>
            <w:div w:id="648172946">
              <w:marLeft w:val="0"/>
              <w:marRight w:val="0"/>
              <w:marTop w:val="0"/>
              <w:marBottom w:val="0"/>
              <w:divBdr>
                <w:top w:val="none" w:sz="0" w:space="0" w:color="auto"/>
                <w:left w:val="none" w:sz="0" w:space="0" w:color="auto"/>
                <w:bottom w:val="none" w:sz="0" w:space="0" w:color="auto"/>
                <w:right w:val="none" w:sz="0" w:space="0" w:color="auto"/>
              </w:divBdr>
            </w:div>
          </w:divsChild>
        </w:div>
        <w:div w:id="1394542621">
          <w:marLeft w:val="0"/>
          <w:marRight w:val="0"/>
          <w:marTop w:val="0"/>
          <w:marBottom w:val="0"/>
          <w:divBdr>
            <w:top w:val="none" w:sz="0" w:space="0" w:color="auto"/>
            <w:left w:val="none" w:sz="0" w:space="0" w:color="auto"/>
            <w:bottom w:val="none" w:sz="0" w:space="0" w:color="auto"/>
            <w:right w:val="none" w:sz="0" w:space="0" w:color="auto"/>
          </w:divBdr>
          <w:divsChild>
            <w:div w:id="2123378350">
              <w:marLeft w:val="0"/>
              <w:marRight w:val="0"/>
              <w:marTop w:val="0"/>
              <w:marBottom w:val="0"/>
              <w:divBdr>
                <w:top w:val="none" w:sz="0" w:space="0" w:color="auto"/>
                <w:left w:val="none" w:sz="0" w:space="0" w:color="auto"/>
                <w:bottom w:val="none" w:sz="0" w:space="0" w:color="auto"/>
                <w:right w:val="none" w:sz="0" w:space="0" w:color="auto"/>
              </w:divBdr>
            </w:div>
          </w:divsChild>
        </w:div>
        <w:div w:id="1089036971">
          <w:marLeft w:val="0"/>
          <w:marRight w:val="0"/>
          <w:marTop w:val="0"/>
          <w:marBottom w:val="0"/>
          <w:divBdr>
            <w:top w:val="none" w:sz="0" w:space="0" w:color="auto"/>
            <w:left w:val="none" w:sz="0" w:space="0" w:color="auto"/>
            <w:bottom w:val="none" w:sz="0" w:space="0" w:color="auto"/>
            <w:right w:val="none" w:sz="0" w:space="0" w:color="auto"/>
          </w:divBdr>
        </w:div>
        <w:div w:id="1674334008">
          <w:marLeft w:val="0"/>
          <w:marRight w:val="0"/>
          <w:marTop w:val="0"/>
          <w:marBottom w:val="0"/>
          <w:divBdr>
            <w:top w:val="none" w:sz="0" w:space="0" w:color="auto"/>
            <w:left w:val="none" w:sz="0" w:space="0" w:color="auto"/>
            <w:bottom w:val="none" w:sz="0" w:space="0" w:color="auto"/>
            <w:right w:val="none" w:sz="0" w:space="0" w:color="auto"/>
          </w:divBdr>
        </w:div>
        <w:div w:id="1198851905">
          <w:marLeft w:val="0"/>
          <w:marRight w:val="0"/>
          <w:marTop w:val="0"/>
          <w:marBottom w:val="0"/>
          <w:divBdr>
            <w:top w:val="none" w:sz="0" w:space="0" w:color="auto"/>
            <w:left w:val="none" w:sz="0" w:space="0" w:color="auto"/>
            <w:bottom w:val="none" w:sz="0" w:space="0" w:color="auto"/>
            <w:right w:val="none" w:sz="0" w:space="0" w:color="auto"/>
          </w:divBdr>
        </w:div>
        <w:div w:id="2005401924">
          <w:marLeft w:val="0"/>
          <w:marRight w:val="0"/>
          <w:marTop w:val="0"/>
          <w:marBottom w:val="0"/>
          <w:divBdr>
            <w:top w:val="none" w:sz="0" w:space="0" w:color="auto"/>
            <w:left w:val="none" w:sz="0" w:space="0" w:color="auto"/>
            <w:bottom w:val="none" w:sz="0" w:space="0" w:color="auto"/>
            <w:right w:val="none" w:sz="0" w:space="0" w:color="auto"/>
          </w:divBdr>
          <w:divsChild>
            <w:div w:id="838614817">
              <w:marLeft w:val="0"/>
              <w:marRight w:val="0"/>
              <w:marTop w:val="0"/>
              <w:marBottom w:val="0"/>
              <w:divBdr>
                <w:top w:val="none" w:sz="0" w:space="0" w:color="auto"/>
                <w:left w:val="none" w:sz="0" w:space="0" w:color="auto"/>
                <w:bottom w:val="none" w:sz="0" w:space="0" w:color="auto"/>
                <w:right w:val="none" w:sz="0" w:space="0" w:color="auto"/>
              </w:divBdr>
              <w:divsChild>
                <w:div w:id="2097360700">
                  <w:marLeft w:val="0"/>
                  <w:marRight w:val="0"/>
                  <w:marTop w:val="0"/>
                  <w:marBottom w:val="0"/>
                  <w:divBdr>
                    <w:top w:val="none" w:sz="0" w:space="0" w:color="auto"/>
                    <w:left w:val="none" w:sz="0" w:space="0" w:color="auto"/>
                    <w:bottom w:val="none" w:sz="0" w:space="0" w:color="auto"/>
                    <w:right w:val="none" w:sz="0" w:space="0" w:color="auto"/>
                  </w:divBdr>
                  <w:divsChild>
                    <w:div w:id="1289552649">
                      <w:marLeft w:val="0"/>
                      <w:marRight w:val="0"/>
                      <w:marTop w:val="0"/>
                      <w:marBottom w:val="0"/>
                      <w:divBdr>
                        <w:top w:val="none" w:sz="0" w:space="0" w:color="auto"/>
                        <w:left w:val="none" w:sz="0" w:space="0" w:color="auto"/>
                        <w:bottom w:val="none" w:sz="0" w:space="0" w:color="auto"/>
                        <w:right w:val="none" w:sz="0" w:space="0" w:color="auto"/>
                      </w:divBdr>
                      <w:divsChild>
                        <w:div w:id="2089035841">
                          <w:marLeft w:val="0"/>
                          <w:marRight w:val="0"/>
                          <w:marTop w:val="0"/>
                          <w:marBottom w:val="0"/>
                          <w:divBdr>
                            <w:top w:val="none" w:sz="0" w:space="0" w:color="auto"/>
                            <w:left w:val="none" w:sz="0" w:space="0" w:color="auto"/>
                            <w:bottom w:val="none" w:sz="0" w:space="0" w:color="auto"/>
                            <w:right w:val="none" w:sz="0" w:space="0" w:color="auto"/>
                          </w:divBdr>
                          <w:divsChild>
                            <w:div w:id="14692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7397">
          <w:marLeft w:val="0"/>
          <w:marRight w:val="0"/>
          <w:marTop w:val="0"/>
          <w:marBottom w:val="0"/>
          <w:divBdr>
            <w:top w:val="none" w:sz="0" w:space="0" w:color="auto"/>
            <w:left w:val="none" w:sz="0" w:space="0" w:color="auto"/>
            <w:bottom w:val="none" w:sz="0" w:space="0" w:color="auto"/>
            <w:right w:val="none" w:sz="0" w:space="0" w:color="auto"/>
          </w:divBdr>
          <w:divsChild>
            <w:div w:id="764767666">
              <w:marLeft w:val="0"/>
              <w:marRight w:val="0"/>
              <w:marTop w:val="0"/>
              <w:marBottom w:val="0"/>
              <w:divBdr>
                <w:top w:val="none" w:sz="0" w:space="0" w:color="auto"/>
                <w:left w:val="none" w:sz="0" w:space="0" w:color="auto"/>
                <w:bottom w:val="none" w:sz="0" w:space="0" w:color="auto"/>
                <w:right w:val="none" w:sz="0" w:space="0" w:color="auto"/>
              </w:divBdr>
              <w:divsChild>
                <w:div w:id="2076967780">
                  <w:marLeft w:val="0"/>
                  <w:marRight w:val="0"/>
                  <w:marTop w:val="0"/>
                  <w:marBottom w:val="0"/>
                  <w:divBdr>
                    <w:top w:val="none" w:sz="0" w:space="0" w:color="auto"/>
                    <w:left w:val="none" w:sz="0" w:space="0" w:color="auto"/>
                    <w:bottom w:val="none" w:sz="0" w:space="0" w:color="auto"/>
                    <w:right w:val="none" w:sz="0" w:space="0" w:color="auto"/>
                  </w:divBdr>
                  <w:divsChild>
                    <w:div w:id="1543052089">
                      <w:marLeft w:val="0"/>
                      <w:marRight w:val="0"/>
                      <w:marTop w:val="0"/>
                      <w:marBottom w:val="0"/>
                      <w:divBdr>
                        <w:top w:val="none" w:sz="0" w:space="0" w:color="auto"/>
                        <w:left w:val="none" w:sz="0" w:space="0" w:color="auto"/>
                        <w:bottom w:val="none" w:sz="0" w:space="0" w:color="auto"/>
                        <w:right w:val="none" w:sz="0" w:space="0" w:color="auto"/>
                      </w:divBdr>
                      <w:divsChild>
                        <w:div w:id="4154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801035">
      <w:bodyDiv w:val="1"/>
      <w:marLeft w:val="0"/>
      <w:marRight w:val="0"/>
      <w:marTop w:val="0"/>
      <w:marBottom w:val="0"/>
      <w:divBdr>
        <w:top w:val="none" w:sz="0" w:space="0" w:color="auto"/>
        <w:left w:val="none" w:sz="0" w:space="0" w:color="auto"/>
        <w:bottom w:val="none" w:sz="0" w:space="0" w:color="auto"/>
        <w:right w:val="none" w:sz="0" w:space="0" w:color="auto"/>
      </w:divBdr>
    </w:div>
    <w:div w:id="1676305865">
      <w:bodyDiv w:val="1"/>
      <w:marLeft w:val="0"/>
      <w:marRight w:val="0"/>
      <w:marTop w:val="0"/>
      <w:marBottom w:val="0"/>
      <w:divBdr>
        <w:top w:val="none" w:sz="0" w:space="0" w:color="auto"/>
        <w:left w:val="none" w:sz="0" w:space="0" w:color="auto"/>
        <w:bottom w:val="none" w:sz="0" w:space="0" w:color="auto"/>
        <w:right w:val="none" w:sz="0" w:space="0" w:color="auto"/>
      </w:divBdr>
    </w:div>
    <w:div w:id="177192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066E-3428-4C75-9E49-CD361973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4234</Characters>
  <Application>Microsoft Office Word</Application>
  <DocSecurity>0</DocSecurity>
  <Lines>35</Lines>
  <Paragraphs>9</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Institutionelle Investoren</vt:lpstr>
      <vt:lpstr>    Fakten</vt:lpstr>
      <vt:lpstr>    Datenquelle</vt:lpstr>
      <vt:lpstr>    Begriffe, methodische Anmerkungen oder Lesehilfen</vt:lpstr>
      <vt:lpstr>    Tabelle: Institutionelle Investoren</vt:lpstr>
      <vt:lpstr>    Verwaltetes Vermögen von Institutionellen Investoren in OECD-Ländern, 2015, in P</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Jürgen Beyer</dc:creator>
  <cp:lastModifiedBy>Christian Hartmann</cp:lastModifiedBy>
  <cp:revision>5</cp:revision>
  <dcterms:created xsi:type="dcterms:W3CDTF">2025-05-08T07:26:00Z</dcterms:created>
  <dcterms:modified xsi:type="dcterms:W3CDTF">2025-06-09T13:13:00Z</dcterms:modified>
</cp:coreProperties>
</file>