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31CD" w14:textId="44C1C1D7" w:rsidR="004C188C" w:rsidRPr="00C8496E" w:rsidRDefault="007B2865" w:rsidP="00C8496E">
      <w:pPr>
        <w:pStyle w:val="StandardWeb"/>
        <w:numPr>
          <w:ilvl w:val="0"/>
          <w:numId w:val="5"/>
        </w:numPr>
        <w:spacing w:before="0" w:beforeAutospacing="0" w:after="0" w:afterAutospacing="0"/>
        <w:rPr>
          <w:rFonts w:ascii="Arial" w:hAnsi="Arial" w:cs="Arial"/>
          <w:b/>
          <w:color w:val="000000"/>
          <w:spacing w:val="-2"/>
        </w:rPr>
      </w:pPr>
      <w:r w:rsidRPr="00C8496E">
        <w:rPr>
          <w:rFonts w:ascii="Arial" w:hAnsi="Arial" w:cs="Arial"/>
          <w:b/>
          <w:color w:val="000000"/>
          <w:spacing w:val="-2"/>
        </w:rPr>
        <w:t xml:space="preserve">Die </w:t>
      </w:r>
      <w:r w:rsidR="00C8496E" w:rsidRPr="00C8496E">
        <w:rPr>
          <w:rFonts w:ascii="Arial" w:hAnsi="Arial" w:cs="Arial"/>
          <w:b/>
          <w:color w:val="000000"/>
          <w:spacing w:val="-2"/>
        </w:rPr>
        <w:t xml:space="preserve">Euro-Schuldenkrise </w:t>
      </w:r>
      <w:r w:rsidR="006F7236" w:rsidRPr="00C8496E">
        <w:rPr>
          <w:rFonts w:ascii="Arial" w:hAnsi="Arial" w:cs="Arial"/>
          <w:b/>
          <w:color w:val="000000"/>
          <w:spacing w:val="-2"/>
        </w:rPr>
        <w:t>begann nach der globalen Finanzkrise 2008/</w:t>
      </w:r>
      <w:r w:rsidRPr="00C8496E">
        <w:rPr>
          <w:rFonts w:ascii="Arial" w:hAnsi="Arial" w:cs="Arial"/>
          <w:b/>
          <w:color w:val="000000"/>
          <w:spacing w:val="-2"/>
        </w:rPr>
        <w:t>20</w:t>
      </w:r>
      <w:r w:rsidR="006F7236" w:rsidRPr="00C8496E">
        <w:rPr>
          <w:rFonts w:ascii="Arial" w:hAnsi="Arial" w:cs="Arial"/>
          <w:b/>
          <w:color w:val="000000"/>
          <w:spacing w:val="-2"/>
        </w:rPr>
        <w:t>09 und war durch hohe Staatsschulden, Vertrauensverluste in d</w:t>
      </w:r>
      <w:r w:rsidRPr="00C8496E">
        <w:rPr>
          <w:rFonts w:ascii="Arial" w:hAnsi="Arial" w:cs="Arial"/>
          <w:b/>
          <w:color w:val="000000"/>
          <w:spacing w:val="-2"/>
        </w:rPr>
        <w:t xml:space="preserve">ie </w:t>
      </w:r>
      <w:r w:rsidR="006F7236" w:rsidRPr="00C8496E">
        <w:rPr>
          <w:rFonts w:ascii="Arial" w:hAnsi="Arial" w:cs="Arial"/>
          <w:b/>
          <w:color w:val="000000"/>
          <w:spacing w:val="-2"/>
        </w:rPr>
        <w:t>Finanzmärkte und wirtschaftliche Ungleichgewichte innerhalb der Eurozone geprägt.</w:t>
      </w:r>
    </w:p>
    <w:p w14:paraId="3D012CD2" w14:textId="77777777" w:rsidR="007B2865" w:rsidRPr="00C8496E" w:rsidRDefault="007B2865" w:rsidP="00685E07">
      <w:pPr>
        <w:pStyle w:val="StandardWeb"/>
        <w:spacing w:before="0" w:beforeAutospacing="0" w:after="0" w:afterAutospacing="0"/>
        <w:rPr>
          <w:rFonts w:ascii="Arial" w:hAnsi="Arial" w:cs="Arial"/>
          <w:b/>
          <w:color w:val="000000"/>
          <w:spacing w:val="-2"/>
        </w:rPr>
      </w:pPr>
    </w:p>
    <w:p w14:paraId="232CD747" w14:textId="689B4D9D" w:rsidR="007B2865" w:rsidRPr="00C8496E" w:rsidRDefault="007B2865" w:rsidP="00C8496E">
      <w:pPr>
        <w:pStyle w:val="StandardWeb"/>
        <w:numPr>
          <w:ilvl w:val="0"/>
          <w:numId w:val="5"/>
        </w:numPr>
        <w:spacing w:before="0" w:beforeAutospacing="0" w:after="0" w:afterAutospacing="0"/>
        <w:rPr>
          <w:rFonts w:ascii="Arial" w:hAnsi="Arial" w:cs="Arial"/>
          <w:b/>
          <w:color w:val="000000"/>
          <w:spacing w:val="-2"/>
        </w:rPr>
      </w:pPr>
      <w:r w:rsidRPr="00C8496E">
        <w:rPr>
          <w:rFonts w:ascii="Arial" w:hAnsi="Arial" w:cs="Arial"/>
          <w:b/>
          <w:color w:val="000000"/>
          <w:spacing w:val="-2"/>
        </w:rPr>
        <w:t>Zwischen 2007 und 2014 erhöhte sich der Schuldenstand der Staaten des Euroraums insgesamt von 66,1 auf 93,5 Prozent des BIP. Dabei sind die öffentlichen Schulden in allen 20 Staaten des Euroraums gestiegen.</w:t>
      </w:r>
    </w:p>
    <w:p w14:paraId="7924108B" w14:textId="77777777" w:rsidR="00C8496E" w:rsidRPr="00C8496E" w:rsidRDefault="00C8496E" w:rsidP="007B2865">
      <w:pPr>
        <w:pStyle w:val="StandardWeb"/>
        <w:spacing w:before="0" w:beforeAutospacing="0" w:after="0" w:afterAutospacing="0"/>
        <w:rPr>
          <w:rFonts w:ascii="Arial" w:hAnsi="Arial" w:cs="Arial"/>
          <w:b/>
          <w:color w:val="000000"/>
          <w:spacing w:val="-2"/>
        </w:rPr>
      </w:pPr>
    </w:p>
    <w:p w14:paraId="779BA3DF" w14:textId="77D5254E" w:rsidR="00C8496E" w:rsidRPr="00C8496E" w:rsidRDefault="00C8496E" w:rsidP="00C8496E">
      <w:pPr>
        <w:pStyle w:val="StandardWeb"/>
        <w:numPr>
          <w:ilvl w:val="0"/>
          <w:numId w:val="5"/>
        </w:numPr>
        <w:spacing w:before="0" w:beforeAutospacing="0" w:after="0" w:afterAutospacing="0"/>
        <w:rPr>
          <w:rFonts w:ascii="Arial" w:hAnsi="Arial" w:cs="Arial"/>
          <w:b/>
          <w:color w:val="000000"/>
          <w:spacing w:val="-2"/>
        </w:rPr>
      </w:pPr>
      <w:r w:rsidRPr="00C8496E">
        <w:rPr>
          <w:rFonts w:ascii="Arial" w:hAnsi="Arial" w:cs="Arial"/>
          <w:b/>
        </w:rPr>
        <w:t xml:space="preserve">Die Krise stellte die Stabilität der Eurozone infrage, führte aber </w:t>
      </w:r>
      <w:r w:rsidR="00A40503">
        <w:rPr>
          <w:rFonts w:ascii="Arial" w:hAnsi="Arial" w:cs="Arial"/>
          <w:b/>
        </w:rPr>
        <w:t>mittel</w:t>
      </w:r>
      <w:r w:rsidRPr="00C8496E">
        <w:rPr>
          <w:rFonts w:ascii="Arial" w:hAnsi="Arial" w:cs="Arial"/>
          <w:b/>
        </w:rPr>
        <w:t>fristig zu einer stärkeren Zusammenarbeit.</w:t>
      </w:r>
    </w:p>
    <w:p w14:paraId="5173CF3B" w14:textId="77777777" w:rsidR="00034E55" w:rsidRPr="007B2865" w:rsidRDefault="00034E55" w:rsidP="00685E07">
      <w:pPr>
        <w:pStyle w:val="StandardWeb"/>
        <w:spacing w:before="0" w:beforeAutospacing="0" w:after="0" w:afterAutospacing="0"/>
        <w:rPr>
          <w:rFonts w:ascii="Arial" w:hAnsi="Arial" w:cs="Arial"/>
          <w:color w:val="000000"/>
          <w:spacing w:val="-2"/>
        </w:rPr>
      </w:pPr>
    </w:p>
    <w:p w14:paraId="658FB116" w14:textId="77777777" w:rsidR="002945E2" w:rsidRPr="00BD4613" w:rsidRDefault="00F9355C" w:rsidP="00BD1166">
      <w:pPr>
        <w:pStyle w:val="StandardWeb"/>
        <w:spacing w:before="0" w:beforeAutospacing="0" w:after="0" w:afterAutospacing="0"/>
        <w:rPr>
          <w:rFonts w:ascii="Arial" w:hAnsi="Arial" w:cs="Arial"/>
          <w:color w:val="FF0000"/>
        </w:rPr>
      </w:pPr>
      <w:r w:rsidRPr="00BD4613">
        <w:rPr>
          <w:rFonts w:ascii="Arial" w:hAnsi="Arial" w:cs="Arial"/>
          <w:color w:val="FF0000"/>
        </w:rPr>
        <w:t>Fakten</w:t>
      </w:r>
    </w:p>
    <w:p w14:paraId="54898424" w14:textId="77777777" w:rsidR="006F7236" w:rsidRPr="00566F1D" w:rsidRDefault="006F7236" w:rsidP="00BD1166">
      <w:pPr>
        <w:pStyle w:val="StandardWeb"/>
        <w:spacing w:before="0" w:beforeAutospacing="0" w:after="0" w:afterAutospacing="0"/>
        <w:rPr>
          <w:rFonts w:ascii="Arial" w:hAnsi="Arial" w:cs="Arial"/>
        </w:rPr>
      </w:pPr>
    </w:p>
    <w:p w14:paraId="77A081A0" w14:textId="0C7726F4" w:rsidR="00566F1D" w:rsidRDefault="006F7236" w:rsidP="006F7236">
      <w:pPr>
        <w:pStyle w:val="StandardWeb"/>
        <w:spacing w:before="0" w:beforeAutospacing="0" w:after="0" w:afterAutospacing="0"/>
        <w:rPr>
          <w:rFonts w:ascii="Arial" w:hAnsi="Arial" w:cs="Arial"/>
        </w:rPr>
      </w:pPr>
      <w:r w:rsidRPr="00566F1D">
        <w:rPr>
          <w:rFonts w:ascii="Arial" w:hAnsi="Arial" w:cs="Arial"/>
        </w:rPr>
        <w:t xml:space="preserve">Zu den Ursachen der Euro-Schuldenkrise </w:t>
      </w:r>
      <w:r w:rsidR="00566F1D" w:rsidRPr="00566F1D">
        <w:rPr>
          <w:rFonts w:ascii="Arial" w:hAnsi="Arial" w:cs="Arial"/>
        </w:rPr>
        <w:t>zählen</w:t>
      </w:r>
      <w:r w:rsidRPr="00566F1D">
        <w:rPr>
          <w:rFonts w:ascii="Arial" w:hAnsi="Arial" w:cs="Arial"/>
        </w:rPr>
        <w:t xml:space="preserve"> vor allem die hohe Staatsverschuldung in den </w:t>
      </w:r>
      <w:r w:rsidR="00566F1D" w:rsidRPr="00566F1D">
        <w:rPr>
          <w:rFonts w:ascii="Arial" w:hAnsi="Arial" w:cs="Arial"/>
        </w:rPr>
        <w:t xml:space="preserve">sogenannten </w:t>
      </w:r>
      <w:r w:rsidRPr="00566F1D">
        <w:rPr>
          <w:rFonts w:ascii="Arial" w:hAnsi="Arial" w:cs="Arial"/>
        </w:rPr>
        <w:t xml:space="preserve">PIIGS-Staaten </w:t>
      </w:r>
      <w:r w:rsidRPr="00566F1D">
        <w:rPr>
          <w:rFonts w:ascii="Arial" w:hAnsi="Arial" w:cs="Arial"/>
          <w:b/>
        </w:rPr>
        <w:t>P</w:t>
      </w:r>
      <w:r w:rsidRPr="00566F1D">
        <w:rPr>
          <w:rFonts w:ascii="Arial" w:hAnsi="Arial" w:cs="Arial"/>
        </w:rPr>
        <w:t>ortugal</w:t>
      </w:r>
      <w:r w:rsidR="00566F1D" w:rsidRPr="00566F1D">
        <w:rPr>
          <w:rFonts w:ascii="Arial" w:hAnsi="Arial" w:cs="Arial"/>
        </w:rPr>
        <w:t xml:space="preserve">, </w:t>
      </w:r>
      <w:r w:rsidR="00566F1D" w:rsidRPr="00566F1D">
        <w:rPr>
          <w:rFonts w:ascii="Arial" w:hAnsi="Arial" w:cs="Arial"/>
          <w:b/>
        </w:rPr>
        <w:t>I</w:t>
      </w:r>
      <w:r w:rsidR="00566F1D" w:rsidRPr="00566F1D">
        <w:rPr>
          <w:rFonts w:ascii="Arial" w:hAnsi="Arial" w:cs="Arial"/>
        </w:rPr>
        <w:t xml:space="preserve">talien, </w:t>
      </w:r>
      <w:r w:rsidR="00566F1D" w:rsidRPr="00566F1D">
        <w:rPr>
          <w:rFonts w:ascii="Arial" w:hAnsi="Arial" w:cs="Arial"/>
          <w:b/>
        </w:rPr>
        <w:t>I</w:t>
      </w:r>
      <w:r w:rsidR="00566F1D" w:rsidRPr="00566F1D">
        <w:rPr>
          <w:rFonts w:ascii="Arial" w:hAnsi="Arial" w:cs="Arial"/>
        </w:rPr>
        <w:t>rland</w:t>
      </w:r>
      <w:r w:rsidRPr="00566F1D">
        <w:rPr>
          <w:rFonts w:ascii="Arial" w:hAnsi="Arial" w:cs="Arial"/>
        </w:rPr>
        <w:t xml:space="preserve">, </w:t>
      </w:r>
      <w:r w:rsidRPr="00566F1D">
        <w:rPr>
          <w:rFonts w:ascii="Arial" w:hAnsi="Arial" w:cs="Arial"/>
          <w:b/>
        </w:rPr>
        <w:t>G</w:t>
      </w:r>
      <w:r w:rsidRPr="00566F1D">
        <w:rPr>
          <w:rFonts w:ascii="Arial" w:hAnsi="Arial" w:cs="Arial"/>
        </w:rPr>
        <w:t xml:space="preserve">riechenland und </w:t>
      </w:r>
      <w:r w:rsidRPr="00566F1D">
        <w:rPr>
          <w:rFonts w:ascii="Arial" w:hAnsi="Arial" w:cs="Arial"/>
          <w:b/>
        </w:rPr>
        <w:t>S</w:t>
      </w:r>
      <w:r w:rsidRPr="00566F1D">
        <w:rPr>
          <w:rFonts w:ascii="Arial" w:hAnsi="Arial" w:cs="Arial"/>
        </w:rPr>
        <w:t xml:space="preserve">panien sowie die </w:t>
      </w:r>
      <w:r w:rsidR="00566F1D" w:rsidRPr="00566F1D">
        <w:rPr>
          <w:rFonts w:ascii="Arial" w:hAnsi="Arial" w:cs="Arial"/>
        </w:rPr>
        <w:t xml:space="preserve">ökonomischen </w:t>
      </w:r>
      <w:r w:rsidRPr="00566F1D">
        <w:rPr>
          <w:rFonts w:ascii="Arial" w:hAnsi="Arial" w:cs="Arial"/>
        </w:rPr>
        <w:t xml:space="preserve">Ungleichgewichte innerhalb der EU. Große Leistungsbilanzdefizite in einigen Ländern (z.B. Griechenland) standen </w:t>
      </w:r>
      <w:r w:rsidR="001259E5" w:rsidRPr="00566F1D">
        <w:rPr>
          <w:rFonts w:ascii="Arial" w:hAnsi="Arial" w:cs="Arial"/>
        </w:rPr>
        <w:t>Leistungsbilanz</w:t>
      </w:r>
      <w:r w:rsidRPr="00566F1D">
        <w:rPr>
          <w:rFonts w:ascii="Arial" w:hAnsi="Arial" w:cs="Arial"/>
        </w:rPr>
        <w:t>überschüssen in anderen Ländern (z.B. Deutschland) gegenüber.</w:t>
      </w:r>
    </w:p>
    <w:p w14:paraId="0DA65448" w14:textId="77777777" w:rsidR="001259E5" w:rsidRDefault="001259E5" w:rsidP="006F7236">
      <w:pPr>
        <w:pStyle w:val="StandardWeb"/>
        <w:spacing w:before="0" w:beforeAutospacing="0" w:after="0" w:afterAutospacing="0"/>
        <w:rPr>
          <w:rFonts w:ascii="Arial" w:hAnsi="Arial" w:cs="Arial"/>
        </w:rPr>
      </w:pPr>
    </w:p>
    <w:p w14:paraId="06FC0FBD" w14:textId="496B323B" w:rsidR="006F7236" w:rsidRDefault="006F7236" w:rsidP="006F7236">
      <w:pPr>
        <w:pStyle w:val="StandardWeb"/>
        <w:spacing w:before="0" w:beforeAutospacing="0" w:after="0" w:afterAutospacing="0"/>
        <w:rPr>
          <w:rFonts w:ascii="Arial" w:hAnsi="Arial" w:cs="Arial"/>
        </w:rPr>
      </w:pPr>
      <w:r w:rsidRPr="00566F1D">
        <w:rPr>
          <w:rFonts w:ascii="Arial" w:hAnsi="Arial" w:cs="Arial"/>
        </w:rPr>
        <w:t xml:space="preserve">Die </w:t>
      </w:r>
      <w:r w:rsidR="001259E5" w:rsidRPr="00566F1D">
        <w:rPr>
          <w:rFonts w:ascii="Arial" w:hAnsi="Arial" w:cs="Arial"/>
        </w:rPr>
        <w:t xml:space="preserve">Schuldenkrise </w:t>
      </w:r>
      <w:r w:rsidR="001259E5">
        <w:rPr>
          <w:rFonts w:ascii="Arial" w:hAnsi="Arial" w:cs="Arial"/>
        </w:rPr>
        <w:t xml:space="preserve">hat dabei </w:t>
      </w:r>
      <w:r w:rsidR="0064210F">
        <w:rPr>
          <w:rFonts w:ascii="Arial" w:hAnsi="Arial" w:cs="Arial"/>
        </w:rPr>
        <w:t xml:space="preserve">in den einzelnen Staaten </w:t>
      </w:r>
      <w:r w:rsidR="001259E5">
        <w:rPr>
          <w:rFonts w:ascii="Arial" w:hAnsi="Arial" w:cs="Arial"/>
        </w:rPr>
        <w:t xml:space="preserve">sehr unterschiedlich </w:t>
      </w:r>
      <w:r w:rsidR="0064210F">
        <w:rPr>
          <w:rFonts w:ascii="Arial" w:hAnsi="Arial" w:cs="Arial"/>
        </w:rPr>
        <w:t>Gründe</w:t>
      </w:r>
      <w:r w:rsidRPr="00566F1D">
        <w:rPr>
          <w:rFonts w:ascii="Arial" w:hAnsi="Arial" w:cs="Arial"/>
        </w:rPr>
        <w:t>: In Irland induzierte die durch die globale Finanzkrise</w:t>
      </w:r>
      <w:r w:rsidR="00BD4613" w:rsidRPr="00566F1D">
        <w:rPr>
          <w:rFonts w:ascii="Arial" w:hAnsi="Arial" w:cs="Arial"/>
        </w:rPr>
        <w:t xml:space="preserve"> </w:t>
      </w:r>
      <w:r w:rsidR="00782142">
        <w:rPr>
          <w:rFonts w:ascii="Arial" w:hAnsi="Arial" w:cs="Arial"/>
        </w:rPr>
        <w:t xml:space="preserve">2008/2009 </w:t>
      </w:r>
      <w:r w:rsidRPr="00566F1D">
        <w:rPr>
          <w:rFonts w:ascii="Arial" w:hAnsi="Arial" w:cs="Arial"/>
        </w:rPr>
        <w:t xml:space="preserve">ausgelöste Bankenkrise einen beispiellosen Anstieg der Staatsverschuldung und in Spanien führten platzende Immobilienblasen zu Rettungsmaßnahmen für Banken, die die Staatsverschuldung massiv erhöhten und eine Rezession auslösten. </w:t>
      </w:r>
      <w:r w:rsidR="001259E5">
        <w:rPr>
          <w:rFonts w:ascii="Arial" w:hAnsi="Arial" w:cs="Arial"/>
        </w:rPr>
        <w:t xml:space="preserve">In </w:t>
      </w:r>
      <w:r w:rsidRPr="00566F1D">
        <w:rPr>
          <w:rFonts w:ascii="Arial" w:hAnsi="Arial" w:cs="Arial"/>
        </w:rPr>
        <w:t xml:space="preserve">Griechenland, das am stärksten </w:t>
      </w:r>
      <w:r w:rsidR="00314468" w:rsidRPr="00566F1D">
        <w:rPr>
          <w:rFonts w:ascii="Arial" w:hAnsi="Arial" w:cs="Arial"/>
        </w:rPr>
        <w:t xml:space="preserve">betroffene Land, </w:t>
      </w:r>
      <w:r w:rsidR="001259E5">
        <w:rPr>
          <w:rFonts w:ascii="Arial" w:hAnsi="Arial" w:cs="Arial"/>
        </w:rPr>
        <w:t xml:space="preserve">wurde hingegen im Jahr </w:t>
      </w:r>
      <w:r w:rsidR="00314468" w:rsidRPr="00566F1D">
        <w:rPr>
          <w:rFonts w:ascii="Arial" w:hAnsi="Arial" w:cs="Arial"/>
        </w:rPr>
        <w:t>2010</w:t>
      </w:r>
      <w:r w:rsidR="001259E5">
        <w:rPr>
          <w:rFonts w:ascii="Arial" w:hAnsi="Arial" w:cs="Arial"/>
        </w:rPr>
        <w:t xml:space="preserve"> deutlich</w:t>
      </w:r>
      <w:r w:rsidRPr="00566F1D">
        <w:rPr>
          <w:rFonts w:ascii="Arial" w:hAnsi="Arial" w:cs="Arial"/>
        </w:rPr>
        <w:t xml:space="preserve">, dass seit Jahren </w:t>
      </w:r>
      <w:r w:rsidR="00314468" w:rsidRPr="00566F1D">
        <w:rPr>
          <w:rFonts w:ascii="Arial" w:hAnsi="Arial" w:cs="Arial"/>
        </w:rPr>
        <w:t>falsche Zahlen zu den eigenen Verbindlichkeiten angegeben</w:t>
      </w:r>
      <w:r w:rsidR="001259E5">
        <w:rPr>
          <w:rFonts w:ascii="Arial" w:hAnsi="Arial" w:cs="Arial"/>
        </w:rPr>
        <w:t xml:space="preserve"> und </w:t>
      </w:r>
      <w:r w:rsidR="00314468" w:rsidRPr="00566F1D">
        <w:rPr>
          <w:rFonts w:ascii="Arial" w:hAnsi="Arial" w:cs="Arial"/>
        </w:rPr>
        <w:t>Primärdefizit</w:t>
      </w:r>
      <w:r w:rsidR="001259E5">
        <w:rPr>
          <w:rFonts w:ascii="Arial" w:hAnsi="Arial" w:cs="Arial"/>
        </w:rPr>
        <w:t>e v</w:t>
      </w:r>
      <w:r w:rsidR="00782142">
        <w:rPr>
          <w:rFonts w:ascii="Arial" w:hAnsi="Arial" w:cs="Arial"/>
        </w:rPr>
        <w:t>erschleiert</w:t>
      </w:r>
      <w:r w:rsidR="001259E5">
        <w:rPr>
          <w:rFonts w:ascii="Arial" w:hAnsi="Arial" w:cs="Arial"/>
        </w:rPr>
        <w:t xml:space="preserve"> wurden</w:t>
      </w:r>
      <w:r w:rsidR="00314468" w:rsidRPr="00566F1D">
        <w:rPr>
          <w:rFonts w:ascii="Arial" w:hAnsi="Arial" w:cs="Arial"/>
        </w:rPr>
        <w:t>.</w:t>
      </w:r>
    </w:p>
    <w:p w14:paraId="521E1C3B" w14:textId="77777777" w:rsidR="006D4498" w:rsidRDefault="006D4498" w:rsidP="006F7236">
      <w:pPr>
        <w:pStyle w:val="StandardWeb"/>
        <w:spacing w:before="0" w:beforeAutospacing="0" w:after="0" w:afterAutospacing="0"/>
        <w:rPr>
          <w:rFonts w:ascii="Arial" w:hAnsi="Arial" w:cs="Arial"/>
        </w:rPr>
      </w:pPr>
    </w:p>
    <w:p w14:paraId="52D830E5" w14:textId="59A197C1" w:rsidR="006F7236" w:rsidRDefault="006F7236" w:rsidP="006F7236">
      <w:pPr>
        <w:pStyle w:val="StandardWeb"/>
        <w:spacing w:before="0" w:beforeAutospacing="0" w:after="0" w:afterAutospacing="0"/>
        <w:rPr>
          <w:rFonts w:ascii="Arial" w:hAnsi="Arial" w:cs="Arial"/>
        </w:rPr>
      </w:pPr>
      <w:r w:rsidRPr="00BD1C81">
        <w:rPr>
          <w:rFonts w:ascii="Arial" w:hAnsi="Arial" w:cs="Arial"/>
        </w:rPr>
        <w:t xml:space="preserve">Hinzu kommt die </w:t>
      </w:r>
      <w:r w:rsidR="00C07206" w:rsidRPr="00BD1C81">
        <w:rPr>
          <w:rFonts w:ascii="Arial" w:hAnsi="Arial" w:cs="Arial"/>
        </w:rPr>
        <w:t>f</w:t>
      </w:r>
      <w:r w:rsidRPr="00BD1C81">
        <w:rPr>
          <w:rFonts w:ascii="Arial" w:hAnsi="Arial" w:cs="Arial"/>
        </w:rPr>
        <w:t>ehlende fiskalische Integration der Eurozone. Es gab keine einheitliche Haushalts- und Fiskalpolitik, die Krisen auf gesamteuropäischer Ebene hätte abfedern können</w:t>
      </w:r>
      <w:r w:rsidR="0064210F">
        <w:rPr>
          <w:rFonts w:ascii="Arial" w:hAnsi="Arial" w:cs="Arial"/>
        </w:rPr>
        <w:t>,</w:t>
      </w:r>
      <w:r w:rsidR="006D4498">
        <w:rPr>
          <w:rFonts w:ascii="Arial" w:hAnsi="Arial" w:cs="Arial"/>
        </w:rPr>
        <w:t xml:space="preserve"> und auch </w:t>
      </w:r>
      <w:r w:rsidRPr="00BD1C81">
        <w:rPr>
          <w:rFonts w:ascii="Arial" w:hAnsi="Arial" w:cs="Arial"/>
        </w:rPr>
        <w:t>keine institutionalisierten Rettungs- oder Hilfsmaßnahmen</w:t>
      </w:r>
      <w:r w:rsidR="006D4498">
        <w:rPr>
          <w:rFonts w:ascii="Arial" w:hAnsi="Arial" w:cs="Arial"/>
        </w:rPr>
        <w:t>. I</w:t>
      </w:r>
      <w:r w:rsidRPr="00BD1C81">
        <w:rPr>
          <w:rFonts w:ascii="Arial" w:hAnsi="Arial" w:cs="Arial"/>
        </w:rPr>
        <w:t>m Gegenteil</w:t>
      </w:r>
      <w:r w:rsidR="006D4498">
        <w:rPr>
          <w:rFonts w:ascii="Arial" w:hAnsi="Arial" w:cs="Arial"/>
        </w:rPr>
        <w:t xml:space="preserve"> </w:t>
      </w:r>
      <w:r w:rsidR="00BD1C81" w:rsidRPr="00BD1C81">
        <w:rPr>
          <w:rFonts w:ascii="Arial" w:hAnsi="Arial" w:cs="Arial"/>
        </w:rPr>
        <w:t xml:space="preserve">ist </w:t>
      </w:r>
      <w:r w:rsidRPr="00BD1C81">
        <w:rPr>
          <w:rFonts w:ascii="Arial" w:hAnsi="Arial" w:cs="Arial"/>
        </w:rPr>
        <w:t>in Artikel 125 AEUV festgelegt</w:t>
      </w:r>
      <w:r w:rsidR="00BD1C81" w:rsidRPr="00BD1C81">
        <w:rPr>
          <w:rFonts w:ascii="Arial" w:hAnsi="Arial" w:cs="Arial"/>
        </w:rPr>
        <w:t xml:space="preserve">, dass weder die Union noch ein Mitgliedstaat für </w:t>
      </w:r>
      <w:r w:rsidRPr="00BD1C81">
        <w:rPr>
          <w:rFonts w:ascii="Arial" w:hAnsi="Arial" w:cs="Arial"/>
        </w:rPr>
        <w:t xml:space="preserve">die Schulden eines anderen </w:t>
      </w:r>
      <w:r w:rsidR="00BD1C81" w:rsidRPr="00BD1C81">
        <w:rPr>
          <w:rFonts w:ascii="Arial" w:hAnsi="Arial" w:cs="Arial"/>
        </w:rPr>
        <w:t xml:space="preserve">Mitgliedstaates haftet oder sie </w:t>
      </w:r>
      <w:r w:rsidRPr="00BD1C81">
        <w:rPr>
          <w:rFonts w:ascii="Arial" w:hAnsi="Arial" w:cs="Arial"/>
        </w:rPr>
        <w:t>übernehmen darf.</w:t>
      </w:r>
    </w:p>
    <w:p w14:paraId="27479D95" w14:textId="77777777" w:rsidR="006D4498" w:rsidRDefault="006D4498" w:rsidP="006F7236">
      <w:pPr>
        <w:pStyle w:val="StandardWeb"/>
        <w:spacing w:before="0" w:beforeAutospacing="0" w:after="0" w:afterAutospacing="0"/>
        <w:rPr>
          <w:rFonts w:ascii="Arial" w:hAnsi="Arial" w:cs="Arial"/>
        </w:rPr>
      </w:pPr>
    </w:p>
    <w:p w14:paraId="3EABEEE2" w14:textId="2C4F78C9" w:rsidR="00582388" w:rsidRPr="00582388" w:rsidRDefault="00582388" w:rsidP="00314468">
      <w:pPr>
        <w:pStyle w:val="StandardWeb"/>
        <w:spacing w:before="0" w:beforeAutospacing="0" w:after="0" w:afterAutospacing="0"/>
        <w:rPr>
          <w:rFonts w:ascii="Arial" w:hAnsi="Arial" w:cs="Arial"/>
          <w:color w:val="000000"/>
          <w:spacing w:val="-2"/>
        </w:rPr>
      </w:pPr>
      <w:r w:rsidRPr="00582388">
        <w:rPr>
          <w:rFonts w:ascii="Arial" w:hAnsi="Arial" w:cs="Arial"/>
          <w:color w:val="000000"/>
          <w:spacing w:val="-2"/>
        </w:rPr>
        <w:t xml:space="preserve">Auch wenn die Entwicklungen in den einzelnen </w:t>
      </w:r>
      <w:r w:rsidR="005F31C3">
        <w:rPr>
          <w:rFonts w:ascii="Arial" w:hAnsi="Arial" w:cs="Arial"/>
          <w:color w:val="000000"/>
          <w:spacing w:val="-2"/>
        </w:rPr>
        <w:t>S</w:t>
      </w:r>
      <w:r w:rsidRPr="00582388">
        <w:rPr>
          <w:rFonts w:ascii="Arial" w:hAnsi="Arial" w:cs="Arial"/>
          <w:color w:val="000000"/>
          <w:spacing w:val="-2"/>
        </w:rPr>
        <w:t xml:space="preserve">taaten </w:t>
      </w:r>
      <w:r w:rsidR="005F31C3">
        <w:rPr>
          <w:rFonts w:ascii="Arial" w:hAnsi="Arial" w:cs="Arial"/>
          <w:color w:val="000000"/>
          <w:spacing w:val="-2"/>
        </w:rPr>
        <w:t xml:space="preserve">des Euroraums </w:t>
      </w:r>
      <w:r w:rsidRPr="00582388">
        <w:rPr>
          <w:rFonts w:ascii="Arial" w:hAnsi="Arial" w:cs="Arial"/>
          <w:color w:val="000000"/>
          <w:spacing w:val="-2"/>
        </w:rPr>
        <w:t xml:space="preserve">unterschiedlich waren, hat sich der Schuldenstand in den Jahren 2008 bis 2010 in allen Staaten erhöht. Am stärksten in Irland (+43,7 %-Punkte), Griechenland (+38,1 %-Punkte), Lettland (+29,1 %-Punkte) und Portugal (+24,6 %-Punkte). </w:t>
      </w:r>
      <w:r w:rsidR="002E75B0">
        <w:rPr>
          <w:rFonts w:ascii="Arial" w:hAnsi="Arial" w:cs="Arial"/>
          <w:color w:val="000000"/>
          <w:spacing w:val="-2"/>
        </w:rPr>
        <w:t>Z</w:t>
      </w:r>
      <w:r w:rsidR="002E75B0" w:rsidRPr="00582388">
        <w:rPr>
          <w:rFonts w:ascii="Arial" w:hAnsi="Arial" w:cs="Arial"/>
          <w:color w:val="000000"/>
          <w:spacing w:val="-2"/>
        </w:rPr>
        <w:t>wischen 20</w:t>
      </w:r>
      <w:r w:rsidR="002E75B0">
        <w:rPr>
          <w:rFonts w:ascii="Arial" w:hAnsi="Arial" w:cs="Arial"/>
          <w:color w:val="000000"/>
          <w:spacing w:val="-2"/>
        </w:rPr>
        <w:t>07</w:t>
      </w:r>
      <w:r w:rsidR="002E75B0" w:rsidRPr="00582388">
        <w:rPr>
          <w:rFonts w:ascii="Arial" w:hAnsi="Arial" w:cs="Arial"/>
          <w:color w:val="000000"/>
          <w:spacing w:val="-2"/>
        </w:rPr>
        <w:t xml:space="preserve"> und 2014</w:t>
      </w:r>
      <w:r w:rsidR="002E75B0">
        <w:rPr>
          <w:rFonts w:ascii="Arial" w:hAnsi="Arial" w:cs="Arial"/>
          <w:color w:val="000000"/>
          <w:spacing w:val="-2"/>
        </w:rPr>
        <w:t xml:space="preserve"> </w:t>
      </w:r>
      <w:r w:rsidR="008E6EC4">
        <w:rPr>
          <w:rFonts w:ascii="Arial" w:hAnsi="Arial" w:cs="Arial"/>
          <w:color w:val="000000"/>
          <w:spacing w:val="-2"/>
        </w:rPr>
        <w:t>e</w:t>
      </w:r>
      <w:r w:rsidRPr="00582388">
        <w:rPr>
          <w:rFonts w:ascii="Arial" w:hAnsi="Arial" w:cs="Arial"/>
          <w:color w:val="000000"/>
          <w:spacing w:val="-2"/>
        </w:rPr>
        <w:t xml:space="preserve">rhöhte sich der Schuldenstand der </w:t>
      </w:r>
      <w:r w:rsidR="008E6EC4">
        <w:rPr>
          <w:rFonts w:ascii="Arial" w:hAnsi="Arial" w:cs="Arial"/>
          <w:color w:val="000000"/>
          <w:spacing w:val="-2"/>
        </w:rPr>
        <w:t xml:space="preserve">Staaten des Euroraums </w:t>
      </w:r>
      <w:r w:rsidR="002E75B0">
        <w:rPr>
          <w:rFonts w:ascii="Arial" w:hAnsi="Arial" w:cs="Arial"/>
          <w:color w:val="000000"/>
          <w:spacing w:val="-2"/>
        </w:rPr>
        <w:t xml:space="preserve">insgesamt </w:t>
      </w:r>
      <w:r w:rsidR="008E6EC4">
        <w:rPr>
          <w:rFonts w:ascii="Arial" w:hAnsi="Arial" w:cs="Arial"/>
          <w:color w:val="000000"/>
          <w:spacing w:val="-2"/>
        </w:rPr>
        <w:t>v</w:t>
      </w:r>
      <w:r w:rsidRPr="00582388">
        <w:rPr>
          <w:rFonts w:ascii="Arial" w:hAnsi="Arial" w:cs="Arial"/>
          <w:color w:val="000000"/>
          <w:spacing w:val="-2"/>
        </w:rPr>
        <w:t xml:space="preserve">on </w:t>
      </w:r>
      <w:r w:rsidR="008E6EC4">
        <w:rPr>
          <w:rFonts w:ascii="Arial" w:hAnsi="Arial" w:cs="Arial"/>
          <w:color w:val="000000"/>
          <w:spacing w:val="-2"/>
        </w:rPr>
        <w:t>66,1</w:t>
      </w:r>
      <w:r w:rsidRPr="00582388">
        <w:rPr>
          <w:rFonts w:ascii="Arial" w:hAnsi="Arial" w:cs="Arial"/>
          <w:color w:val="000000"/>
          <w:spacing w:val="-2"/>
        </w:rPr>
        <w:t xml:space="preserve"> auf </w:t>
      </w:r>
      <w:r w:rsidR="008E6EC4">
        <w:rPr>
          <w:rFonts w:ascii="Arial" w:hAnsi="Arial" w:cs="Arial"/>
          <w:color w:val="000000"/>
          <w:spacing w:val="-2"/>
        </w:rPr>
        <w:t xml:space="preserve">93,5 </w:t>
      </w:r>
      <w:r w:rsidRPr="00582388">
        <w:rPr>
          <w:rFonts w:ascii="Arial" w:hAnsi="Arial" w:cs="Arial"/>
          <w:color w:val="000000"/>
          <w:spacing w:val="-2"/>
        </w:rPr>
        <w:t xml:space="preserve">Prozent des BIP – ein Plus von </w:t>
      </w:r>
      <w:r w:rsidR="008E6EC4">
        <w:rPr>
          <w:rFonts w:ascii="Arial" w:hAnsi="Arial" w:cs="Arial"/>
          <w:color w:val="000000"/>
          <w:spacing w:val="-2"/>
        </w:rPr>
        <w:t>27,4</w:t>
      </w:r>
      <w:r w:rsidRPr="00582388">
        <w:rPr>
          <w:rFonts w:ascii="Arial" w:hAnsi="Arial" w:cs="Arial"/>
          <w:color w:val="000000"/>
          <w:spacing w:val="-2"/>
        </w:rPr>
        <w:t xml:space="preserve"> Prozentpunkten. </w:t>
      </w:r>
      <w:r w:rsidR="002E75B0">
        <w:rPr>
          <w:rFonts w:ascii="Arial" w:hAnsi="Arial" w:cs="Arial"/>
          <w:color w:val="000000"/>
          <w:spacing w:val="-2"/>
        </w:rPr>
        <w:t>Auch i</w:t>
      </w:r>
      <w:r w:rsidRPr="00582388">
        <w:rPr>
          <w:rFonts w:ascii="Arial" w:hAnsi="Arial" w:cs="Arial"/>
          <w:color w:val="000000"/>
          <w:spacing w:val="-2"/>
        </w:rPr>
        <w:t xml:space="preserve">n diesem Zeitraum stiegen die öffentlichen Schulden im Verhältnis zum BIP in </w:t>
      </w:r>
      <w:r w:rsidR="008E6EC4">
        <w:rPr>
          <w:rFonts w:ascii="Arial" w:hAnsi="Arial" w:cs="Arial"/>
          <w:color w:val="000000"/>
          <w:spacing w:val="-2"/>
        </w:rPr>
        <w:t>allen 20 Staaten des Euroraums</w:t>
      </w:r>
      <w:r w:rsidRPr="00582388">
        <w:rPr>
          <w:rFonts w:ascii="Arial" w:hAnsi="Arial" w:cs="Arial"/>
          <w:color w:val="000000"/>
          <w:spacing w:val="-2"/>
        </w:rPr>
        <w:t>.</w:t>
      </w:r>
    </w:p>
    <w:p w14:paraId="64F819A2" w14:textId="77777777" w:rsidR="00582388" w:rsidRDefault="00582388" w:rsidP="00314468">
      <w:pPr>
        <w:pStyle w:val="StandardWeb"/>
        <w:spacing w:before="0" w:beforeAutospacing="0" w:after="0" w:afterAutospacing="0"/>
        <w:rPr>
          <w:rFonts w:ascii="Arial" w:hAnsi="Arial" w:cs="Arial"/>
        </w:rPr>
      </w:pPr>
    </w:p>
    <w:p w14:paraId="4BE28BE2" w14:textId="5CC89794" w:rsidR="00314468" w:rsidRPr="004C0672" w:rsidRDefault="003D659D" w:rsidP="00314468">
      <w:pPr>
        <w:pStyle w:val="StandardWeb"/>
        <w:spacing w:before="0" w:beforeAutospacing="0" w:after="0" w:afterAutospacing="0"/>
        <w:rPr>
          <w:rFonts w:ascii="Arial" w:hAnsi="Arial" w:cs="Arial"/>
        </w:rPr>
      </w:pPr>
      <w:r w:rsidRPr="004C0672">
        <w:rPr>
          <w:rFonts w:ascii="Arial" w:hAnsi="Arial" w:cs="Arial"/>
        </w:rPr>
        <w:t xml:space="preserve">Wie oben bereits erwähnt, </w:t>
      </w:r>
      <w:r w:rsidR="006F7236" w:rsidRPr="004C0672">
        <w:rPr>
          <w:rFonts w:ascii="Arial" w:hAnsi="Arial" w:cs="Arial"/>
        </w:rPr>
        <w:t xml:space="preserve">offenbarte Griechenland </w:t>
      </w:r>
      <w:r w:rsidRPr="004C0672">
        <w:rPr>
          <w:rFonts w:ascii="Arial" w:hAnsi="Arial" w:cs="Arial"/>
        </w:rPr>
        <w:t xml:space="preserve">im Jahr 2010 </w:t>
      </w:r>
      <w:r w:rsidR="006F7236" w:rsidRPr="004C0672">
        <w:rPr>
          <w:rFonts w:ascii="Arial" w:hAnsi="Arial" w:cs="Arial"/>
        </w:rPr>
        <w:t xml:space="preserve">eine stark unterschätzte Verschuldung. Der </w:t>
      </w:r>
      <w:r w:rsidRPr="004C0672">
        <w:rPr>
          <w:rFonts w:ascii="Arial" w:hAnsi="Arial" w:cs="Arial"/>
        </w:rPr>
        <w:t xml:space="preserve">hierdurch ausgelöste </w:t>
      </w:r>
      <w:r w:rsidR="006F7236" w:rsidRPr="004C0672">
        <w:rPr>
          <w:rFonts w:ascii="Arial" w:hAnsi="Arial" w:cs="Arial"/>
        </w:rPr>
        <w:t>Vertrauensverlust führte zu steigenden Zinsen für Staatsanleihen, was Griechenland an den Rand der Zahlungsunfähigkeit brachte.</w:t>
      </w:r>
      <w:r w:rsidR="00314468" w:rsidRPr="004C0672">
        <w:rPr>
          <w:rFonts w:ascii="Arial" w:hAnsi="Arial" w:cs="Arial"/>
        </w:rPr>
        <w:t xml:space="preserve"> </w:t>
      </w:r>
      <w:r w:rsidR="006F7236" w:rsidRPr="004C0672">
        <w:rPr>
          <w:rFonts w:ascii="Arial" w:hAnsi="Arial" w:cs="Arial"/>
        </w:rPr>
        <w:t>Die EU</w:t>
      </w:r>
      <w:r w:rsidR="00314468" w:rsidRPr="004C0672">
        <w:rPr>
          <w:rFonts w:ascii="Arial" w:hAnsi="Arial" w:cs="Arial"/>
        </w:rPr>
        <w:t>, einzelne Länder</w:t>
      </w:r>
      <w:r w:rsidR="006F7236" w:rsidRPr="004C0672">
        <w:rPr>
          <w:rFonts w:ascii="Arial" w:hAnsi="Arial" w:cs="Arial"/>
        </w:rPr>
        <w:t xml:space="preserve"> und der Internationale Währungsfonds (IWF) schnürten mehrere Rettungspakete für Griechenlan</w:t>
      </w:r>
      <w:r w:rsidR="00314468" w:rsidRPr="004C0672">
        <w:rPr>
          <w:rFonts w:ascii="Arial" w:hAnsi="Arial" w:cs="Arial"/>
        </w:rPr>
        <w:t xml:space="preserve">d, Irland, Portugal und Spanien, während die </w:t>
      </w:r>
      <w:r w:rsidR="006F7236" w:rsidRPr="004C0672">
        <w:rPr>
          <w:rFonts w:ascii="Arial" w:hAnsi="Arial" w:cs="Arial"/>
        </w:rPr>
        <w:t>Troika</w:t>
      </w:r>
      <w:r w:rsidR="00BD1C81" w:rsidRPr="004C0672">
        <w:rPr>
          <w:rFonts w:ascii="Arial" w:hAnsi="Arial" w:cs="Arial"/>
        </w:rPr>
        <w:t xml:space="preserve"> – </w:t>
      </w:r>
      <w:r w:rsidR="00314468" w:rsidRPr="004C0672">
        <w:rPr>
          <w:rFonts w:ascii="Arial" w:hAnsi="Arial" w:cs="Arial"/>
        </w:rPr>
        <w:t xml:space="preserve">bestehend aus </w:t>
      </w:r>
      <w:r w:rsidR="006F7236" w:rsidRPr="004C0672">
        <w:rPr>
          <w:rFonts w:ascii="Arial" w:hAnsi="Arial" w:cs="Arial"/>
        </w:rPr>
        <w:t xml:space="preserve">EU-Kommission, </w:t>
      </w:r>
      <w:r w:rsidR="006F7236" w:rsidRPr="004C0672">
        <w:rPr>
          <w:rFonts w:ascii="Arial" w:hAnsi="Arial" w:cs="Arial"/>
        </w:rPr>
        <w:lastRenderedPageBreak/>
        <w:t>Europäische</w:t>
      </w:r>
      <w:r w:rsidR="00314468" w:rsidRPr="004C0672">
        <w:rPr>
          <w:rFonts w:ascii="Arial" w:hAnsi="Arial" w:cs="Arial"/>
        </w:rPr>
        <w:t>r</w:t>
      </w:r>
      <w:r w:rsidR="006F7236" w:rsidRPr="004C0672">
        <w:rPr>
          <w:rFonts w:ascii="Arial" w:hAnsi="Arial" w:cs="Arial"/>
        </w:rPr>
        <w:t xml:space="preserve"> Zentralbank (EZB) und IWF</w:t>
      </w:r>
      <w:r w:rsidR="00BD1C81" w:rsidRPr="004C0672">
        <w:rPr>
          <w:rFonts w:ascii="Arial" w:hAnsi="Arial" w:cs="Arial"/>
        </w:rPr>
        <w:t xml:space="preserve"> –</w:t>
      </w:r>
      <w:r w:rsidR="006F7236" w:rsidRPr="004C0672">
        <w:rPr>
          <w:rFonts w:ascii="Arial" w:hAnsi="Arial" w:cs="Arial"/>
        </w:rPr>
        <w:t xml:space="preserve"> die Umsetzung der Sparmaßnahmen und Reformen in den betroffenen Ländern</w:t>
      </w:r>
      <w:r w:rsidR="00314468" w:rsidRPr="004C0672">
        <w:rPr>
          <w:rFonts w:ascii="Arial" w:hAnsi="Arial" w:cs="Arial"/>
        </w:rPr>
        <w:t xml:space="preserve"> überwachte</w:t>
      </w:r>
      <w:r w:rsidR="006F7236" w:rsidRPr="004C0672">
        <w:rPr>
          <w:rFonts w:ascii="Arial" w:hAnsi="Arial" w:cs="Arial"/>
        </w:rPr>
        <w:t>.</w:t>
      </w:r>
      <w:r w:rsidR="00314468" w:rsidRPr="004C0672">
        <w:rPr>
          <w:rFonts w:ascii="Arial" w:hAnsi="Arial" w:cs="Arial"/>
        </w:rPr>
        <w:t xml:space="preserve"> Ein dauerhafter Rettungsschirm</w:t>
      </w:r>
      <w:r w:rsidRPr="004C0672">
        <w:rPr>
          <w:rFonts w:ascii="Arial" w:hAnsi="Arial" w:cs="Arial"/>
        </w:rPr>
        <w:t xml:space="preserve"> – </w:t>
      </w:r>
      <w:r w:rsidR="00314468" w:rsidRPr="004C0672">
        <w:rPr>
          <w:rFonts w:ascii="Arial" w:hAnsi="Arial" w:cs="Arial"/>
        </w:rPr>
        <w:t>der Europäische Stabilitätsmechanismus (ESM</w:t>
      </w:r>
      <w:r w:rsidRPr="004C0672">
        <w:rPr>
          <w:rFonts w:ascii="Arial" w:hAnsi="Arial" w:cs="Arial"/>
        </w:rPr>
        <w:t xml:space="preserve"> </w:t>
      </w:r>
      <w:r w:rsidR="00314468" w:rsidRPr="004C0672">
        <w:rPr>
          <w:rFonts w:ascii="Arial" w:hAnsi="Arial" w:cs="Arial"/>
        </w:rPr>
        <w:t>)</w:t>
      </w:r>
      <w:r w:rsidRPr="004C0672">
        <w:rPr>
          <w:rFonts w:ascii="Arial" w:hAnsi="Arial" w:cs="Arial"/>
        </w:rPr>
        <w:t xml:space="preserve"> – w</w:t>
      </w:r>
      <w:r w:rsidR="00314468" w:rsidRPr="004C0672">
        <w:rPr>
          <w:rFonts w:ascii="Arial" w:hAnsi="Arial" w:cs="Arial"/>
        </w:rPr>
        <w:t>urde eingerichtet, um zukünftige Krisen zu bewältigen. Dieser kann Ländern mit Liquiditätsengpässen vergünstigte Kredite im Gesamtvolumen von bis zu 500</w:t>
      </w:r>
      <w:r w:rsidR="00C07206" w:rsidRPr="004C0672">
        <w:rPr>
          <w:rFonts w:ascii="Arial" w:hAnsi="Arial" w:cs="Arial"/>
        </w:rPr>
        <w:t xml:space="preserve"> </w:t>
      </w:r>
      <w:r w:rsidRPr="004C0672">
        <w:rPr>
          <w:rFonts w:ascii="Arial" w:hAnsi="Arial" w:cs="Arial"/>
        </w:rPr>
        <w:t xml:space="preserve">Milliarden Euro </w:t>
      </w:r>
      <w:r w:rsidR="00314468" w:rsidRPr="004C0672">
        <w:rPr>
          <w:rFonts w:ascii="Arial" w:hAnsi="Arial" w:cs="Arial"/>
        </w:rPr>
        <w:t>gewähren. Bei großen Krisen</w:t>
      </w:r>
      <w:r w:rsidRPr="004C0672">
        <w:rPr>
          <w:rFonts w:ascii="Arial" w:hAnsi="Arial" w:cs="Arial"/>
        </w:rPr>
        <w:t xml:space="preserve"> – zum Beispiel in </w:t>
      </w:r>
      <w:r w:rsidR="00314468" w:rsidRPr="004C0672">
        <w:rPr>
          <w:rFonts w:ascii="Arial" w:hAnsi="Arial" w:cs="Arial"/>
        </w:rPr>
        <w:t xml:space="preserve">Italien oder Frankreich </w:t>
      </w:r>
      <w:r w:rsidRPr="004C0672">
        <w:rPr>
          <w:rFonts w:ascii="Arial" w:hAnsi="Arial" w:cs="Arial"/>
        </w:rPr>
        <w:t xml:space="preserve">– </w:t>
      </w:r>
      <w:r w:rsidR="00314468" w:rsidRPr="004C0672">
        <w:rPr>
          <w:rFonts w:ascii="Arial" w:hAnsi="Arial" w:cs="Arial"/>
        </w:rPr>
        <w:t>wäre dieses Volumen aber definitiv nicht ausreichend. Zusätzlich startete d</w:t>
      </w:r>
      <w:r w:rsidR="006F7236" w:rsidRPr="004C0672">
        <w:rPr>
          <w:rFonts w:ascii="Arial" w:hAnsi="Arial" w:cs="Arial"/>
        </w:rPr>
        <w:t xml:space="preserve">ie EZB </w:t>
      </w:r>
      <w:r w:rsidR="00314468" w:rsidRPr="004C0672">
        <w:rPr>
          <w:rFonts w:ascii="Arial" w:hAnsi="Arial" w:cs="Arial"/>
        </w:rPr>
        <w:t xml:space="preserve">massive </w:t>
      </w:r>
      <w:r w:rsidR="006F7236" w:rsidRPr="004C0672">
        <w:rPr>
          <w:rFonts w:ascii="Arial" w:hAnsi="Arial" w:cs="Arial"/>
        </w:rPr>
        <w:t xml:space="preserve">Programme zum Aufkauf von Staatsanleihen, um die Zinsen zu senken und </w:t>
      </w:r>
      <w:r w:rsidRPr="004C0672">
        <w:rPr>
          <w:rFonts w:ascii="Arial" w:hAnsi="Arial" w:cs="Arial"/>
        </w:rPr>
        <w:t xml:space="preserve">das </w:t>
      </w:r>
      <w:r w:rsidR="006F7236" w:rsidRPr="004C0672">
        <w:rPr>
          <w:rFonts w:ascii="Arial" w:hAnsi="Arial" w:cs="Arial"/>
        </w:rPr>
        <w:t>Vertrauen in die Märkte zurückzugewinnen.</w:t>
      </w:r>
      <w:r w:rsidR="00314468" w:rsidRPr="004C0672">
        <w:rPr>
          <w:rFonts w:ascii="Arial" w:hAnsi="Arial" w:cs="Arial"/>
        </w:rPr>
        <w:t xml:space="preserve"> Zeitweise hatte die EZB rund die Hälfte aller Staatsschulden der Eurozone in Ihrer Bilanz.</w:t>
      </w:r>
    </w:p>
    <w:p w14:paraId="4D1D3EA8" w14:textId="77777777" w:rsidR="00314468" w:rsidRPr="004C0672" w:rsidRDefault="00314468" w:rsidP="00314468">
      <w:pPr>
        <w:pStyle w:val="StandardWeb"/>
        <w:spacing w:before="0" w:beforeAutospacing="0" w:after="0" w:afterAutospacing="0"/>
        <w:rPr>
          <w:rFonts w:ascii="Arial" w:hAnsi="Arial" w:cs="Arial"/>
        </w:rPr>
      </w:pPr>
    </w:p>
    <w:p w14:paraId="1302DB32" w14:textId="390A7EBC" w:rsidR="006F7236" w:rsidRDefault="00314468" w:rsidP="009F7D59">
      <w:pPr>
        <w:pStyle w:val="StandardWeb"/>
        <w:spacing w:before="0" w:beforeAutospacing="0" w:after="0" w:afterAutospacing="0"/>
        <w:rPr>
          <w:rFonts w:ascii="Arial" w:hAnsi="Arial" w:cs="Arial"/>
        </w:rPr>
      </w:pPr>
      <w:r w:rsidRPr="004C0672">
        <w:rPr>
          <w:rFonts w:ascii="Arial" w:hAnsi="Arial" w:cs="Arial"/>
        </w:rPr>
        <w:t xml:space="preserve">Die Folgen der </w:t>
      </w:r>
      <w:r w:rsidR="00BD1C81" w:rsidRPr="004C0672">
        <w:rPr>
          <w:rFonts w:ascii="Arial" w:hAnsi="Arial" w:cs="Arial"/>
        </w:rPr>
        <w:t xml:space="preserve">strikten </w:t>
      </w:r>
      <w:r w:rsidR="006F7236" w:rsidRPr="004C0672">
        <w:rPr>
          <w:rFonts w:ascii="Arial" w:hAnsi="Arial" w:cs="Arial"/>
        </w:rPr>
        <w:t>Sparmaßnahmen</w:t>
      </w:r>
      <w:r w:rsidRPr="004C0672">
        <w:rPr>
          <w:rFonts w:ascii="Arial" w:hAnsi="Arial" w:cs="Arial"/>
        </w:rPr>
        <w:t xml:space="preserve"> (</w:t>
      </w:r>
      <w:r w:rsidR="006F7236" w:rsidRPr="004C0672">
        <w:rPr>
          <w:rFonts w:ascii="Arial" w:hAnsi="Arial" w:cs="Arial"/>
        </w:rPr>
        <w:t>Austeritätsprogramme</w:t>
      </w:r>
      <w:r w:rsidRPr="004C0672">
        <w:rPr>
          <w:rFonts w:ascii="Arial" w:hAnsi="Arial" w:cs="Arial"/>
        </w:rPr>
        <w:t xml:space="preserve">) lassen sich nur schwer von den direkten Auswirkungen der </w:t>
      </w:r>
      <w:r w:rsidR="009F7D59" w:rsidRPr="004C0672">
        <w:rPr>
          <w:rFonts w:ascii="Arial" w:hAnsi="Arial" w:cs="Arial"/>
        </w:rPr>
        <w:t>negativen Schocks durch die Nachwirkungen der globalen Finanzkrise und der allgemeinen Rezession trennen.</w:t>
      </w:r>
      <w:r w:rsidR="003D659D" w:rsidRPr="004C0672">
        <w:rPr>
          <w:rFonts w:ascii="Arial" w:hAnsi="Arial" w:cs="Arial"/>
        </w:rPr>
        <w:t xml:space="preserve"> Fest steht, dass es in vielen Krisenländern</w:t>
      </w:r>
      <w:r w:rsidR="009F7D59" w:rsidRPr="004C0672">
        <w:rPr>
          <w:rFonts w:ascii="Arial" w:hAnsi="Arial" w:cs="Arial"/>
        </w:rPr>
        <w:t xml:space="preserve"> </w:t>
      </w:r>
      <w:r w:rsidR="003D659D" w:rsidRPr="004C0672">
        <w:rPr>
          <w:rFonts w:ascii="Arial" w:hAnsi="Arial" w:cs="Arial"/>
        </w:rPr>
        <w:t xml:space="preserve">zu </w:t>
      </w:r>
      <w:r w:rsidR="006F7236" w:rsidRPr="004C0672">
        <w:rPr>
          <w:rFonts w:ascii="Arial" w:hAnsi="Arial" w:cs="Arial"/>
        </w:rPr>
        <w:t>soziale</w:t>
      </w:r>
      <w:r w:rsidR="003D659D" w:rsidRPr="004C0672">
        <w:rPr>
          <w:rFonts w:ascii="Arial" w:hAnsi="Arial" w:cs="Arial"/>
        </w:rPr>
        <w:t>n</w:t>
      </w:r>
      <w:r w:rsidR="006F7236" w:rsidRPr="004C0672">
        <w:rPr>
          <w:rFonts w:ascii="Arial" w:hAnsi="Arial" w:cs="Arial"/>
        </w:rPr>
        <w:t xml:space="preserve"> Spannungen, </w:t>
      </w:r>
      <w:r w:rsidRPr="004C0672">
        <w:rPr>
          <w:rFonts w:ascii="Arial" w:hAnsi="Arial" w:cs="Arial"/>
        </w:rPr>
        <w:t>ein</w:t>
      </w:r>
      <w:r w:rsidR="003D659D" w:rsidRPr="004C0672">
        <w:rPr>
          <w:rFonts w:ascii="Arial" w:hAnsi="Arial" w:cs="Arial"/>
        </w:rPr>
        <w:t>em</w:t>
      </w:r>
      <w:r w:rsidRPr="004C0672">
        <w:rPr>
          <w:rFonts w:ascii="Arial" w:hAnsi="Arial" w:cs="Arial"/>
        </w:rPr>
        <w:t xml:space="preserve"> Anstieg der </w:t>
      </w:r>
      <w:r w:rsidR="006F7236" w:rsidRPr="004C0672">
        <w:rPr>
          <w:rFonts w:ascii="Arial" w:hAnsi="Arial" w:cs="Arial"/>
        </w:rPr>
        <w:t xml:space="preserve">Arbeitslosigkeit und </w:t>
      </w:r>
      <w:r w:rsidR="003D659D" w:rsidRPr="004C0672">
        <w:rPr>
          <w:rFonts w:ascii="Arial" w:hAnsi="Arial" w:cs="Arial"/>
        </w:rPr>
        <w:t xml:space="preserve">zu einem </w:t>
      </w:r>
      <w:r w:rsidR="006F7236" w:rsidRPr="004C0672">
        <w:rPr>
          <w:rFonts w:ascii="Arial" w:hAnsi="Arial" w:cs="Arial"/>
        </w:rPr>
        <w:t>wirtschaftliche</w:t>
      </w:r>
      <w:r w:rsidR="003D659D" w:rsidRPr="004C0672">
        <w:rPr>
          <w:rFonts w:ascii="Arial" w:hAnsi="Arial" w:cs="Arial"/>
        </w:rPr>
        <w:t>n</w:t>
      </w:r>
      <w:r w:rsidR="006F7236" w:rsidRPr="004C0672">
        <w:rPr>
          <w:rFonts w:ascii="Arial" w:hAnsi="Arial" w:cs="Arial"/>
        </w:rPr>
        <w:t xml:space="preserve"> Abschwung</w:t>
      </w:r>
      <w:r w:rsidR="003D659D" w:rsidRPr="004C0672">
        <w:rPr>
          <w:rFonts w:ascii="Arial" w:hAnsi="Arial" w:cs="Arial"/>
        </w:rPr>
        <w:t xml:space="preserve"> kam</w:t>
      </w:r>
      <w:r w:rsidR="006F7236" w:rsidRPr="004C0672">
        <w:rPr>
          <w:rFonts w:ascii="Arial" w:hAnsi="Arial" w:cs="Arial"/>
        </w:rPr>
        <w:t>.</w:t>
      </w:r>
      <w:r w:rsidR="009F7D59" w:rsidRPr="004C0672">
        <w:rPr>
          <w:rFonts w:ascii="Arial" w:hAnsi="Arial" w:cs="Arial"/>
        </w:rPr>
        <w:t xml:space="preserve"> </w:t>
      </w:r>
      <w:r w:rsidR="006F7236" w:rsidRPr="004C0672">
        <w:rPr>
          <w:rFonts w:ascii="Arial" w:hAnsi="Arial" w:cs="Arial"/>
        </w:rPr>
        <w:t xml:space="preserve">Durch Reformen, Rettungspakete und die Maßnahmen der EZB stabilisierte sich die Eurozone </w:t>
      </w:r>
      <w:r w:rsidR="009F7D59" w:rsidRPr="004C0672">
        <w:rPr>
          <w:rFonts w:ascii="Arial" w:hAnsi="Arial" w:cs="Arial"/>
        </w:rPr>
        <w:t xml:space="preserve">jedoch </w:t>
      </w:r>
      <w:r w:rsidR="006F7236" w:rsidRPr="004C0672">
        <w:rPr>
          <w:rFonts w:ascii="Arial" w:hAnsi="Arial" w:cs="Arial"/>
        </w:rPr>
        <w:t>bis 2015 wieder.</w:t>
      </w:r>
      <w:r w:rsidR="009F7D59" w:rsidRPr="004C0672">
        <w:rPr>
          <w:rFonts w:ascii="Arial" w:hAnsi="Arial" w:cs="Arial"/>
        </w:rPr>
        <w:t xml:space="preserve"> </w:t>
      </w:r>
      <w:r w:rsidR="006F7236" w:rsidRPr="004C0672">
        <w:rPr>
          <w:rFonts w:ascii="Arial" w:hAnsi="Arial" w:cs="Arial"/>
        </w:rPr>
        <w:t xml:space="preserve">Die Krise stellte die Stabilität der Eurozone infrage, führte aber </w:t>
      </w:r>
      <w:r w:rsidR="00A40503">
        <w:rPr>
          <w:rFonts w:ascii="Arial" w:hAnsi="Arial" w:cs="Arial"/>
        </w:rPr>
        <w:t>mittel</w:t>
      </w:r>
      <w:r w:rsidR="00A40503" w:rsidRPr="004C0672">
        <w:rPr>
          <w:rFonts w:ascii="Arial" w:hAnsi="Arial" w:cs="Arial"/>
        </w:rPr>
        <w:t xml:space="preserve">fristig </w:t>
      </w:r>
      <w:r w:rsidR="006F7236" w:rsidRPr="004C0672">
        <w:rPr>
          <w:rFonts w:ascii="Arial" w:hAnsi="Arial" w:cs="Arial"/>
        </w:rPr>
        <w:t xml:space="preserve">zu einer stärkeren Zusammenarbeit, wie der Bankenunion und </w:t>
      </w:r>
      <w:r w:rsidR="003D659D" w:rsidRPr="004C0672">
        <w:rPr>
          <w:rFonts w:ascii="Arial" w:hAnsi="Arial" w:cs="Arial"/>
        </w:rPr>
        <w:t xml:space="preserve">den </w:t>
      </w:r>
      <w:r w:rsidR="006F7236" w:rsidRPr="004C0672">
        <w:rPr>
          <w:rFonts w:ascii="Arial" w:hAnsi="Arial" w:cs="Arial"/>
        </w:rPr>
        <w:t>Fiskalpakten.</w:t>
      </w:r>
      <w:r w:rsidR="009F7D59" w:rsidRPr="004C0672">
        <w:rPr>
          <w:rFonts w:ascii="Arial" w:hAnsi="Arial" w:cs="Arial"/>
        </w:rPr>
        <w:t xml:space="preserve"> </w:t>
      </w:r>
      <w:r w:rsidR="006F7236" w:rsidRPr="004C0672">
        <w:rPr>
          <w:rFonts w:ascii="Arial" w:hAnsi="Arial" w:cs="Arial"/>
        </w:rPr>
        <w:t>Die Euro-Schuldenkrise verdeutlichte die strukturellen Schwächen der Währungsunion und führte zu einer stärkeren Integration und neuen Mechanismen, um zukünftige Krisen besser zu bewältigen.</w:t>
      </w:r>
    </w:p>
    <w:p w14:paraId="62ACB8A7" w14:textId="77777777" w:rsidR="006D4498" w:rsidRDefault="006D4498" w:rsidP="009F7D59">
      <w:pPr>
        <w:pStyle w:val="StandardWeb"/>
        <w:spacing w:before="0" w:beforeAutospacing="0" w:after="0" w:afterAutospacing="0"/>
        <w:rPr>
          <w:rFonts w:ascii="Arial" w:hAnsi="Arial" w:cs="Arial"/>
        </w:rPr>
      </w:pPr>
    </w:p>
    <w:p w14:paraId="5CC96258" w14:textId="62A4696F" w:rsidR="005053FE" w:rsidRDefault="008E6EC4" w:rsidP="009F7D59">
      <w:pPr>
        <w:pStyle w:val="StandardWeb"/>
        <w:spacing w:before="0" w:beforeAutospacing="0" w:after="0" w:afterAutospacing="0"/>
        <w:rPr>
          <w:rFonts w:ascii="Arial" w:hAnsi="Arial" w:cs="Arial"/>
          <w:color w:val="000000"/>
          <w:spacing w:val="-2"/>
        </w:rPr>
      </w:pPr>
      <w:r w:rsidRPr="008E6EC4">
        <w:rPr>
          <w:rFonts w:ascii="Arial" w:hAnsi="Arial" w:cs="Arial"/>
          <w:color w:val="000000"/>
          <w:spacing w:val="-2"/>
        </w:rPr>
        <w:t xml:space="preserve">Bezogen auf das BIP gingen die Schulden im Euroraum zwischen 2014 und 2019 fünfmal in Folge zurück – von 93,5 auf 84,1 Prozent. Und auch seit dem Höhepunkt der Corona-Pandemie sank der Schuldenstand von 97,2 Prozent </w:t>
      </w:r>
      <w:r w:rsidR="002E75B0">
        <w:rPr>
          <w:rFonts w:ascii="Arial" w:hAnsi="Arial" w:cs="Arial"/>
          <w:color w:val="000000"/>
          <w:spacing w:val="-2"/>
        </w:rPr>
        <w:t xml:space="preserve">im Jahr </w:t>
      </w:r>
      <w:r w:rsidRPr="008E6EC4">
        <w:rPr>
          <w:rFonts w:ascii="Arial" w:hAnsi="Arial" w:cs="Arial"/>
          <w:color w:val="000000"/>
          <w:spacing w:val="-2"/>
        </w:rPr>
        <w:t xml:space="preserve">2020 auf 88,6 Prozent 2023. </w:t>
      </w:r>
      <w:r w:rsidR="005053FE" w:rsidRPr="005053FE">
        <w:rPr>
          <w:rFonts w:ascii="Arial" w:hAnsi="Arial" w:cs="Arial"/>
          <w:color w:val="000000"/>
          <w:spacing w:val="-2"/>
        </w:rPr>
        <w:t xml:space="preserve">In Griechenland lag der öffentliche Schuldenstand im Jahr 2023 bei 161,9 Prozent des BIP. Darauf folgten Italien (137,3 Prozent des BIP), Frankreich (110,6 Prozent), Spanien (107,7 Prozent) und Belgien (105,2 Prozent). Weitere </w:t>
      </w:r>
      <w:r>
        <w:rPr>
          <w:rFonts w:ascii="Arial" w:hAnsi="Arial" w:cs="Arial"/>
          <w:color w:val="000000"/>
          <w:spacing w:val="-2"/>
        </w:rPr>
        <w:t>sieben</w:t>
      </w:r>
      <w:r w:rsidR="005053FE" w:rsidRPr="005053FE">
        <w:rPr>
          <w:rFonts w:ascii="Arial" w:hAnsi="Arial" w:cs="Arial"/>
          <w:color w:val="000000"/>
          <w:spacing w:val="-2"/>
        </w:rPr>
        <w:t xml:space="preserve"> Staaten verfehlten die 60-Prozent-Marke ebenfalls: Portugal, Österreich, Zypern, Finnland, Slowenien, Deutschland und Kroatien. Im Jahr 2023 lag der Schuldenstand in Deutschland bei 2.623 Milliarden Euro – 63,6 Prozent des BIP. 2019 entsprach der Schuldenstand in Höhe von 2.070 Milliarden Euro 59,6 Prozent des BIP und lag damit das erste Mal seit 2002 unterhalb der 60-Prozent-Marke. In Estland lag der Schuldenstand im Jahr 2023 bei lediglich 19,6 Prozent des BIP. Darauf folgten</w:t>
      </w:r>
      <w:r>
        <w:rPr>
          <w:rFonts w:ascii="Arial" w:hAnsi="Arial" w:cs="Arial"/>
          <w:color w:val="000000"/>
          <w:spacing w:val="-2"/>
        </w:rPr>
        <w:t xml:space="preserve"> L</w:t>
      </w:r>
      <w:r w:rsidR="005053FE" w:rsidRPr="005053FE">
        <w:rPr>
          <w:rFonts w:ascii="Arial" w:hAnsi="Arial" w:cs="Arial"/>
          <w:color w:val="000000"/>
          <w:spacing w:val="-2"/>
        </w:rPr>
        <w:t>uxemburg (25,7 Prozent), Litauen und Lettland (38,3 bzw. 43,6 Prozent).</w:t>
      </w:r>
    </w:p>
    <w:p w14:paraId="5B7DDFEC" w14:textId="77777777" w:rsidR="005053FE" w:rsidRDefault="005053FE" w:rsidP="009F7D59">
      <w:pPr>
        <w:pStyle w:val="StandardWeb"/>
        <w:spacing w:before="0" w:beforeAutospacing="0" w:after="0" w:afterAutospacing="0"/>
        <w:rPr>
          <w:rFonts w:ascii="Arial" w:hAnsi="Arial" w:cs="Arial"/>
          <w:color w:val="000000"/>
          <w:spacing w:val="-2"/>
        </w:rPr>
      </w:pPr>
    </w:p>
    <w:p w14:paraId="761B811F" w14:textId="77777777" w:rsidR="002945E2" w:rsidRPr="00BD4613" w:rsidRDefault="00F9355C" w:rsidP="00027BDC">
      <w:pPr>
        <w:pStyle w:val="StandardWeb"/>
        <w:spacing w:before="0" w:beforeAutospacing="0" w:after="0" w:afterAutospacing="0"/>
        <w:rPr>
          <w:rFonts w:ascii="Arial" w:hAnsi="Arial" w:cs="Arial"/>
          <w:color w:val="FF0000"/>
          <w:lang w:val="en-US"/>
        </w:rPr>
      </w:pPr>
      <w:r w:rsidRPr="00BD4613">
        <w:rPr>
          <w:rFonts w:ascii="Arial" w:hAnsi="Arial" w:cs="Arial"/>
          <w:color w:val="FF0000"/>
          <w:lang w:val="en-US"/>
        </w:rPr>
        <w:t>Datenquelle</w:t>
      </w:r>
    </w:p>
    <w:p w14:paraId="6B2A1D8E" w14:textId="77777777" w:rsidR="009F7D59" w:rsidRPr="006D4498" w:rsidRDefault="009F7D59" w:rsidP="00027BDC">
      <w:pPr>
        <w:pStyle w:val="StandardWeb"/>
        <w:spacing w:before="0" w:beforeAutospacing="0" w:after="0" w:afterAutospacing="0"/>
        <w:rPr>
          <w:rFonts w:ascii="Arial" w:hAnsi="Arial" w:cs="Arial"/>
          <w:color w:val="000000"/>
          <w:spacing w:val="-2"/>
        </w:rPr>
      </w:pPr>
    </w:p>
    <w:p w14:paraId="6D642365" w14:textId="56173AAF" w:rsidR="00876E0A" w:rsidRPr="006D4498" w:rsidRDefault="006A40C8" w:rsidP="00876E0A">
      <w:pPr>
        <w:pStyle w:val="StandardWeb"/>
        <w:spacing w:before="0" w:beforeAutospacing="0" w:after="0" w:afterAutospacing="0"/>
        <w:rPr>
          <w:rFonts w:ascii="Arial" w:hAnsi="Arial" w:cs="Arial"/>
          <w:color w:val="000000"/>
          <w:spacing w:val="-2"/>
        </w:rPr>
      </w:pPr>
      <w:r w:rsidRPr="006D4498">
        <w:rPr>
          <w:rFonts w:ascii="Arial" w:hAnsi="Arial" w:cs="Arial"/>
          <w:color w:val="000000"/>
          <w:spacing w:val="-2"/>
        </w:rPr>
        <w:t>International Monetary Fund (IMF): World E</w:t>
      </w:r>
      <w:r w:rsidR="00117FA8" w:rsidRPr="006D4498">
        <w:rPr>
          <w:rFonts w:ascii="Arial" w:hAnsi="Arial" w:cs="Arial"/>
          <w:color w:val="000000"/>
          <w:spacing w:val="-2"/>
        </w:rPr>
        <w:t>conomic Outlook (WEO), Okt. 2024</w:t>
      </w:r>
      <w:r w:rsidR="006D4498">
        <w:rPr>
          <w:rFonts w:ascii="Arial" w:hAnsi="Arial" w:cs="Arial"/>
          <w:color w:val="000000"/>
          <w:spacing w:val="-2"/>
        </w:rPr>
        <w:t xml:space="preserve">; </w:t>
      </w:r>
      <w:r w:rsidR="009E7BAF" w:rsidRPr="006D4498">
        <w:rPr>
          <w:rFonts w:ascii="Arial" w:hAnsi="Arial" w:cs="Arial"/>
          <w:color w:val="000000"/>
          <w:spacing w:val="-2"/>
        </w:rPr>
        <w:t>Federal Reserve Bank of St. Louis:</w:t>
      </w:r>
      <w:r w:rsidR="00876E0A" w:rsidRPr="006D4498">
        <w:rPr>
          <w:rFonts w:ascii="Arial" w:hAnsi="Arial" w:cs="Arial"/>
          <w:color w:val="000000"/>
          <w:spacing w:val="-2"/>
        </w:rPr>
        <w:t xml:space="preserve"> FRED Economic Data: WALCL</w:t>
      </w:r>
      <w:r w:rsidR="006D4498">
        <w:rPr>
          <w:rFonts w:ascii="Arial" w:hAnsi="Arial" w:cs="Arial"/>
          <w:color w:val="000000"/>
          <w:spacing w:val="-2"/>
        </w:rPr>
        <w:t xml:space="preserve">; </w:t>
      </w:r>
      <w:r w:rsidR="006D4498" w:rsidRPr="006D4498">
        <w:rPr>
          <w:rFonts w:ascii="Arial" w:hAnsi="Arial" w:cs="Arial"/>
          <w:color w:val="000000"/>
          <w:spacing w:val="-2"/>
        </w:rPr>
        <w:t>Eurostat: Online-Datenbank: Defizit/Überschuss, Schuldenstand des Staates und damit zusammenhängende Daten (Stand: 04/2024)</w:t>
      </w:r>
      <w:r w:rsidR="00F00EA9">
        <w:rPr>
          <w:rFonts w:ascii="Arial" w:hAnsi="Arial" w:cs="Arial"/>
          <w:color w:val="000000"/>
          <w:spacing w:val="-2"/>
        </w:rPr>
        <w:t xml:space="preserve">; </w:t>
      </w:r>
      <w:r w:rsidR="00117FA8" w:rsidRPr="006D4498">
        <w:rPr>
          <w:rFonts w:ascii="Arial" w:hAnsi="Arial" w:cs="Arial"/>
          <w:color w:val="000000"/>
          <w:spacing w:val="-2"/>
        </w:rPr>
        <w:t xml:space="preserve">Europäische Zentralbank </w:t>
      </w:r>
      <w:r w:rsidR="00F00EA9">
        <w:rPr>
          <w:rFonts w:ascii="Arial" w:hAnsi="Arial" w:cs="Arial"/>
          <w:color w:val="000000"/>
          <w:spacing w:val="-2"/>
        </w:rPr>
        <w:t xml:space="preserve">(EZB): </w:t>
      </w:r>
      <w:r w:rsidR="00F00EA9" w:rsidRPr="00F00EA9">
        <w:rPr>
          <w:rFonts w:ascii="Arial" w:hAnsi="Arial" w:cs="Arial"/>
          <w:color w:val="000000"/>
          <w:spacing w:val="-2"/>
        </w:rPr>
        <w:t xml:space="preserve">https://data.ecb.europa.eu/ </w:t>
      </w:r>
      <w:r w:rsidR="00F00EA9">
        <w:rPr>
          <w:rFonts w:ascii="Arial" w:hAnsi="Arial" w:cs="Arial"/>
          <w:color w:val="000000"/>
          <w:spacing w:val="-2"/>
        </w:rPr>
        <w:t xml:space="preserve">; </w:t>
      </w:r>
      <w:r w:rsidR="00117FA8" w:rsidRPr="006D4498">
        <w:rPr>
          <w:rFonts w:ascii="Arial" w:hAnsi="Arial" w:cs="Arial"/>
          <w:color w:val="000000"/>
          <w:spacing w:val="-2"/>
        </w:rPr>
        <w:t xml:space="preserve">OECD: </w:t>
      </w:r>
      <w:r w:rsidR="00876E0A" w:rsidRPr="006D4498">
        <w:rPr>
          <w:rFonts w:ascii="Arial" w:hAnsi="Arial" w:cs="Arial"/>
          <w:color w:val="000000"/>
          <w:spacing w:val="-2"/>
        </w:rPr>
        <w:t>data-explorer.oecd.org: Analytical house prices indicators</w:t>
      </w:r>
    </w:p>
    <w:p w14:paraId="2755A5F5" w14:textId="77777777" w:rsidR="003305E2" w:rsidRPr="006D4498" w:rsidRDefault="003305E2" w:rsidP="00876E0A">
      <w:pPr>
        <w:pStyle w:val="StandardWeb"/>
        <w:spacing w:before="0" w:beforeAutospacing="0" w:after="0" w:afterAutospacing="0"/>
        <w:rPr>
          <w:rFonts w:ascii="Arial" w:hAnsi="Arial" w:cs="Arial"/>
          <w:color w:val="000000"/>
          <w:spacing w:val="-2"/>
        </w:rPr>
      </w:pPr>
    </w:p>
    <w:p w14:paraId="259612A8" w14:textId="77777777" w:rsidR="00854160" w:rsidRDefault="00854160" w:rsidP="00854160">
      <w:pPr>
        <w:autoSpaceDE w:val="0"/>
        <w:autoSpaceDN w:val="0"/>
        <w:adjustRightInd w:val="0"/>
        <w:rPr>
          <w:rFonts w:ascii="Arial" w:hAnsi="Arial"/>
          <w:color w:val="FF0000"/>
        </w:rPr>
      </w:pPr>
      <w:r>
        <w:rPr>
          <w:rFonts w:ascii="Arial" w:hAnsi="Arial"/>
          <w:color w:val="FF0000"/>
        </w:rPr>
        <w:t>Begriffe, methodische Anmerkungen oder Lesehilfen</w:t>
      </w:r>
    </w:p>
    <w:p w14:paraId="23B7EBC5" w14:textId="77777777" w:rsidR="00566F1D" w:rsidRPr="006D4498" w:rsidRDefault="00566F1D" w:rsidP="006D4498">
      <w:pPr>
        <w:pStyle w:val="StandardWeb"/>
        <w:spacing w:before="0" w:beforeAutospacing="0" w:after="0" w:afterAutospacing="0"/>
        <w:rPr>
          <w:rFonts w:ascii="Arial" w:hAnsi="Arial" w:cs="Arial"/>
          <w:color w:val="000000"/>
          <w:spacing w:val="-2"/>
        </w:rPr>
      </w:pPr>
    </w:p>
    <w:p w14:paraId="61DCBA0F" w14:textId="6C57DC9A" w:rsidR="00566F1D" w:rsidRPr="006D4498" w:rsidRDefault="00566F1D" w:rsidP="006D4498">
      <w:pPr>
        <w:pStyle w:val="StandardWeb"/>
        <w:spacing w:before="0" w:beforeAutospacing="0" w:after="0" w:afterAutospacing="0"/>
        <w:rPr>
          <w:rFonts w:ascii="Arial" w:hAnsi="Arial" w:cs="Arial"/>
          <w:color w:val="000000"/>
          <w:spacing w:val="-2"/>
        </w:rPr>
      </w:pPr>
      <w:r w:rsidRPr="006D4498">
        <w:rPr>
          <w:rFonts w:ascii="Arial" w:hAnsi="Arial" w:cs="Arial"/>
          <w:color w:val="000000"/>
          <w:spacing w:val="-2"/>
        </w:rPr>
        <w:t xml:space="preserve">Ein Primärüberschuss bedeutet, dass die Einnahmen ausreichen, um die Kernausgaben und dar über hinaus noch einen Teil der Zinsausgaben zu finanzieren. </w:t>
      </w:r>
      <w:r w:rsidRPr="006D4498">
        <w:rPr>
          <w:rFonts w:ascii="Arial" w:hAnsi="Arial" w:cs="Arial"/>
          <w:color w:val="000000"/>
          <w:spacing w:val="-2"/>
        </w:rPr>
        <w:lastRenderedPageBreak/>
        <w:t xml:space="preserve">Ein </w:t>
      </w:r>
      <w:r w:rsidRPr="006D4498">
        <w:rPr>
          <w:rFonts w:ascii="Arial" w:hAnsi="Arial" w:cs="Arial"/>
          <w:b/>
          <w:color w:val="000000"/>
          <w:spacing w:val="-2"/>
        </w:rPr>
        <w:t>Primärdefizit</w:t>
      </w:r>
      <w:r w:rsidRPr="006D4498">
        <w:rPr>
          <w:rFonts w:ascii="Arial" w:hAnsi="Arial" w:cs="Arial"/>
          <w:color w:val="000000"/>
          <w:spacing w:val="-2"/>
        </w:rPr>
        <w:t xml:space="preserve"> dagegen weist darauf hin, dass die Einnahmen nicht ausreichen, um die Kernausgaben zu finanzieren.</w:t>
      </w:r>
    </w:p>
    <w:p w14:paraId="0956729A" w14:textId="77777777" w:rsidR="00854160" w:rsidRPr="006D4498" w:rsidRDefault="00854160" w:rsidP="00854160">
      <w:pPr>
        <w:pStyle w:val="StandardWeb"/>
        <w:spacing w:before="0" w:beforeAutospacing="0" w:after="0" w:afterAutospacing="0"/>
        <w:rPr>
          <w:rFonts w:ascii="Arial" w:hAnsi="Arial" w:cs="Arial"/>
          <w:color w:val="000000"/>
          <w:spacing w:val="-2"/>
        </w:rPr>
      </w:pPr>
    </w:p>
    <w:p w14:paraId="0D7C65DD" w14:textId="77777777" w:rsidR="00BD4613" w:rsidRDefault="00BD4613" w:rsidP="00BD4613">
      <w:pPr>
        <w:pStyle w:val="StandardWeb"/>
        <w:spacing w:before="0" w:beforeAutospacing="0" w:after="0" w:afterAutospacing="0"/>
        <w:rPr>
          <w:rFonts w:ascii="Arial" w:hAnsi="Arial" w:cs="Arial"/>
          <w:color w:val="000000"/>
          <w:shd w:val="clear" w:color="auto" w:fill="FFFFFF"/>
          <w:lang w:val="en-US"/>
        </w:rPr>
      </w:pPr>
      <w:r w:rsidRPr="00BD4613">
        <w:rPr>
          <w:rFonts w:ascii="Arial" w:hAnsi="Arial" w:cs="Arial"/>
          <w:color w:val="000000"/>
          <w:shd w:val="clear" w:color="auto" w:fill="FFFFFF"/>
          <w:lang w:val="en-US"/>
        </w:rPr>
        <w:t xml:space="preserve">Informationen zur globalen </w:t>
      </w:r>
      <w:r w:rsidRPr="00BD4613">
        <w:rPr>
          <w:rFonts w:ascii="Arial" w:hAnsi="Arial" w:cs="Arial"/>
          <w:b/>
          <w:color w:val="000000"/>
          <w:shd w:val="clear" w:color="auto" w:fill="FFFFFF"/>
          <w:lang w:val="en-US"/>
        </w:rPr>
        <w:t>Finanz- und Wirtschaftskrise 2008/2009</w:t>
      </w:r>
      <w:r w:rsidRPr="00BD4613">
        <w:rPr>
          <w:rFonts w:ascii="Arial" w:hAnsi="Arial" w:cs="Arial"/>
          <w:color w:val="000000"/>
          <w:shd w:val="clear" w:color="auto" w:fill="FFFFFF"/>
          <w:lang w:val="en-US"/>
        </w:rPr>
        <w:t xml:space="preserve"> finden Sie hier:</w:t>
      </w:r>
      <w:r>
        <w:rPr>
          <w:rFonts w:ascii="Arial" w:hAnsi="Arial" w:cs="Arial"/>
          <w:color w:val="000000"/>
          <w:shd w:val="clear" w:color="auto" w:fill="FFFFFF"/>
          <w:lang w:val="en-US"/>
        </w:rPr>
        <w:t xml:space="preserve"> </w:t>
      </w:r>
      <w:hyperlink r:id="rId6" w:history="1">
        <w:r w:rsidRPr="00F46DA1">
          <w:rPr>
            <w:rStyle w:val="Hyperlink"/>
            <w:rFonts w:ascii="Arial" w:hAnsi="Arial" w:cs="Arial"/>
            <w:shd w:val="clear" w:color="auto" w:fill="FFFFFF"/>
            <w:lang w:val="en-US"/>
          </w:rPr>
          <w:t>http://www.bpb.de/52584</w:t>
        </w:r>
      </w:hyperlink>
    </w:p>
    <w:p w14:paraId="2EA4237F" w14:textId="77777777" w:rsidR="005053FE" w:rsidRPr="005053FE" w:rsidRDefault="005053FE" w:rsidP="00BD4613">
      <w:pPr>
        <w:pStyle w:val="StandardWeb"/>
        <w:spacing w:before="0" w:beforeAutospacing="0" w:after="0" w:afterAutospacing="0"/>
        <w:rPr>
          <w:rFonts w:ascii="Arial" w:hAnsi="Arial" w:cs="Arial"/>
          <w:color w:val="000000"/>
          <w:shd w:val="clear" w:color="auto" w:fill="FFFFFF"/>
          <w:lang w:val="en-US"/>
        </w:rPr>
      </w:pPr>
    </w:p>
    <w:p w14:paraId="69F297ED" w14:textId="3C0A69F0" w:rsidR="005053FE" w:rsidRPr="00871A68" w:rsidRDefault="005053FE" w:rsidP="00BD4613">
      <w:pPr>
        <w:pStyle w:val="StandardWeb"/>
        <w:spacing w:before="0" w:beforeAutospacing="0" w:after="0" w:afterAutospacing="0"/>
        <w:rPr>
          <w:rFonts w:ascii="Arial" w:hAnsi="Arial" w:cs="Arial"/>
          <w:color w:val="000000"/>
          <w:spacing w:val="-2"/>
        </w:rPr>
      </w:pPr>
      <w:r w:rsidRPr="005053FE">
        <w:rPr>
          <w:rFonts w:ascii="Arial" w:hAnsi="Arial" w:cs="Arial"/>
          <w:color w:val="000000"/>
          <w:spacing w:val="-2"/>
        </w:rPr>
        <w:t xml:space="preserve">In Artikel 126 des Vertrags über die Arbeitsweise der Europäischen Union (AEUV) ist festgelegt, dass die Mitgliedstaaten der EU übermäßige </w:t>
      </w:r>
      <w:r w:rsidRPr="00582388">
        <w:rPr>
          <w:rFonts w:ascii="Arial" w:hAnsi="Arial" w:cs="Arial"/>
          <w:b/>
          <w:color w:val="000000"/>
          <w:spacing w:val="-2"/>
        </w:rPr>
        <w:t>öffentliche Defizite</w:t>
      </w:r>
      <w:r w:rsidRPr="005053FE">
        <w:rPr>
          <w:rFonts w:ascii="Arial" w:hAnsi="Arial" w:cs="Arial"/>
          <w:color w:val="000000"/>
          <w:spacing w:val="-2"/>
        </w:rPr>
        <w:t xml:space="preserve"> vermeiden sollen. Dabei überprüft die Europäische Kommission die Entwicklung der Haushaltslage und die Höhe des öffentlichen Schuldenstands. Insbesondere zwei </w:t>
      </w:r>
      <w:r w:rsidRPr="00582388">
        <w:rPr>
          <w:rFonts w:ascii="Arial" w:hAnsi="Arial" w:cs="Arial"/>
          <w:b/>
          <w:color w:val="000000"/>
          <w:spacing w:val="-2"/>
        </w:rPr>
        <w:t>Kriterien</w:t>
      </w:r>
      <w:r w:rsidRPr="005053FE">
        <w:rPr>
          <w:rFonts w:ascii="Arial" w:hAnsi="Arial" w:cs="Arial"/>
          <w:color w:val="000000"/>
          <w:spacing w:val="-2"/>
        </w:rPr>
        <w:t xml:space="preserve"> stehen im Mittelpunkt der Überprüfung. Erstens darf das jährliche öffentliche Defizit nicht mehr als 3 Prozent des Bruttoinlandsprodukts (BIP) entsprechen. Zweitens darf der gesamte öffentliche Schuldenstand nicht mehr als 60 Prozent des BIP betragen. </w:t>
      </w:r>
      <w:r w:rsidRPr="00871A68">
        <w:rPr>
          <w:rFonts w:ascii="Arial" w:hAnsi="Arial" w:cs="Arial"/>
          <w:color w:val="000000"/>
          <w:spacing w:val="-2"/>
        </w:rPr>
        <w:t>Allerdings bestehen für beide Kriterien Ausnahmen.</w:t>
      </w:r>
    </w:p>
    <w:p w14:paraId="061A4406" w14:textId="77777777" w:rsidR="00582388" w:rsidRPr="00871A68" w:rsidRDefault="00582388" w:rsidP="00BD4613">
      <w:pPr>
        <w:pStyle w:val="StandardWeb"/>
        <w:spacing w:before="0" w:beforeAutospacing="0" w:after="0" w:afterAutospacing="0"/>
        <w:rPr>
          <w:rFonts w:ascii="Arial" w:hAnsi="Arial" w:cs="Arial"/>
          <w:color w:val="000000"/>
          <w:spacing w:val="-2"/>
        </w:rPr>
      </w:pPr>
    </w:p>
    <w:p w14:paraId="01E8109A" w14:textId="77777777" w:rsidR="00582388" w:rsidRDefault="00582388" w:rsidP="00871A68">
      <w:pPr>
        <w:pStyle w:val="StandardWeb"/>
        <w:spacing w:before="0" w:beforeAutospacing="0" w:after="0" w:afterAutospacing="0"/>
        <w:rPr>
          <w:rFonts w:ascii="Arial" w:hAnsi="Arial" w:cs="Arial"/>
          <w:color w:val="000000"/>
          <w:spacing w:val="-2"/>
        </w:rPr>
      </w:pPr>
      <w:r w:rsidRPr="00871A68">
        <w:rPr>
          <w:rFonts w:ascii="Arial" w:hAnsi="Arial" w:cs="Arial"/>
          <w:color w:val="000000"/>
          <w:spacing w:val="-2"/>
        </w:rPr>
        <w:t>Das </w:t>
      </w:r>
      <w:r w:rsidRPr="00871A68">
        <w:rPr>
          <w:rStyle w:val="Fett"/>
          <w:rFonts w:ascii="Arial" w:hAnsi="Arial" w:cs="Arial"/>
          <w:color w:val="000000"/>
          <w:spacing w:val="-2"/>
          <w:bdr w:val="none" w:sz="0" w:space="0" w:color="auto" w:frame="1"/>
        </w:rPr>
        <w:t>Bruttoinlandsprodukt (BIP) </w:t>
      </w:r>
      <w:r w:rsidRPr="00871A68">
        <w:rPr>
          <w:rFonts w:ascii="Arial" w:hAnsi="Arial" w:cs="Arial"/>
          <w:color w:val="000000"/>
          <w:spacing w:val="-2"/>
        </w:rPr>
        <w:t>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5E2DB051" w14:textId="77777777" w:rsidR="00871A68" w:rsidRPr="00871A68" w:rsidRDefault="00871A68" w:rsidP="00871A68">
      <w:pPr>
        <w:pStyle w:val="StandardWeb"/>
        <w:spacing w:before="0" w:beforeAutospacing="0" w:after="0" w:afterAutospacing="0"/>
        <w:rPr>
          <w:rFonts w:ascii="Arial" w:hAnsi="Arial" w:cs="Arial"/>
          <w:color w:val="000000"/>
          <w:spacing w:val="-2"/>
        </w:rPr>
      </w:pPr>
    </w:p>
    <w:p w14:paraId="06E7BBBA" w14:textId="77777777" w:rsidR="00582388" w:rsidRPr="00871A68" w:rsidRDefault="00582388" w:rsidP="00871A68">
      <w:pPr>
        <w:pStyle w:val="StandardWeb"/>
        <w:spacing w:before="0" w:beforeAutospacing="0" w:after="0" w:afterAutospacing="0"/>
        <w:rPr>
          <w:rFonts w:ascii="Arial" w:hAnsi="Arial" w:cs="Arial"/>
          <w:color w:val="000000"/>
          <w:spacing w:val="-2"/>
        </w:rPr>
      </w:pPr>
      <w:r w:rsidRPr="00871A68">
        <w:rPr>
          <w:rStyle w:val="Fett"/>
          <w:rFonts w:ascii="Arial" w:hAnsi="Arial" w:cs="Arial"/>
          <w:color w:val="000000"/>
          <w:spacing w:val="-2"/>
          <w:bdr w:val="none" w:sz="0" w:space="0" w:color="auto" w:frame="1"/>
        </w:rPr>
        <w:t>Euroraum (20 Länder):</w:t>
      </w:r>
      <w:r w:rsidRPr="00871A68">
        <w:rPr>
          <w:rFonts w:ascii="Arial" w:hAnsi="Arial" w:cs="Arial"/>
          <w:color w:val="000000"/>
          <w:spacing w:val="-2"/>
        </w:rPr>
        <w:t> Belgien, Deutschland, Estland, Finnland, Frankreich, Griechenland, Irland, Italien, Kroatien, Lettland, Litauen, Luxemburg, Malta, Niederlande, Österreich, Portugal, Slowakei, Slowenien, Spanien und Zypern.</w:t>
      </w:r>
    </w:p>
    <w:p w14:paraId="27C141C5" w14:textId="77777777" w:rsidR="00871A68" w:rsidRDefault="00871A68" w:rsidP="00871A68">
      <w:pPr>
        <w:pStyle w:val="StandardWeb"/>
        <w:spacing w:before="0" w:beforeAutospacing="0" w:after="0" w:afterAutospacing="0"/>
        <w:rPr>
          <w:rFonts w:ascii="Arial" w:hAnsi="Arial" w:cs="Arial"/>
          <w:color w:val="000000"/>
          <w:spacing w:val="-2"/>
        </w:rPr>
      </w:pPr>
    </w:p>
    <w:p w14:paraId="19487076" w14:textId="77777777" w:rsidR="00871A68" w:rsidRDefault="00582388" w:rsidP="00871A68">
      <w:pPr>
        <w:pStyle w:val="StandardWeb"/>
        <w:spacing w:before="0" w:beforeAutospacing="0" w:after="0" w:afterAutospacing="0"/>
        <w:rPr>
          <w:rFonts w:ascii="Arial" w:hAnsi="Arial" w:cs="Arial"/>
          <w:color w:val="000000"/>
          <w:spacing w:val="-2"/>
        </w:rPr>
      </w:pPr>
      <w:r w:rsidRPr="00871A68">
        <w:rPr>
          <w:rFonts w:ascii="Arial" w:hAnsi="Arial" w:cs="Arial"/>
          <w:color w:val="000000"/>
          <w:spacing w:val="-2"/>
        </w:rPr>
        <w:t>Weitere Informationen zur </w:t>
      </w:r>
      <w:r w:rsidRPr="00871A68">
        <w:rPr>
          <w:rStyle w:val="Fett"/>
          <w:rFonts w:ascii="Arial" w:hAnsi="Arial" w:cs="Arial"/>
          <w:color w:val="000000"/>
          <w:spacing w:val="-2"/>
          <w:bdr w:val="none" w:sz="0" w:space="0" w:color="auto" w:frame="1"/>
        </w:rPr>
        <w:t>Entwicklung des Euroraums</w:t>
      </w:r>
      <w:r w:rsidRPr="00871A68">
        <w:rPr>
          <w:rFonts w:ascii="Arial" w:hAnsi="Arial" w:cs="Arial"/>
          <w:color w:val="000000"/>
          <w:spacing w:val="-2"/>
        </w:rPr>
        <w:t> erhalten Sie</w:t>
      </w:r>
      <w:r w:rsidR="00871A68">
        <w:rPr>
          <w:rFonts w:ascii="Arial" w:hAnsi="Arial" w:cs="Arial"/>
          <w:color w:val="000000"/>
          <w:spacing w:val="-2"/>
        </w:rPr>
        <w:t xml:space="preserve"> hier: </w:t>
      </w:r>
    </w:p>
    <w:p w14:paraId="38B03AED" w14:textId="7B37B33C" w:rsidR="00582388" w:rsidRDefault="00871A68" w:rsidP="00BD4613">
      <w:pPr>
        <w:pStyle w:val="StandardWeb"/>
        <w:spacing w:before="0" w:beforeAutospacing="0" w:after="0" w:afterAutospacing="0"/>
        <w:rPr>
          <w:rFonts w:ascii="Arial" w:hAnsi="Arial" w:cs="Arial"/>
          <w:color w:val="000000"/>
          <w:spacing w:val="-2"/>
        </w:rPr>
      </w:pPr>
      <w:hyperlink r:id="rId7" w:history="1">
        <w:r w:rsidRPr="00DB796E">
          <w:rPr>
            <w:rStyle w:val="Hyperlink"/>
            <w:rFonts w:ascii="Arial" w:hAnsi="Arial" w:cs="Arial"/>
            <w:spacing w:val="-2"/>
          </w:rPr>
          <w:t>https://www.ecb.europa.eu/euro/intro/html/index.de.html</w:t>
        </w:r>
      </w:hyperlink>
    </w:p>
    <w:p w14:paraId="22E407C6" w14:textId="77777777" w:rsidR="00871A68" w:rsidRDefault="00871A68" w:rsidP="00BD4613">
      <w:pPr>
        <w:pStyle w:val="StandardWeb"/>
        <w:spacing w:before="0" w:beforeAutospacing="0" w:after="0" w:afterAutospacing="0"/>
        <w:rPr>
          <w:rFonts w:ascii="Arial" w:hAnsi="Arial" w:cs="Arial"/>
          <w:color w:val="000000"/>
          <w:spacing w:val="-2"/>
        </w:rPr>
      </w:pPr>
    </w:p>
    <w:p w14:paraId="16FE742D" w14:textId="77777777" w:rsidR="00BD4613" w:rsidRPr="00742BB3" w:rsidRDefault="00BD4613" w:rsidP="00BD4613">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Dieser Text ist unter der Creative Commons Lizenz CC BY-NC-ND 4.0 veröffentlicht.</w:t>
      </w:r>
    </w:p>
    <w:p w14:paraId="7DD7379C" w14:textId="4B219DCC" w:rsidR="000016BE" w:rsidRPr="00BD4613" w:rsidRDefault="00BD4613" w:rsidP="00BD4613">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Pr>
          <w:rFonts w:ascii="Arial" w:hAnsi="Arial"/>
          <w:sz w:val="20"/>
          <w:szCs w:val="20"/>
        </w:rPr>
        <w:t>5 | www.bpb.de</w:t>
      </w:r>
    </w:p>
    <w:sectPr w:rsidR="000016BE" w:rsidRPr="00BD46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D7E76"/>
    <w:multiLevelType w:val="multilevel"/>
    <w:tmpl w:val="807A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155BE4"/>
    <w:multiLevelType w:val="multilevel"/>
    <w:tmpl w:val="EE26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353476"/>
    <w:multiLevelType w:val="hybridMultilevel"/>
    <w:tmpl w:val="A27E3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400FB8"/>
    <w:multiLevelType w:val="multilevel"/>
    <w:tmpl w:val="732A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B5FE1"/>
    <w:multiLevelType w:val="multilevel"/>
    <w:tmpl w:val="1910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43975">
    <w:abstractNumId w:val="1"/>
  </w:num>
  <w:num w:numId="2" w16cid:durableId="359429995">
    <w:abstractNumId w:val="4"/>
  </w:num>
  <w:num w:numId="3" w16cid:durableId="1381710436">
    <w:abstractNumId w:val="0"/>
  </w:num>
  <w:num w:numId="4" w16cid:durableId="1021782574">
    <w:abstractNumId w:val="3"/>
  </w:num>
  <w:num w:numId="5" w16cid:durableId="200824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9E"/>
    <w:rsid w:val="000016BE"/>
    <w:rsid w:val="00027BDC"/>
    <w:rsid w:val="0003167C"/>
    <w:rsid w:val="00034E55"/>
    <w:rsid w:val="00094778"/>
    <w:rsid w:val="00096A15"/>
    <w:rsid w:val="000A19BD"/>
    <w:rsid w:val="000A31BF"/>
    <w:rsid w:val="000B4E85"/>
    <w:rsid w:val="000F2B10"/>
    <w:rsid w:val="000F4AEC"/>
    <w:rsid w:val="001011B5"/>
    <w:rsid w:val="001070A3"/>
    <w:rsid w:val="001108C0"/>
    <w:rsid w:val="00117FA8"/>
    <w:rsid w:val="001202F7"/>
    <w:rsid w:val="001259E5"/>
    <w:rsid w:val="001434C0"/>
    <w:rsid w:val="00187B4A"/>
    <w:rsid w:val="00195110"/>
    <w:rsid w:val="001C0A7E"/>
    <w:rsid w:val="001F483C"/>
    <w:rsid w:val="00222354"/>
    <w:rsid w:val="00222BB9"/>
    <w:rsid w:val="00270FFB"/>
    <w:rsid w:val="00274BA2"/>
    <w:rsid w:val="002945E2"/>
    <w:rsid w:val="002B081E"/>
    <w:rsid w:val="002C1F5D"/>
    <w:rsid w:val="002E2BEE"/>
    <w:rsid w:val="002E75B0"/>
    <w:rsid w:val="00314468"/>
    <w:rsid w:val="003305E2"/>
    <w:rsid w:val="003A1876"/>
    <w:rsid w:val="003B03DE"/>
    <w:rsid w:val="003D659D"/>
    <w:rsid w:val="003F347F"/>
    <w:rsid w:val="003F7500"/>
    <w:rsid w:val="00467FEB"/>
    <w:rsid w:val="00494EB9"/>
    <w:rsid w:val="004A6518"/>
    <w:rsid w:val="004C0672"/>
    <w:rsid w:val="004C188C"/>
    <w:rsid w:val="004C4833"/>
    <w:rsid w:val="004E7CF0"/>
    <w:rsid w:val="005053FE"/>
    <w:rsid w:val="00505F87"/>
    <w:rsid w:val="00506ECE"/>
    <w:rsid w:val="0052798E"/>
    <w:rsid w:val="00565128"/>
    <w:rsid w:val="00566F1D"/>
    <w:rsid w:val="005744A4"/>
    <w:rsid w:val="00575B81"/>
    <w:rsid w:val="00582388"/>
    <w:rsid w:val="00591B2A"/>
    <w:rsid w:val="005F177F"/>
    <w:rsid w:val="005F31C3"/>
    <w:rsid w:val="00602214"/>
    <w:rsid w:val="0064210F"/>
    <w:rsid w:val="00655862"/>
    <w:rsid w:val="00685E07"/>
    <w:rsid w:val="00696EA4"/>
    <w:rsid w:val="006A40C8"/>
    <w:rsid w:val="006D4498"/>
    <w:rsid w:val="006F229E"/>
    <w:rsid w:val="006F7236"/>
    <w:rsid w:val="007016C7"/>
    <w:rsid w:val="00777F68"/>
    <w:rsid w:val="00782142"/>
    <w:rsid w:val="007B19FC"/>
    <w:rsid w:val="007B2865"/>
    <w:rsid w:val="007B64B3"/>
    <w:rsid w:val="00843C21"/>
    <w:rsid w:val="008508A0"/>
    <w:rsid w:val="00854160"/>
    <w:rsid w:val="00871A68"/>
    <w:rsid w:val="00876E0A"/>
    <w:rsid w:val="008963E6"/>
    <w:rsid w:val="008A7767"/>
    <w:rsid w:val="008B1861"/>
    <w:rsid w:val="008E5421"/>
    <w:rsid w:val="008E6EC4"/>
    <w:rsid w:val="008F0E96"/>
    <w:rsid w:val="009337E2"/>
    <w:rsid w:val="00995108"/>
    <w:rsid w:val="009C6C32"/>
    <w:rsid w:val="009D0912"/>
    <w:rsid w:val="009E1DA2"/>
    <w:rsid w:val="009E7BAF"/>
    <w:rsid w:val="009F7D59"/>
    <w:rsid w:val="00A2099B"/>
    <w:rsid w:val="00A229BE"/>
    <w:rsid w:val="00A27B5B"/>
    <w:rsid w:val="00A40503"/>
    <w:rsid w:val="00A41FDA"/>
    <w:rsid w:val="00A56C1F"/>
    <w:rsid w:val="00A95615"/>
    <w:rsid w:val="00A9761C"/>
    <w:rsid w:val="00AC7C80"/>
    <w:rsid w:val="00AE03A9"/>
    <w:rsid w:val="00B02EEE"/>
    <w:rsid w:val="00B52E76"/>
    <w:rsid w:val="00B64A62"/>
    <w:rsid w:val="00B748F3"/>
    <w:rsid w:val="00BD1166"/>
    <w:rsid w:val="00BD1C81"/>
    <w:rsid w:val="00BD4613"/>
    <w:rsid w:val="00C016AA"/>
    <w:rsid w:val="00C07206"/>
    <w:rsid w:val="00C1132E"/>
    <w:rsid w:val="00C2477F"/>
    <w:rsid w:val="00C62D93"/>
    <w:rsid w:val="00C6340E"/>
    <w:rsid w:val="00C7630B"/>
    <w:rsid w:val="00C8496E"/>
    <w:rsid w:val="00CD6A81"/>
    <w:rsid w:val="00CF0810"/>
    <w:rsid w:val="00D00B76"/>
    <w:rsid w:val="00D30C59"/>
    <w:rsid w:val="00D43A45"/>
    <w:rsid w:val="00D512EB"/>
    <w:rsid w:val="00D6648E"/>
    <w:rsid w:val="00D80AE4"/>
    <w:rsid w:val="00D80CD8"/>
    <w:rsid w:val="00D87424"/>
    <w:rsid w:val="00DA5BC1"/>
    <w:rsid w:val="00DB2564"/>
    <w:rsid w:val="00DC0406"/>
    <w:rsid w:val="00DC37C8"/>
    <w:rsid w:val="00DC6307"/>
    <w:rsid w:val="00DD1F3F"/>
    <w:rsid w:val="00DF2ACA"/>
    <w:rsid w:val="00E07B4D"/>
    <w:rsid w:val="00E35FD9"/>
    <w:rsid w:val="00EE6AD0"/>
    <w:rsid w:val="00F00EA9"/>
    <w:rsid w:val="00F07303"/>
    <w:rsid w:val="00F231F3"/>
    <w:rsid w:val="00F76DC8"/>
    <w:rsid w:val="00F9355C"/>
    <w:rsid w:val="00F94B75"/>
    <w:rsid w:val="00F95AD8"/>
    <w:rsid w:val="00FE0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D9BD0"/>
  <w15:docId w15:val="{6FD16A42-A63A-43E7-B4E4-22BF79BE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876E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17FA8"/>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6F7236"/>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 w:type="character" w:customStyle="1" w:styleId="berschrift2Zchn">
    <w:name w:val="Überschrift 2 Zchn"/>
    <w:basedOn w:val="Absatz-Standardschriftart"/>
    <w:link w:val="berschrift2"/>
    <w:uiPriority w:val="9"/>
    <w:rsid w:val="00117FA8"/>
    <w:rPr>
      <w:b/>
      <w:bCs/>
      <w:sz w:val="36"/>
      <w:szCs w:val="36"/>
    </w:rPr>
  </w:style>
  <w:style w:type="character" w:customStyle="1" w:styleId="summaryboxheadingreporttitle">
    <w:name w:val="summarybox__headingreporttitle"/>
    <w:basedOn w:val="Absatz-Standardschriftart"/>
    <w:rsid w:val="00117FA8"/>
  </w:style>
  <w:style w:type="character" w:customStyle="1" w:styleId="berschrift1Zchn">
    <w:name w:val="Überschrift 1 Zchn"/>
    <w:basedOn w:val="Absatz-Standardschriftart"/>
    <w:link w:val="berschrift1"/>
    <w:uiPriority w:val="9"/>
    <w:rsid w:val="00876E0A"/>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6F7236"/>
    <w:rPr>
      <w:rFonts w:asciiTheme="majorHAnsi" w:eastAsiaTheme="majorEastAsia" w:hAnsiTheme="majorHAnsi" w:cstheme="majorBidi"/>
      <w:color w:val="243F60" w:themeColor="accent1" w:themeShade="7F"/>
      <w:sz w:val="24"/>
      <w:szCs w:val="24"/>
    </w:rPr>
  </w:style>
  <w:style w:type="paragraph" w:styleId="berarbeitung">
    <w:name w:val="Revision"/>
    <w:hidden/>
    <w:uiPriority w:val="99"/>
    <w:semiHidden/>
    <w:rsid w:val="00B02EEE"/>
    <w:rPr>
      <w:sz w:val="24"/>
      <w:szCs w:val="24"/>
    </w:rPr>
  </w:style>
  <w:style w:type="paragraph" w:styleId="Kommentarthema">
    <w:name w:val="annotation subject"/>
    <w:basedOn w:val="Kommentartext"/>
    <w:next w:val="Kommentartext"/>
    <w:link w:val="KommentarthemaZchn"/>
    <w:uiPriority w:val="99"/>
    <w:semiHidden/>
    <w:unhideWhenUsed/>
    <w:rsid w:val="00BD1C81"/>
    <w:rPr>
      <w:b/>
      <w:bCs/>
      <w:szCs w:val="20"/>
    </w:rPr>
  </w:style>
  <w:style w:type="character" w:customStyle="1" w:styleId="KommentartextZchn">
    <w:name w:val="Kommentartext Zchn"/>
    <w:basedOn w:val="Absatz-Standardschriftart"/>
    <w:link w:val="Kommentartext"/>
    <w:semiHidden/>
    <w:rsid w:val="00BD1C81"/>
    <w:rPr>
      <w:szCs w:val="24"/>
    </w:rPr>
  </w:style>
  <w:style w:type="character" w:customStyle="1" w:styleId="KommentarthemaZchn">
    <w:name w:val="Kommentarthema Zchn"/>
    <w:basedOn w:val="KommentartextZchn"/>
    <w:link w:val="Kommentarthema"/>
    <w:uiPriority w:val="99"/>
    <w:semiHidden/>
    <w:rsid w:val="00BD1C8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88498">
      <w:bodyDiv w:val="1"/>
      <w:marLeft w:val="0"/>
      <w:marRight w:val="0"/>
      <w:marTop w:val="0"/>
      <w:marBottom w:val="0"/>
      <w:divBdr>
        <w:top w:val="none" w:sz="0" w:space="0" w:color="auto"/>
        <w:left w:val="none" w:sz="0" w:space="0" w:color="auto"/>
        <w:bottom w:val="none" w:sz="0" w:space="0" w:color="auto"/>
        <w:right w:val="none" w:sz="0" w:space="0" w:color="auto"/>
      </w:divBdr>
    </w:div>
    <w:div w:id="808287102">
      <w:bodyDiv w:val="1"/>
      <w:marLeft w:val="0"/>
      <w:marRight w:val="0"/>
      <w:marTop w:val="0"/>
      <w:marBottom w:val="0"/>
      <w:divBdr>
        <w:top w:val="none" w:sz="0" w:space="0" w:color="auto"/>
        <w:left w:val="none" w:sz="0" w:space="0" w:color="auto"/>
        <w:bottom w:val="none" w:sz="0" w:space="0" w:color="auto"/>
        <w:right w:val="none" w:sz="0" w:space="0" w:color="auto"/>
      </w:divBdr>
    </w:div>
    <w:div w:id="94098643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463428976">
      <w:bodyDiv w:val="1"/>
      <w:marLeft w:val="0"/>
      <w:marRight w:val="0"/>
      <w:marTop w:val="0"/>
      <w:marBottom w:val="0"/>
      <w:divBdr>
        <w:top w:val="none" w:sz="0" w:space="0" w:color="auto"/>
        <w:left w:val="none" w:sz="0" w:space="0" w:color="auto"/>
        <w:bottom w:val="none" w:sz="0" w:space="0" w:color="auto"/>
        <w:right w:val="none" w:sz="0" w:space="0" w:color="auto"/>
      </w:divBdr>
    </w:div>
    <w:div w:id="19275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cb.europa.eu/euro/intro/html/index.d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pb.de/525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CAD7-BD0F-4B00-826C-1864B32C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6873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4</cp:revision>
  <dcterms:created xsi:type="dcterms:W3CDTF">2025-05-08T08:04:00Z</dcterms:created>
  <dcterms:modified xsi:type="dcterms:W3CDTF">2025-06-09T13:15:00Z</dcterms:modified>
</cp:coreProperties>
</file>