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80" w:rsidRPr="000B7580" w:rsidRDefault="000B7580" w:rsidP="000B7580">
      <w:pPr>
        <w:rPr>
          <w:rFonts w:ascii="Arial" w:hAnsi="Arial"/>
          <w:b/>
        </w:rPr>
      </w:pPr>
      <w:bookmarkStart w:id="0" w:name="_GoBack"/>
      <w:bookmarkEnd w:id="0"/>
      <w:r w:rsidRPr="000B7580">
        <w:rPr>
          <w:rFonts w:ascii="Arial" w:hAnsi="Arial"/>
          <w:b/>
        </w:rPr>
        <w:t xml:space="preserve">Bezogen auf die Gesamtheit der Multinationalen Unternehmen (MNU) gilt: Je größer das Unternehmen, desto umfassender die internationale Vernetzung. Die – nach Vermögenswerten im Ausland – 100 größten MNU des Jahres 2015 haben zwischen 1995 und 2015 nicht nur ihr Vermögen, ihren Umsatz und die Zahl der Beschäftigten deutlich erhöht, sondern auch den jeweiligen Anteil, der auf das Ausland entfällt, gesteigert: Bei den Vermögenswerten von 41 auf 62 Prozent, beim Umsatz von 48 auf 65 Prozent und bei den Beschäftigten von 48 auf 58 Prozent. Schließlich haben die Top 100 MNU überdurchschnittlich viele Tochterunternehmen </w:t>
      </w:r>
      <w:r w:rsidR="00A30FCC">
        <w:rPr>
          <w:rFonts w:ascii="Arial" w:hAnsi="Arial"/>
          <w:b/>
        </w:rPr>
        <w:t>i</w:t>
      </w:r>
      <w:r w:rsidRPr="000B7580">
        <w:rPr>
          <w:rFonts w:ascii="Arial" w:hAnsi="Arial"/>
          <w:b/>
        </w:rPr>
        <w:t>m Ausland und sind in überdurchschnittlich vielen Staaten aktiv.</w:t>
      </w:r>
    </w:p>
    <w:p w:rsidR="000B7580" w:rsidRDefault="000B7580" w:rsidP="00173208">
      <w:pPr>
        <w:rPr>
          <w:rFonts w:ascii="Arial" w:hAnsi="Arial"/>
        </w:rPr>
      </w:pPr>
    </w:p>
    <w:p w:rsidR="00CE08F9" w:rsidRPr="00A06C63" w:rsidRDefault="00055F6E" w:rsidP="00173208">
      <w:pPr>
        <w:rPr>
          <w:rFonts w:ascii="Arial" w:hAnsi="Arial"/>
          <w:color w:val="FF0000"/>
        </w:rPr>
      </w:pPr>
      <w:r w:rsidRPr="00A06C63">
        <w:rPr>
          <w:rFonts w:ascii="Arial" w:hAnsi="Arial"/>
          <w:color w:val="FF0000"/>
        </w:rPr>
        <w:t>Fakten</w:t>
      </w:r>
    </w:p>
    <w:p w:rsidR="00700734" w:rsidRPr="00A06C63" w:rsidRDefault="00700734" w:rsidP="00700734">
      <w:pPr>
        <w:rPr>
          <w:rFonts w:ascii="Arial" w:hAnsi="Arial"/>
        </w:rPr>
      </w:pPr>
    </w:p>
    <w:p w:rsidR="006918EE" w:rsidRDefault="006918EE" w:rsidP="006918EE">
      <w:pPr>
        <w:rPr>
          <w:rFonts w:ascii="Arial" w:hAnsi="Arial"/>
        </w:rPr>
      </w:pPr>
      <w:r>
        <w:rPr>
          <w:rFonts w:ascii="Arial" w:hAnsi="Arial"/>
        </w:rPr>
        <w:t xml:space="preserve">Zwischen 1995 und 2015 hat sich das </w:t>
      </w:r>
      <w:r w:rsidRPr="00391E5F">
        <w:rPr>
          <w:rFonts w:ascii="Arial" w:hAnsi="Arial"/>
        </w:rPr>
        <w:t xml:space="preserve">Gesamtvermögen </w:t>
      </w:r>
      <w:r>
        <w:rPr>
          <w:rFonts w:ascii="Arial" w:hAnsi="Arial"/>
        </w:rPr>
        <w:t xml:space="preserve">der </w:t>
      </w:r>
      <w:r w:rsidR="00A30FCC" w:rsidRPr="00391E5F">
        <w:rPr>
          <w:rFonts w:ascii="Arial" w:hAnsi="Arial"/>
        </w:rPr>
        <w:t>– nach Vermögenswerten im Ausland –</w:t>
      </w:r>
      <w:r w:rsidR="00A30FCC">
        <w:rPr>
          <w:rFonts w:ascii="Arial" w:hAnsi="Arial"/>
        </w:rPr>
        <w:t xml:space="preserve"> 100 größten M</w:t>
      </w:r>
      <w:r w:rsidR="00A30FCC" w:rsidRPr="008E26D2">
        <w:rPr>
          <w:rFonts w:ascii="Arial" w:hAnsi="Arial"/>
        </w:rPr>
        <w:t>ultinationalen Unternehmen (MNU)</w:t>
      </w:r>
      <w:r w:rsidR="00A30FCC">
        <w:rPr>
          <w:rFonts w:ascii="Arial" w:hAnsi="Arial"/>
        </w:rPr>
        <w:t xml:space="preserve"> a</w:t>
      </w:r>
      <w:r>
        <w:rPr>
          <w:rFonts w:ascii="Arial" w:hAnsi="Arial"/>
        </w:rPr>
        <w:t xml:space="preserve">uf </w:t>
      </w:r>
      <w:r w:rsidRPr="00391E5F">
        <w:rPr>
          <w:rFonts w:ascii="Arial" w:hAnsi="Arial"/>
        </w:rPr>
        <w:t>12,9 Billionen US-Dollar</w:t>
      </w:r>
      <w:r>
        <w:rPr>
          <w:rFonts w:ascii="Arial" w:hAnsi="Arial"/>
        </w:rPr>
        <w:t xml:space="preserve"> mehr als verdreifacht (Faktor 3,14). Gleichzeitig erhöhte sich der </w:t>
      </w:r>
      <w:r w:rsidRPr="00B91200">
        <w:rPr>
          <w:rFonts w:ascii="Arial" w:hAnsi="Arial"/>
        </w:rPr>
        <w:t>Anteil der Auslandsvermögenswerte an den Gesamtvermögenswerten</w:t>
      </w:r>
      <w:r>
        <w:rPr>
          <w:rFonts w:ascii="Arial" w:hAnsi="Arial"/>
        </w:rPr>
        <w:t xml:space="preserve"> von 41 auf </w:t>
      </w:r>
      <w:r w:rsidRPr="00391E5F">
        <w:rPr>
          <w:rFonts w:ascii="Arial" w:hAnsi="Arial"/>
        </w:rPr>
        <w:t xml:space="preserve">62 Prozent. Der Umsatz der Top 100 </w:t>
      </w:r>
      <w:r>
        <w:rPr>
          <w:rFonts w:ascii="Arial" w:hAnsi="Arial"/>
        </w:rPr>
        <w:t xml:space="preserve">MNU </w:t>
      </w:r>
      <w:r w:rsidRPr="00391E5F">
        <w:rPr>
          <w:rFonts w:ascii="Arial" w:hAnsi="Arial"/>
        </w:rPr>
        <w:t xml:space="preserve">lag im Jahr </w:t>
      </w:r>
      <w:r>
        <w:rPr>
          <w:rFonts w:ascii="Arial" w:hAnsi="Arial"/>
        </w:rPr>
        <w:t xml:space="preserve">2015 </w:t>
      </w:r>
      <w:r w:rsidRPr="00391E5F">
        <w:rPr>
          <w:rFonts w:ascii="Arial" w:hAnsi="Arial"/>
        </w:rPr>
        <w:t xml:space="preserve">bei </w:t>
      </w:r>
      <w:r>
        <w:rPr>
          <w:rFonts w:ascii="Arial" w:hAnsi="Arial"/>
        </w:rPr>
        <w:t xml:space="preserve">etwa </w:t>
      </w:r>
      <w:r w:rsidRPr="00391E5F">
        <w:rPr>
          <w:rFonts w:ascii="Arial" w:hAnsi="Arial"/>
        </w:rPr>
        <w:t>7,7 Billionen US-Dollar</w:t>
      </w:r>
      <w:r>
        <w:rPr>
          <w:rFonts w:ascii="Arial" w:hAnsi="Arial"/>
        </w:rPr>
        <w:t xml:space="preserve"> und war damit fast doppelt so hoch wie 1995 (Faktor 1,87). Der </w:t>
      </w:r>
      <w:r w:rsidRPr="002D16FE">
        <w:rPr>
          <w:rFonts w:ascii="Arial" w:hAnsi="Arial"/>
        </w:rPr>
        <w:t>Anteil des Auslandsumsatzes am Gesamtumsatz</w:t>
      </w:r>
      <w:r>
        <w:rPr>
          <w:rFonts w:ascii="Arial" w:hAnsi="Arial"/>
        </w:rPr>
        <w:t xml:space="preserve"> steigerte sich in dieser Zeit von 48 auf 65 Prozent. </w:t>
      </w:r>
      <w:r w:rsidR="00C66560">
        <w:rPr>
          <w:rFonts w:ascii="Arial" w:hAnsi="Arial"/>
        </w:rPr>
        <w:t>Weiter stieg d</w:t>
      </w:r>
      <w:r>
        <w:rPr>
          <w:rFonts w:ascii="Arial" w:hAnsi="Arial"/>
        </w:rPr>
        <w:t xml:space="preserve">ie Zahl der Beschäftigten der Top 100 MNU in den Jahren 1995 bis 2015 um den Faktor 1,44 auf rund </w:t>
      </w:r>
      <w:r w:rsidRPr="00391E5F">
        <w:rPr>
          <w:rFonts w:ascii="Arial" w:hAnsi="Arial"/>
        </w:rPr>
        <w:t>16 Millionen</w:t>
      </w:r>
      <w:r>
        <w:rPr>
          <w:rFonts w:ascii="Arial" w:hAnsi="Arial"/>
        </w:rPr>
        <w:t>.</w:t>
      </w:r>
      <w:r w:rsidRPr="006918EE">
        <w:rPr>
          <w:rFonts w:ascii="Arial" w:hAnsi="Arial"/>
        </w:rPr>
        <w:t xml:space="preserve"> </w:t>
      </w:r>
      <w:r w:rsidR="00C66560">
        <w:rPr>
          <w:rFonts w:ascii="Arial" w:hAnsi="Arial"/>
        </w:rPr>
        <w:t>D</w:t>
      </w:r>
      <w:r w:rsidRPr="006918EE">
        <w:rPr>
          <w:rFonts w:ascii="Arial" w:hAnsi="Arial"/>
        </w:rPr>
        <w:t xml:space="preserve">er </w:t>
      </w:r>
      <w:r w:rsidRPr="00B954E9">
        <w:rPr>
          <w:rFonts w:ascii="Arial" w:hAnsi="Arial"/>
        </w:rPr>
        <w:t>Anteil der im Ausland Beschäftigten an der Gesamtbeschäftigung</w:t>
      </w:r>
      <w:r>
        <w:rPr>
          <w:rFonts w:ascii="Arial" w:hAnsi="Arial"/>
        </w:rPr>
        <w:t xml:space="preserve"> </w:t>
      </w:r>
      <w:r w:rsidR="00C66560">
        <w:rPr>
          <w:rFonts w:ascii="Arial" w:hAnsi="Arial"/>
        </w:rPr>
        <w:t xml:space="preserve">nahm dabei </w:t>
      </w:r>
      <w:r>
        <w:rPr>
          <w:rFonts w:ascii="Arial" w:hAnsi="Arial"/>
        </w:rPr>
        <w:t xml:space="preserve">von 48 auf 58 Prozent zu. Aus diesen Entwicklungen schließt die </w:t>
      </w:r>
      <w:r w:rsidRPr="008E26D2">
        <w:rPr>
          <w:rFonts w:ascii="Arial" w:hAnsi="Arial"/>
        </w:rPr>
        <w:t xml:space="preserve">United Nations Conference on Trade and Development </w:t>
      </w:r>
      <w:r>
        <w:rPr>
          <w:rFonts w:ascii="Arial" w:hAnsi="Arial"/>
        </w:rPr>
        <w:t>(UNCTAD), dass selbst bei den Unternehmen, die überdurchschnittlich stark auf globaler Ebene vertreten sind, die Internationalisierungsprozesse noch nicht abgeschlossen sind.</w:t>
      </w:r>
    </w:p>
    <w:p w:rsidR="006918EE" w:rsidRDefault="006918EE" w:rsidP="006918EE">
      <w:pPr>
        <w:rPr>
          <w:rFonts w:ascii="Arial" w:hAnsi="Arial"/>
        </w:rPr>
      </w:pPr>
    </w:p>
    <w:p w:rsidR="00A06C63" w:rsidRDefault="00E766FE" w:rsidP="00E766FE">
      <w:pPr>
        <w:autoSpaceDE w:val="0"/>
        <w:autoSpaceDN w:val="0"/>
        <w:adjustRightInd w:val="0"/>
        <w:rPr>
          <w:rFonts w:ascii="Arial" w:hAnsi="Arial"/>
        </w:rPr>
      </w:pPr>
      <w:r>
        <w:rPr>
          <w:rFonts w:ascii="Arial" w:hAnsi="Arial"/>
        </w:rPr>
        <w:t xml:space="preserve">Ausgehend von einer Stichprobenanalyse unter 320.000 </w:t>
      </w:r>
      <w:r w:rsidR="006918EE">
        <w:rPr>
          <w:rFonts w:ascii="Arial" w:hAnsi="Arial"/>
        </w:rPr>
        <w:t xml:space="preserve">MNU </w:t>
      </w:r>
      <w:r>
        <w:rPr>
          <w:rFonts w:ascii="Arial" w:hAnsi="Arial"/>
        </w:rPr>
        <w:t>i</w:t>
      </w:r>
      <w:r w:rsidR="00CE78CF">
        <w:rPr>
          <w:rFonts w:ascii="Arial" w:hAnsi="Arial"/>
        </w:rPr>
        <w:t>m Jahr 2015 hatten n</w:t>
      </w:r>
      <w:r w:rsidR="008E26D2" w:rsidRPr="008E26D2">
        <w:rPr>
          <w:rFonts w:ascii="Arial" w:hAnsi="Arial"/>
        </w:rPr>
        <w:t xml:space="preserve">ach Angaben der UNCTAD </w:t>
      </w:r>
      <w:r w:rsidR="00CE78CF">
        <w:rPr>
          <w:rFonts w:ascii="Arial" w:hAnsi="Arial"/>
        </w:rPr>
        <w:t xml:space="preserve">66,5 Prozent </w:t>
      </w:r>
      <w:r w:rsidR="008E26D2" w:rsidRPr="008E26D2">
        <w:rPr>
          <w:rFonts w:ascii="Arial" w:hAnsi="Arial"/>
        </w:rPr>
        <w:t xml:space="preserve">der </w:t>
      </w:r>
      <w:r>
        <w:rPr>
          <w:rFonts w:ascii="Arial" w:hAnsi="Arial"/>
        </w:rPr>
        <w:t xml:space="preserve">MNU </w:t>
      </w:r>
      <w:r w:rsidR="008E26D2" w:rsidRPr="00E766FE">
        <w:rPr>
          <w:rFonts w:ascii="Arial" w:hAnsi="Arial"/>
        </w:rPr>
        <w:t>lediglich ein Tochterunternehmen</w:t>
      </w:r>
      <w:r w:rsidR="00CE78CF" w:rsidRPr="00E766FE">
        <w:rPr>
          <w:rFonts w:ascii="Arial" w:hAnsi="Arial"/>
        </w:rPr>
        <w:t xml:space="preserve">. Bei </w:t>
      </w:r>
      <w:r w:rsidR="008E26D2" w:rsidRPr="00E766FE">
        <w:rPr>
          <w:rFonts w:ascii="Arial" w:hAnsi="Arial"/>
        </w:rPr>
        <w:t xml:space="preserve">weiteren </w:t>
      </w:r>
      <w:r w:rsidR="00CE78CF" w:rsidRPr="00E766FE">
        <w:rPr>
          <w:rFonts w:ascii="Arial" w:hAnsi="Arial"/>
        </w:rPr>
        <w:t xml:space="preserve">21,7 Prozent </w:t>
      </w:r>
      <w:proofErr w:type="gramStart"/>
      <w:r w:rsidR="008E26D2" w:rsidRPr="00E766FE">
        <w:rPr>
          <w:rFonts w:ascii="Arial" w:hAnsi="Arial"/>
        </w:rPr>
        <w:t>waren</w:t>
      </w:r>
      <w:proofErr w:type="gramEnd"/>
      <w:r w:rsidR="008E26D2" w:rsidRPr="00E766FE">
        <w:rPr>
          <w:rFonts w:ascii="Arial" w:hAnsi="Arial"/>
        </w:rPr>
        <w:t xml:space="preserve"> es zwischen zwei und </w:t>
      </w:r>
      <w:r w:rsidR="00CE78CF" w:rsidRPr="00E766FE">
        <w:rPr>
          <w:rFonts w:ascii="Arial" w:hAnsi="Arial"/>
        </w:rPr>
        <w:t>fünf</w:t>
      </w:r>
      <w:r w:rsidR="008E26D2" w:rsidRPr="00E766FE">
        <w:rPr>
          <w:rFonts w:ascii="Arial" w:hAnsi="Arial"/>
        </w:rPr>
        <w:t xml:space="preserve"> Tochterunternehmen</w:t>
      </w:r>
      <w:r w:rsidR="00A06C63">
        <w:rPr>
          <w:rFonts w:ascii="Arial" w:hAnsi="Arial"/>
        </w:rPr>
        <w:t xml:space="preserve">. </w:t>
      </w:r>
      <w:r w:rsidR="00CE78CF">
        <w:rPr>
          <w:rFonts w:ascii="Arial" w:hAnsi="Arial"/>
        </w:rPr>
        <w:t xml:space="preserve">Auf der anderen Seite hatten 0,1 Prozent der MNU mehr als 500 </w:t>
      </w:r>
      <w:r w:rsidR="00CE78CF" w:rsidRPr="00E766FE">
        <w:rPr>
          <w:rFonts w:ascii="Arial" w:hAnsi="Arial"/>
        </w:rPr>
        <w:t>Tochterunternehmen, bei 0,6 Prozent der MNU lag die Zahl der Tochterunternehmen zwischen 101 und 500.</w:t>
      </w:r>
      <w:r>
        <w:rPr>
          <w:rFonts w:ascii="Arial" w:hAnsi="Arial"/>
        </w:rPr>
        <w:t xml:space="preserve"> </w:t>
      </w:r>
      <w:r w:rsidR="00CE78CF" w:rsidRPr="00E766FE">
        <w:rPr>
          <w:rFonts w:ascii="Arial" w:hAnsi="Arial"/>
        </w:rPr>
        <w:t>Auf diese 0,7 Prozent der MNU</w:t>
      </w:r>
      <w:r w:rsidRPr="00E766FE">
        <w:rPr>
          <w:rFonts w:ascii="Arial" w:hAnsi="Arial"/>
        </w:rPr>
        <w:t xml:space="preserve"> entfielen 30 Prozent aller ausländischen </w:t>
      </w:r>
      <w:r>
        <w:rPr>
          <w:rFonts w:ascii="Arial" w:hAnsi="Arial"/>
        </w:rPr>
        <w:t xml:space="preserve">Tochterunternehmen und </w:t>
      </w:r>
      <w:r w:rsidRPr="00E766FE">
        <w:rPr>
          <w:rFonts w:ascii="Arial" w:hAnsi="Arial"/>
        </w:rPr>
        <w:t xml:space="preserve">59,1 Prozent </w:t>
      </w:r>
      <w:r w:rsidR="006918EE">
        <w:rPr>
          <w:rFonts w:ascii="Arial" w:hAnsi="Arial"/>
        </w:rPr>
        <w:t xml:space="preserve">der </w:t>
      </w:r>
      <w:r w:rsidRPr="00E766FE">
        <w:rPr>
          <w:rFonts w:ascii="Arial" w:hAnsi="Arial"/>
        </w:rPr>
        <w:t>Vermögenswerte der betrachteten MNU</w:t>
      </w:r>
      <w:r w:rsidR="00A06C63">
        <w:rPr>
          <w:rFonts w:ascii="Arial" w:hAnsi="Arial"/>
        </w:rPr>
        <w:t>.</w:t>
      </w:r>
    </w:p>
    <w:p w:rsidR="00A06C63" w:rsidRDefault="00A06C63" w:rsidP="00E766FE">
      <w:pPr>
        <w:autoSpaceDE w:val="0"/>
        <w:autoSpaceDN w:val="0"/>
        <w:adjustRightInd w:val="0"/>
        <w:rPr>
          <w:rFonts w:ascii="Arial" w:hAnsi="Arial"/>
        </w:rPr>
      </w:pPr>
    </w:p>
    <w:p w:rsidR="00A06C63" w:rsidRDefault="005960F3" w:rsidP="00EF7E86">
      <w:pPr>
        <w:autoSpaceDE w:val="0"/>
        <w:autoSpaceDN w:val="0"/>
        <w:adjustRightInd w:val="0"/>
        <w:rPr>
          <w:rFonts w:ascii="Arial" w:hAnsi="Arial"/>
        </w:rPr>
      </w:pPr>
      <w:r>
        <w:rPr>
          <w:rFonts w:ascii="Arial" w:hAnsi="Arial"/>
        </w:rPr>
        <w:t>D</w:t>
      </w:r>
      <w:r w:rsidR="006918EE">
        <w:rPr>
          <w:rFonts w:ascii="Arial" w:hAnsi="Arial"/>
        </w:rPr>
        <w:t xml:space="preserve">ie </w:t>
      </w:r>
      <w:r w:rsidR="00E766FE" w:rsidRPr="00391E5F">
        <w:rPr>
          <w:rFonts w:ascii="Arial" w:hAnsi="Arial"/>
        </w:rPr>
        <w:t xml:space="preserve">100 größten MNU </w:t>
      </w:r>
      <w:r w:rsidR="003C2BCB">
        <w:rPr>
          <w:rFonts w:ascii="Arial" w:hAnsi="Arial"/>
        </w:rPr>
        <w:t xml:space="preserve">sind </w:t>
      </w:r>
      <w:r w:rsidR="006918EE">
        <w:rPr>
          <w:rFonts w:ascii="Arial" w:hAnsi="Arial"/>
        </w:rPr>
        <w:t xml:space="preserve">auf globaler Ebene </w:t>
      </w:r>
      <w:r w:rsidR="003C2BCB">
        <w:rPr>
          <w:rFonts w:ascii="Arial" w:hAnsi="Arial"/>
        </w:rPr>
        <w:t xml:space="preserve">besonders </w:t>
      </w:r>
      <w:r w:rsidR="006918EE">
        <w:rPr>
          <w:rFonts w:ascii="Arial" w:hAnsi="Arial"/>
        </w:rPr>
        <w:t>aktiv</w:t>
      </w:r>
      <w:r w:rsidR="003C2BCB">
        <w:rPr>
          <w:rFonts w:ascii="Arial" w:hAnsi="Arial"/>
        </w:rPr>
        <w:t xml:space="preserve">: Im Jahr 2015 hatten </w:t>
      </w:r>
      <w:r>
        <w:rPr>
          <w:rFonts w:ascii="Arial" w:hAnsi="Arial"/>
        </w:rPr>
        <w:t>s</w:t>
      </w:r>
      <w:r w:rsidR="003C2BCB">
        <w:rPr>
          <w:rFonts w:ascii="Arial" w:hAnsi="Arial"/>
        </w:rPr>
        <w:t>ie im Durchschnitt 549</w:t>
      </w:r>
      <w:r w:rsidR="003C2BCB" w:rsidRPr="003C2BCB">
        <w:rPr>
          <w:rFonts w:ascii="Arial" w:hAnsi="Arial"/>
        </w:rPr>
        <w:t xml:space="preserve"> </w:t>
      </w:r>
      <w:r w:rsidR="003C2BCB">
        <w:rPr>
          <w:rFonts w:ascii="Arial" w:hAnsi="Arial"/>
        </w:rPr>
        <w:t>Tochterunternehmen</w:t>
      </w:r>
      <w:r w:rsidR="00CB7722">
        <w:rPr>
          <w:rFonts w:ascii="Arial" w:hAnsi="Arial"/>
        </w:rPr>
        <w:t xml:space="preserve"> (Minimum: 118, Maximum: 2.082)</w:t>
      </w:r>
      <w:r w:rsidR="003C2BCB">
        <w:rPr>
          <w:rFonts w:ascii="Arial" w:hAnsi="Arial"/>
        </w:rPr>
        <w:t>, davon 370 im Ausland</w:t>
      </w:r>
      <w:r w:rsidR="00CB7722">
        <w:rPr>
          <w:rFonts w:ascii="Arial" w:hAnsi="Arial"/>
        </w:rPr>
        <w:t xml:space="preserve"> (Minimum: 41, Maximum: 1.454)</w:t>
      </w:r>
      <w:r w:rsidR="003C2BCB">
        <w:rPr>
          <w:rFonts w:ascii="Arial" w:hAnsi="Arial"/>
        </w:rPr>
        <w:t>.</w:t>
      </w:r>
      <w:r w:rsidR="00A06C63">
        <w:rPr>
          <w:rFonts w:ascii="Arial" w:hAnsi="Arial"/>
        </w:rPr>
        <w:t xml:space="preserve"> V</w:t>
      </w:r>
      <w:r w:rsidR="00EF7E86">
        <w:rPr>
          <w:rFonts w:ascii="Arial" w:hAnsi="Arial"/>
        </w:rPr>
        <w:t xml:space="preserve">on den </w:t>
      </w:r>
      <w:r w:rsidR="006918EE">
        <w:rPr>
          <w:rFonts w:ascii="Arial" w:hAnsi="Arial"/>
        </w:rPr>
        <w:t xml:space="preserve">insgesamt </w:t>
      </w:r>
      <w:r w:rsidR="00EF7E86">
        <w:rPr>
          <w:rFonts w:ascii="Arial" w:hAnsi="Arial"/>
        </w:rPr>
        <w:t>55.000 Tochterunternehmen waren etwa 75</w:t>
      </w:r>
      <w:r w:rsidR="00B91200">
        <w:rPr>
          <w:rFonts w:ascii="Arial" w:hAnsi="Arial"/>
        </w:rPr>
        <w:t xml:space="preserve"> Prozent</w:t>
      </w:r>
      <w:r w:rsidR="00EF7E86">
        <w:rPr>
          <w:rFonts w:ascii="Arial" w:hAnsi="Arial"/>
        </w:rPr>
        <w:t xml:space="preserve"> in direktem Besitz der jeweiligen Muttergesellschaft. Das heißt, dass auch bei einer Kette von Beteiligungen </w:t>
      </w:r>
      <w:r w:rsidR="00731E93">
        <w:rPr>
          <w:rFonts w:ascii="Arial" w:hAnsi="Arial"/>
        </w:rPr>
        <w:t xml:space="preserve">immer </w:t>
      </w:r>
      <w:r w:rsidR="00EF7E86" w:rsidRPr="0005623F">
        <w:rPr>
          <w:rFonts w:ascii="Arial" w:hAnsi="Arial"/>
          <w:color w:val="000000"/>
        </w:rPr>
        <w:t>mehr als die Hälfte der Anteile an einem Unternehmen</w:t>
      </w:r>
      <w:r w:rsidR="00EF7E86">
        <w:rPr>
          <w:rFonts w:ascii="Arial" w:hAnsi="Arial"/>
          <w:color w:val="000000"/>
        </w:rPr>
        <w:t xml:space="preserve"> </w:t>
      </w:r>
      <w:r w:rsidR="00731E93">
        <w:rPr>
          <w:rFonts w:ascii="Arial" w:hAnsi="Arial"/>
          <w:color w:val="000000"/>
        </w:rPr>
        <w:t>(</w:t>
      </w:r>
      <w:r w:rsidR="00731E93">
        <w:rPr>
          <w:rFonts w:ascii="Arial" w:hAnsi="Arial"/>
        </w:rPr>
        <w:t>Mehrheitsbesitz)</w:t>
      </w:r>
      <w:r w:rsidR="00731E93">
        <w:rPr>
          <w:rFonts w:ascii="Arial" w:hAnsi="Arial"/>
          <w:color w:val="000000"/>
        </w:rPr>
        <w:t xml:space="preserve"> </w:t>
      </w:r>
      <w:r w:rsidR="00EF7E86">
        <w:rPr>
          <w:rFonts w:ascii="Arial" w:hAnsi="Arial"/>
          <w:color w:val="000000"/>
        </w:rPr>
        <w:t>im Besitz des Unternehmens auf der nächsthöheren Hiera</w:t>
      </w:r>
      <w:r w:rsidR="00731E93">
        <w:rPr>
          <w:rFonts w:ascii="Arial" w:hAnsi="Arial"/>
          <w:color w:val="000000"/>
        </w:rPr>
        <w:t>r</w:t>
      </w:r>
      <w:r w:rsidR="00EF7E86">
        <w:rPr>
          <w:rFonts w:ascii="Arial" w:hAnsi="Arial"/>
          <w:color w:val="000000"/>
        </w:rPr>
        <w:t>chieebene war.</w:t>
      </w:r>
      <w:r w:rsidR="00731E93">
        <w:rPr>
          <w:rFonts w:ascii="Arial" w:hAnsi="Arial"/>
          <w:color w:val="000000"/>
        </w:rPr>
        <w:t xml:space="preserve"> </w:t>
      </w:r>
      <w:r w:rsidR="00EF7E86">
        <w:rPr>
          <w:rFonts w:ascii="Arial" w:hAnsi="Arial"/>
        </w:rPr>
        <w:t xml:space="preserve">Bei 25 Prozent der Tochterunternehmen </w:t>
      </w:r>
      <w:r w:rsidR="00731E93">
        <w:rPr>
          <w:rFonts w:ascii="Arial" w:hAnsi="Arial"/>
        </w:rPr>
        <w:t xml:space="preserve">ergab sich </w:t>
      </w:r>
      <w:r w:rsidR="00EF7E86">
        <w:rPr>
          <w:rFonts w:ascii="Arial" w:hAnsi="Arial"/>
        </w:rPr>
        <w:t>der Mehrheitsbesitz</w:t>
      </w:r>
      <w:r w:rsidR="00731E93">
        <w:rPr>
          <w:rFonts w:ascii="Arial" w:hAnsi="Arial"/>
        </w:rPr>
        <w:t xml:space="preserve"> erst aus einer Zusammenführung der direkten und indirekten Beteiligungen</w:t>
      </w:r>
      <w:r w:rsidR="00A06C63">
        <w:rPr>
          <w:rFonts w:ascii="Arial" w:hAnsi="Arial"/>
        </w:rPr>
        <w:t>.</w:t>
      </w:r>
      <w:r w:rsidR="00A30FCC">
        <w:rPr>
          <w:rFonts w:ascii="Arial" w:hAnsi="Arial"/>
        </w:rPr>
        <w:t xml:space="preserve"> Schließlich waren die Top 100 </w:t>
      </w:r>
      <w:r w:rsidR="00A30FCC" w:rsidRPr="008E26D2">
        <w:rPr>
          <w:rFonts w:ascii="Arial" w:hAnsi="Arial"/>
        </w:rPr>
        <w:t>MNU</w:t>
      </w:r>
      <w:r w:rsidR="00A30FCC">
        <w:rPr>
          <w:rFonts w:ascii="Arial" w:hAnsi="Arial"/>
        </w:rPr>
        <w:t xml:space="preserve"> durchschnittlich in 56 Staaten mit Tochterunternehmen vertreten, wobei die Spanne im Einzelnen von acht bis 133 Staaten reichte.</w:t>
      </w:r>
    </w:p>
    <w:p w:rsidR="00A06C63" w:rsidRDefault="00A06C63" w:rsidP="00EF7E86">
      <w:pPr>
        <w:autoSpaceDE w:val="0"/>
        <w:autoSpaceDN w:val="0"/>
        <w:adjustRightInd w:val="0"/>
        <w:rPr>
          <w:rFonts w:ascii="Arial" w:hAnsi="Arial"/>
        </w:rPr>
      </w:pPr>
    </w:p>
    <w:p w:rsidR="00700734" w:rsidRPr="00173208" w:rsidRDefault="00700734" w:rsidP="00700734">
      <w:pPr>
        <w:rPr>
          <w:rFonts w:ascii="Arial" w:hAnsi="Arial"/>
          <w:color w:val="FF0000"/>
          <w:lang w:val="en-US"/>
        </w:rPr>
      </w:pPr>
      <w:proofErr w:type="spellStart"/>
      <w:r w:rsidRPr="00173208">
        <w:rPr>
          <w:rFonts w:ascii="Arial" w:hAnsi="Arial"/>
          <w:color w:val="FF0000"/>
          <w:lang w:val="en-US"/>
        </w:rPr>
        <w:t>Datenquelle</w:t>
      </w:r>
      <w:proofErr w:type="spellEnd"/>
    </w:p>
    <w:p w:rsidR="00700734" w:rsidRPr="00173208" w:rsidRDefault="00700734" w:rsidP="00700734">
      <w:pPr>
        <w:rPr>
          <w:rFonts w:ascii="Arial" w:hAnsi="Arial"/>
          <w:lang w:val="en-US"/>
        </w:rPr>
      </w:pPr>
    </w:p>
    <w:p w:rsidR="00E61084" w:rsidRDefault="00E61084" w:rsidP="00E61084">
      <w:pPr>
        <w:rPr>
          <w:rFonts w:ascii="Arial" w:hAnsi="Arial"/>
          <w:lang w:val="en-GB"/>
        </w:rPr>
      </w:pPr>
      <w:r>
        <w:rPr>
          <w:rFonts w:ascii="Arial" w:hAnsi="Arial"/>
          <w:lang w:val="en-GB"/>
        </w:rPr>
        <w:lastRenderedPageBreak/>
        <w:t>United Nations Conference on Trade and Development (UNCTAD): World Investment Report 2016</w:t>
      </w:r>
    </w:p>
    <w:p w:rsidR="00700734" w:rsidRPr="00E61084" w:rsidRDefault="00700734" w:rsidP="00700734">
      <w:pPr>
        <w:rPr>
          <w:rFonts w:ascii="Arial" w:hAnsi="Arial"/>
          <w:lang w:val="en-GB"/>
        </w:rPr>
      </w:pPr>
    </w:p>
    <w:p w:rsidR="00700734" w:rsidRDefault="00700734" w:rsidP="00700734">
      <w:pPr>
        <w:rPr>
          <w:rFonts w:ascii="Arial" w:hAnsi="Arial"/>
          <w:color w:val="FF0000"/>
        </w:rPr>
      </w:pPr>
      <w:r>
        <w:rPr>
          <w:rFonts w:ascii="Arial" w:hAnsi="Arial"/>
          <w:color w:val="FF0000"/>
        </w:rPr>
        <w:t>Begriffe, methodische Anmerkungen oder Lesehilfen</w:t>
      </w:r>
    </w:p>
    <w:p w:rsidR="00E61084" w:rsidRDefault="00E61084" w:rsidP="00E61084">
      <w:pPr>
        <w:rPr>
          <w:rFonts w:ascii="Arial" w:hAnsi="Arial"/>
        </w:rPr>
      </w:pPr>
    </w:p>
    <w:p w:rsidR="00E61084" w:rsidRDefault="00E61084" w:rsidP="00E61084">
      <w:pPr>
        <w:rPr>
          <w:rFonts w:ascii="Arial" w:hAnsi="Arial"/>
        </w:rPr>
      </w:pPr>
      <w:r w:rsidRPr="00F35CB4">
        <w:rPr>
          <w:rFonts w:ascii="Arial" w:hAnsi="Arial"/>
        </w:rPr>
        <w:t>Die</w:t>
      </w:r>
      <w:r>
        <w:rPr>
          <w:rFonts w:ascii="Arial" w:hAnsi="Arial"/>
        </w:rPr>
        <w:t xml:space="preserve"> Größe der </w:t>
      </w:r>
      <w:r w:rsidRPr="007811DB">
        <w:rPr>
          <w:rFonts w:ascii="Arial" w:hAnsi="Arial"/>
          <w:b/>
        </w:rPr>
        <w:t>Multinationalen Unternehmen (MNU)</w:t>
      </w:r>
      <w:r w:rsidRPr="00F35CB4">
        <w:rPr>
          <w:rFonts w:ascii="Arial" w:hAnsi="Arial"/>
        </w:rPr>
        <w:t xml:space="preserve"> </w:t>
      </w:r>
      <w:r>
        <w:rPr>
          <w:rFonts w:ascii="Arial" w:hAnsi="Arial"/>
        </w:rPr>
        <w:t xml:space="preserve">leitet sich </w:t>
      </w:r>
      <w:r w:rsidRPr="00F35CB4">
        <w:rPr>
          <w:rFonts w:ascii="Arial" w:hAnsi="Arial"/>
        </w:rPr>
        <w:t xml:space="preserve">hier </w:t>
      </w:r>
      <w:r>
        <w:rPr>
          <w:rFonts w:ascii="Arial" w:hAnsi="Arial"/>
        </w:rPr>
        <w:t xml:space="preserve">von </w:t>
      </w:r>
      <w:r w:rsidRPr="00F35CB4">
        <w:rPr>
          <w:rFonts w:ascii="Arial" w:hAnsi="Arial"/>
        </w:rPr>
        <w:t xml:space="preserve">den jeweiligen Vermögenswerten im Ausland </w:t>
      </w:r>
      <w:r>
        <w:rPr>
          <w:rFonts w:ascii="Arial" w:hAnsi="Arial"/>
        </w:rPr>
        <w:t>ab</w:t>
      </w:r>
      <w:r w:rsidRPr="00F35CB4">
        <w:rPr>
          <w:rFonts w:ascii="Arial" w:hAnsi="Arial"/>
        </w:rPr>
        <w:t xml:space="preserve">. Bei Auswahl eines anderen </w:t>
      </w:r>
      <w:r>
        <w:rPr>
          <w:rFonts w:ascii="Arial" w:hAnsi="Arial"/>
        </w:rPr>
        <w:t>Kriterium</w:t>
      </w:r>
      <w:r w:rsidRPr="00F35CB4">
        <w:rPr>
          <w:rFonts w:ascii="Arial" w:hAnsi="Arial"/>
        </w:rPr>
        <w:t xml:space="preserve">s – zum Beispiel Vermögenswerte im In- und Ausland oder Anzahl der Beschäftigten – würde sich die </w:t>
      </w:r>
      <w:r>
        <w:rPr>
          <w:rFonts w:ascii="Arial" w:hAnsi="Arial"/>
        </w:rPr>
        <w:t xml:space="preserve">Rangfolge </w:t>
      </w:r>
      <w:r w:rsidRPr="00F35CB4">
        <w:rPr>
          <w:rFonts w:ascii="Arial" w:hAnsi="Arial"/>
        </w:rPr>
        <w:t xml:space="preserve">der </w:t>
      </w:r>
      <w:r>
        <w:rPr>
          <w:rFonts w:ascii="Arial" w:hAnsi="Arial"/>
        </w:rPr>
        <w:t xml:space="preserve">Top </w:t>
      </w:r>
      <w:r w:rsidRPr="00F35CB4">
        <w:rPr>
          <w:rFonts w:ascii="Arial" w:hAnsi="Arial"/>
        </w:rPr>
        <w:t xml:space="preserve">100 </w:t>
      </w:r>
      <w:r>
        <w:rPr>
          <w:rFonts w:ascii="Arial" w:hAnsi="Arial"/>
        </w:rPr>
        <w:t>M</w:t>
      </w:r>
      <w:r w:rsidRPr="00F35CB4">
        <w:rPr>
          <w:rFonts w:ascii="Arial" w:hAnsi="Arial"/>
        </w:rPr>
        <w:t>NU entsprechend ändern.</w:t>
      </w:r>
      <w:r w:rsidRPr="009C3605">
        <w:rPr>
          <w:rFonts w:ascii="Arial" w:hAnsi="Arial"/>
        </w:rPr>
        <w:t xml:space="preserve"> Die MNU bestehen aus einem Mutterunternehmen und den dazugehörenden Tochterunternehmen.</w:t>
      </w:r>
    </w:p>
    <w:p w:rsidR="00E61084" w:rsidRDefault="00E61084" w:rsidP="00E61084">
      <w:pPr>
        <w:rPr>
          <w:rFonts w:ascii="Arial" w:hAnsi="Arial"/>
        </w:rPr>
      </w:pPr>
    </w:p>
    <w:p w:rsidR="00E61084" w:rsidRDefault="00E61084" w:rsidP="00E61084">
      <w:pPr>
        <w:rPr>
          <w:rFonts w:ascii="Arial" w:hAnsi="Arial"/>
        </w:rPr>
      </w:pPr>
      <w:r w:rsidRPr="00F35CB4">
        <w:rPr>
          <w:rFonts w:ascii="Arial" w:hAnsi="Arial"/>
        </w:rPr>
        <w:t xml:space="preserve">Zu den </w:t>
      </w:r>
      <w:r w:rsidRPr="007811DB">
        <w:rPr>
          <w:rFonts w:ascii="Arial" w:hAnsi="Arial"/>
          <w:b/>
        </w:rPr>
        <w:t>Vermögenswerten</w:t>
      </w:r>
      <w:r w:rsidRPr="00F35CB4">
        <w:rPr>
          <w:rFonts w:ascii="Arial" w:hAnsi="Arial"/>
        </w:rPr>
        <w:t xml:space="preserve"> eines Unternehmens gehören immaterielle Vermögensgegenstände (Konzessionen, Lizenzen, Patente, Marken), Sachanlagen (Grundstücke, Gebäude, technische Anlagen, Maschinen, Betriebs- und Geschäftsausstattung), Finanzanlagen (Unternehmensanteile, Beteiligungen, Wertpapiere des Anlagevermögens), Vorräte (Rohstoffe, Waren), Forderungen, Wertpapiere, Barreserven und andere liquide Mittel</w:t>
      </w:r>
      <w:r>
        <w:rPr>
          <w:rFonts w:ascii="Arial" w:hAnsi="Arial"/>
        </w:rPr>
        <w:t>.</w:t>
      </w:r>
    </w:p>
    <w:p w:rsidR="00E61084" w:rsidRDefault="00E61084" w:rsidP="00E61084">
      <w:pPr>
        <w:rPr>
          <w:rFonts w:ascii="Arial" w:hAnsi="Arial"/>
        </w:rPr>
      </w:pPr>
    </w:p>
    <w:p w:rsidR="00E61084" w:rsidRDefault="00E61084" w:rsidP="00E6108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rsidR="007A2CF2" w:rsidRDefault="00E61084" w:rsidP="00A06C63">
      <w:pPr>
        <w:rPr>
          <w:rFonts w:ascii="Arial" w:hAnsi="Arial"/>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7A2C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08"/>
    <w:rsid w:val="00055F6E"/>
    <w:rsid w:val="000B7580"/>
    <w:rsid w:val="001043E2"/>
    <w:rsid w:val="00173208"/>
    <w:rsid w:val="002562C3"/>
    <w:rsid w:val="00267AA5"/>
    <w:rsid w:val="002D16FE"/>
    <w:rsid w:val="00346C7B"/>
    <w:rsid w:val="003C2BCB"/>
    <w:rsid w:val="0048162E"/>
    <w:rsid w:val="00491572"/>
    <w:rsid w:val="005272B4"/>
    <w:rsid w:val="005960F3"/>
    <w:rsid w:val="005D15AC"/>
    <w:rsid w:val="006918EE"/>
    <w:rsid w:val="00693F07"/>
    <w:rsid w:val="006F11E9"/>
    <w:rsid w:val="00700734"/>
    <w:rsid w:val="0071249B"/>
    <w:rsid w:val="00731E93"/>
    <w:rsid w:val="00751FD1"/>
    <w:rsid w:val="007A2CF2"/>
    <w:rsid w:val="007F3C66"/>
    <w:rsid w:val="00807B95"/>
    <w:rsid w:val="008136A5"/>
    <w:rsid w:val="008863E3"/>
    <w:rsid w:val="008C0866"/>
    <w:rsid w:val="008E26D2"/>
    <w:rsid w:val="009A3192"/>
    <w:rsid w:val="009C50EB"/>
    <w:rsid w:val="009F0EC9"/>
    <w:rsid w:val="00A06C63"/>
    <w:rsid w:val="00A30FCC"/>
    <w:rsid w:val="00A76AA6"/>
    <w:rsid w:val="00B32408"/>
    <w:rsid w:val="00B61A25"/>
    <w:rsid w:val="00B64EBF"/>
    <w:rsid w:val="00B91200"/>
    <w:rsid w:val="00B954E9"/>
    <w:rsid w:val="00C159BB"/>
    <w:rsid w:val="00C422E0"/>
    <w:rsid w:val="00C66560"/>
    <w:rsid w:val="00C7793B"/>
    <w:rsid w:val="00CB7722"/>
    <w:rsid w:val="00CE08F9"/>
    <w:rsid w:val="00CE78CF"/>
    <w:rsid w:val="00D52E96"/>
    <w:rsid w:val="00D80A5E"/>
    <w:rsid w:val="00E362DB"/>
    <w:rsid w:val="00E516AC"/>
    <w:rsid w:val="00E61084"/>
    <w:rsid w:val="00E71703"/>
    <w:rsid w:val="00E766FE"/>
    <w:rsid w:val="00EF7E86"/>
    <w:rsid w:val="00FD4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paragraph" w:styleId="Sprechblasentext">
    <w:name w:val="Balloon Text"/>
    <w:basedOn w:val="Standard"/>
    <w:semiHidden/>
    <w:rsid w:val="00B32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paragraph" w:styleId="Sprechblasentext">
    <w:name w:val="Balloon Text"/>
    <w:basedOn w:val="Standard"/>
    <w:semiHidden/>
    <w:rsid w:val="00B32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2017-06-30T07:22:00Z</dcterms:created>
  <dcterms:modified xsi:type="dcterms:W3CDTF">2017-09-08T12:19:00Z</dcterms:modified>
</cp:coreProperties>
</file>