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EA8C" w14:textId="77777777" w:rsidR="00E34E97" w:rsidRPr="00E34E97" w:rsidRDefault="00E34E97" w:rsidP="00E34E97">
      <w:pPr>
        <w:pStyle w:val="Listenabsatz"/>
        <w:numPr>
          <w:ilvl w:val="0"/>
          <w:numId w:val="1"/>
        </w:numPr>
        <w:rPr>
          <w:rFonts w:ascii="Arial" w:hAnsi="Arial"/>
          <w:b/>
          <w:bCs/>
        </w:rPr>
      </w:pPr>
      <w:r w:rsidRPr="00E34E97">
        <w:rPr>
          <w:rFonts w:ascii="Arial" w:hAnsi="Arial"/>
          <w:b/>
          <w:bCs/>
        </w:rPr>
        <w:t>Multinationale Unternehmen (MNU) haben die Globalisierung vorangetrieben und stark von ihr profitiert.</w:t>
      </w:r>
    </w:p>
    <w:p w14:paraId="706D1950" w14:textId="77777777" w:rsidR="00E34E97" w:rsidRPr="00E34E97" w:rsidRDefault="00E34E97" w:rsidP="000B7580">
      <w:pPr>
        <w:rPr>
          <w:rFonts w:ascii="Arial" w:hAnsi="Arial"/>
          <w:b/>
          <w:bCs/>
        </w:rPr>
      </w:pPr>
    </w:p>
    <w:p w14:paraId="78D2BCA4" w14:textId="4A17A8A4" w:rsidR="000B7580" w:rsidRPr="00E34E97" w:rsidRDefault="00E34E97" w:rsidP="00E34E97">
      <w:pPr>
        <w:pStyle w:val="Listenabsatz"/>
        <w:numPr>
          <w:ilvl w:val="0"/>
          <w:numId w:val="1"/>
        </w:numPr>
        <w:rPr>
          <w:rFonts w:ascii="Arial" w:hAnsi="Arial"/>
          <w:b/>
          <w:bCs/>
        </w:rPr>
      </w:pPr>
      <w:r w:rsidRPr="00E34E97">
        <w:rPr>
          <w:rFonts w:ascii="Arial" w:hAnsi="Arial"/>
          <w:b/>
          <w:bCs/>
        </w:rPr>
        <w:t>Bei den – nach Vermögenswerten im Ausland – 100 größten MNU hat sich von 1995 bis 2024 das Gesamtvermögen verfünffacht und der Umsatz verdreifacht.</w:t>
      </w:r>
    </w:p>
    <w:p w14:paraId="06732E63" w14:textId="77777777" w:rsidR="00E34E97" w:rsidRPr="00E34E97" w:rsidRDefault="00E34E97" w:rsidP="000B7580">
      <w:pPr>
        <w:rPr>
          <w:rFonts w:ascii="Arial" w:hAnsi="Arial"/>
          <w:b/>
          <w:bCs/>
        </w:rPr>
      </w:pPr>
    </w:p>
    <w:p w14:paraId="787485B7" w14:textId="4F2EB1CB" w:rsidR="00E34E97" w:rsidRPr="00E34E97" w:rsidRDefault="00E34E97" w:rsidP="00E34E97">
      <w:pPr>
        <w:pStyle w:val="Listenabsatz"/>
        <w:numPr>
          <w:ilvl w:val="0"/>
          <w:numId w:val="1"/>
        </w:numPr>
        <w:rPr>
          <w:rFonts w:ascii="Arial" w:hAnsi="Arial"/>
          <w:b/>
          <w:bCs/>
        </w:rPr>
      </w:pPr>
      <w:r>
        <w:rPr>
          <w:rFonts w:ascii="Arial" w:hAnsi="Arial"/>
          <w:b/>
          <w:bCs/>
        </w:rPr>
        <w:t>Für die MNU ist d</w:t>
      </w:r>
      <w:r w:rsidRPr="00E34E97">
        <w:rPr>
          <w:rFonts w:ascii="Arial" w:hAnsi="Arial"/>
          <w:b/>
          <w:bCs/>
        </w:rPr>
        <w:t>ie Bedeutung ausländische</w:t>
      </w:r>
      <w:r>
        <w:rPr>
          <w:rFonts w:ascii="Arial" w:hAnsi="Arial"/>
          <w:b/>
          <w:bCs/>
        </w:rPr>
        <w:t>r</w:t>
      </w:r>
      <w:r w:rsidRPr="00E34E97">
        <w:rPr>
          <w:rFonts w:ascii="Arial" w:hAnsi="Arial"/>
          <w:b/>
          <w:bCs/>
        </w:rPr>
        <w:t xml:space="preserve"> Märkte bei Vermögen, Umsatz und Beschäftigung insbesondere zwischen 1995 und 2010 stak gestiegen.</w:t>
      </w:r>
    </w:p>
    <w:p w14:paraId="0DDE1D6B" w14:textId="77777777" w:rsidR="00E34E97" w:rsidRPr="00E34E97" w:rsidRDefault="00E34E97" w:rsidP="000B7580">
      <w:pPr>
        <w:rPr>
          <w:rFonts w:ascii="Arial" w:hAnsi="Arial"/>
          <w:b/>
          <w:bCs/>
        </w:rPr>
      </w:pPr>
    </w:p>
    <w:p w14:paraId="392685AE" w14:textId="15E32B78" w:rsidR="00E34E97" w:rsidRPr="00E34E97" w:rsidRDefault="00E34E97" w:rsidP="00E34E97">
      <w:pPr>
        <w:pStyle w:val="Listenabsatz"/>
        <w:numPr>
          <w:ilvl w:val="0"/>
          <w:numId w:val="1"/>
        </w:numPr>
        <w:rPr>
          <w:rFonts w:ascii="Arial" w:hAnsi="Arial"/>
          <w:b/>
          <w:bCs/>
        </w:rPr>
      </w:pPr>
      <w:r w:rsidRPr="00E34E97">
        <w:rPr>
          <w:rFonts w:ascii="Arial" w:hAnsi="Arial"/>
          <w:b/>
          <w:bCs/>
        </w:rPr>
        <w:t>Im Jahr 2024 hatten von den 100 größten MNU 52 ihren Hauptsitz in Europa, 27 in Asien und 20 in Nordamerika.</w:t>
      </w:r>
    </w:p>
    <w:p w14:paraId="479BD990" w14:textId="77777777" w:rsidR="000B7580" w:rsidRDefault="000B7580" w:rsidP="00173208">
      <w:pPr>
        <w:rPr>
          <w:rFonts w:ascii="Arial" w:hAnsi="Arial"/>
        </w:rPr>
      </w:pPr>
    </w:p>
    <w:p w14:paraId="40F63810" w14:textId="77777777" w:rsidR="00CE08F9" w:rsidRPr="00A06C63" w:rsidRDefault="00055F6E" w:rsidP="00173208">
      <w:pPr>
        <w:rPr>
          <w:rFonts w:ascii="Arial" w:hAnsi="Arial"/>
          <w:color w:val="FF0000"/>
        </w:rPr>
      </w:pPr>
      <w:r w:rsidRPr="00A06C63">
        <w:rPr>
          <w:rFonts w:ascii="Arial" w:hAnsi="Arial"/>
          <w:color w:val="FF0000"/>
        </w:rPr>
        <w:t>Fakten</w:t>
      </w:r>
    </w:p>
    <w:p w14:paraId="40D193FB" w14:textId="77777777" w:rsidR="00700734" w:rsidRPr="00FE4434" w:rsidRDefault="00700734" w:rsidP="00700734">
      <w:pPr>
        <w:rPr>
          <w:rFonts w:ascii="Arial" w:hAnsi="Arial"/>
        </w:rPr>
      </w:pPr>
    </w:p>
    <w:p w14:paraId="5BFA4220" w14:textId="77777777" w:rsidR="00F67A3E" w:rsidRDefault="006918EE" w:rsidP="006918EE">
      <w:pPr>
        <w:rPr>
          <w:rFonts w:ascii="Arial" w:hAnsi="Arial"/>
        </w:rPr>
      </w:pPr>
      <w:r w:rsidRPr="00FE4434">
        <w:rPr>
          <w:rFonts w:ascii="Arial" w:hAnsi="Arial"/>
        </w:rPr>
        <w:t>Zwischen 1995 und 20</w:t>
      </w:r>
      <w:r w:rsidR="00FE4434" w:rsidRPr="00FE4434">
        <w:rPr>
          <w:rFonts w:ascii="Arial" w:hAnsi="Arial"/>
        </w:rPr>
        <w:t>24</w:t>
      </w:r>
      <w:r w:rsidRPr="00FE4434">
        <w:rPr>
          <w:rFonts w:ascii="Arial" w:hAnsi="Arial"/>
        </w:rPr>
        <w:t xml:space="preserve"> hat sich das Gesamtvermögen der </w:t>
      </w:r>
      <w:r w:rsidR="00A30FCC" w:rsidRPr="00FE4434">
        <w:rPr>
          <w:rFonts w:ascii="Arial" w:hAnsi="Arial"/>
        </w:rPr>
        <w:t>– nach Vermögenswerten im Ausland – 100 größ</w:t>
      </w:r>
      <w:r w:rsidR="00A30FCC" w:rsidRPr="00E95659">
        <w:rPr>
          <w:rFonts w:ascii="Arial" w:hAnsi="Arial"/>
        </w:rPr>
        <w:t>ten Multinationalen Unternehmen (MNU) a</w:t>
      </w:r>
      <w:r w:rsidRPr="00E95659">
        <w:rPr>
          <w:rFonts w:ascii="Arial" w:hAnsi="Arial"/>
        </w:rPr>
        <w:t xml:space="preserve">uf </w:t>
      </w:r>
      <w:r w:rsidR="00FE4434" w:rsidRPr="00E95659">
        <w:rPr>
          <w:rFonts w:ascii="Arial" w:hAnsi="Arial"/>
        </w:rPr>
        <w:t>19</w:t>
      </w:r>
      <w:r w:rsidRPr="00E95659">
        <w:rPr>
          <w:rFonts w:ascii="Arial" w:hAnsi="Arial"/>
        </w:rPr>
        <w:t>,</w:t>
      </w:r>
      <w:r w:rsidR="00FE4434" w:rsidRPr="00E95659">
        <w:rPr>
          <w:rFonts w:ascii="Arial" w:hAnsi="Arial"/>
        </w:rPr>
        <w:t>7</w:t>
      </w:r>
      <w:r w:rsidRPr="00E95659">
        <w:rPr>
          <w:rFonts w:ascii="Arial" w:hAnsi="Arial"/>
        </w:rPr>
        <w:t xml:space="preserve"> Billionen US-Dollar </w:t>
      </w:r>
      <w:r w:rsidR="00FE4434" w:rsidRPr="00E95659">
        <w:rPr>
          <w:rFonts w:ascii="Arial" w:hAnsi="Arial"/>
        </w:rPr>
        <w:t xml:space="preserve">nahezu </w:t>
      </w:r>
      <w:r w:rsidRPr="00E95659">
        <w:rPr>
          <w:rFonts w:ascii="Arial" w:hAnsi="Arial"/>
        </w:rPr>
        <w:t>ver</w:t>
      </w:r>
      <w:r w:rsidR="00FE4434" w:rsidRPr="00E95659">
        <w:rPr>
          <w:rFonts w:ascii="Arial" w:hAnsi="Arial"/>
        </w:rPr>
        <w:t>fünf</w:t>
      </w:r>
      <w:r w:rsidRPr="00E95659">
        <w:rPr>
          <w:rFonts w:ascii="Arial" w:hAnsi="Arial"/>
        </w:rPr>
        <w:t xml:space="preserve">facht (Faktor </w:t>
      </w:r>
      <w:r w:rsidR="00FE4434" w:rsidRPr="00E95659">
        <w:rPr>
          <w:rFonts w:ascii="Arial" w:hAnsi="Arial"/>
        </w:rPr>
        <w:t>4,7</w:t>
      </w:r>
      <w:r w:rsidRPr="00E95659">
        <w:rPr>
          <w:rFonts w:ascii="Arial" w:hAnsi="Arial"/>
        </w:rPr>
        <w:t xml:space="preserve">). </w:t>
      </w:r>
      <w:r w:rsidR="00FE4434" w:rsidRPr="00E95659">
        <w:rPr>
          <w:rFonts w:ascii="Arial" w:hAnsi="Arial"/>
        </w:rPr>
        <w:t>Dabei haben sich die Auslandsvermögenswerte</w:t>
      </w:r>
      <w:r w:rsidRPr="00E95659">
        <w:rPr>
          <w:rFonts w:ascii="Arial" w:hAnsi="Arial"/>
        </w:rPr>
        <w:t xml:space="preserve"> </w:t>
      </w:r>
      <w:r w:rsidR="00FE4434" w:rsidRPr="00E95659">
        <w:rPr>
          <w:rFonts w:ascii="Arial" w:hAnsi="Arial"/>
        </w:rPr>
        <w:t>im selben Zeitraum sogar versechsfacht</w:t>
      </w:r>
      <w:r w:rsidR="00B45FCF">
        <w:rPr>
          <w:rFonts w:ascii="Arial" w:hAnsi="Arial"/>
        </w:rPr>
        <w:t>. I</w:t>
      </w:r>
      <w:r w:rsidR="00FE4434" w:rsidRPr="00E95659">
        <w:rPr>
          <w:rFonts w:ascii="Arial" w:hAnsi="Arial"/>
        </w:rPr>
        <w:t xml:space="preserve">nsbesondere in den Jahren 1995 bis 2010 nahmen die Auslandsvermögenswerte überdurchschnittlich stark zu </w:t>
      </w:r>
      <w:r w:rsidR="00B45FCF" w:rsidRPr="00E95659">
        <w:rPr>
          <w:rFonts w:ascii="Arial" w:hAnsi="Arial"/>
        </w:rPr>
        <w:t>–</w:t>
      </w:r>
      <w:r w:rsidR="00B45FCF">
        <w:rPr>
          <w:rFonts w:ascii="Arial" w:hAnsi="Arial"/>
        </w:rPr>
        <w:t xml:space="preserve"> </w:t>
      </w:r>
      <w:r w:rsidR="00FE4434" w:rsidRPr="00E95659">
        <w:rPr>
          <w:rFonts w:ascii="Arial" w:hAnsi="Arial"/>
        </w:rPr>
        <w:t xml:space="preserve">ihr </w:t>
      </w:r>
      <w:r w:rsidRPr="00E95659">
        <w:rPr>
          <w:rFonts w:ascii="Arial" w:hAnsi="Arial"/>
        </w:rPr>
        <w:t xml:space="preserve">Anteil an den Gesamtvermögenswerten </w:t>
      </w:r>
      <w:r w:rsidR="00FE4434" w:rsidRPr="00E95659">
        <w:rPr>
          <w:rFonts w:ascii="Arial" w:hAnsi="Arial"/>
        </w:rPr>
        <w:t xml:space="preserve">erhöhte sich </w:t>
      </w:r>
      <w:r w:rsidRPr="00E95659">
        <w:rPr>
          <w:rFonts w:ascii="Arial" w:hAnsi="Arial"/>
        </w:rPr>
        <w:t>von 41 auf 6</w:t>
      </w:r>
      <w:r w:rsidR="00FE4434" w:rsidRPr="00E95659">
        <w:rPr>
          <w:rFonts w:ascii="Arial" w:hAnsi="Arial"/>
        </w:rPr>
        <w:t>1</w:t>
      </w:r>
      <w:r w:rsidRPr="00E95659">
        <w:rPr>
          <w:rFonts w:ascii="Arial" w:hAnsi="Arial"/>
        </w:rPr>
        <w:t xml:space="preserve"> Prozent</w:t>
      </w:r>
      <w:r w:rsidR="00FE4434" w:rsidRPr="00E95659">
        <w:rPr>
          <w:rFonts w:ascii="Arial" w:hAnsi="Arial"/>
        </w:rPr>
        <w:t xml:space="preserve"> (2024: 52 Prozent)</w:t>
      </w:r>
      <w:r w:rsidRPr="00E95659">
        <w:rPr>
          <w:rFonts w:ascii="Arial" w:hAnsi="Arial"/>
        </w:rPr>
        <w:t>. Der Umsatz der Top 100 MNU lag im Jahr 20</w:t>
      </w:r>
      <w:r w:rsidR="00FE4434" w:rsidRPr="00E95659">
        <w:rPr>
          <w:rFonts w:ascii="Arial" w:hAnsi="Arial"/>
        </w:rPr>
        <w:t>24</w:t>
      </w:r>
      <w:r w:rsidRPr="00E95659">
        <w:rPr>
          <w:rFonts w:ascii="Arial" w:hAnsi="Arial"/>
        </w:rPr>
        <w:t xml:space="preserve"> bei </w:t>
      </w:r>
      <w:r w:rsidR="00FE4434" w:rsidRPr="00E95659">
        <w:rPr>
          <w:rFonts w:ascii="Arial" w:hAnsi="Arial"/>
        </w:rPr>
        <w:t>12,1</w:t>
      </w:r>
      <w:r w:rsidRPr="00E95659">
        <w:rPr>
          <w:rFonts w:ascii="Arial" w:hAnsi="Arial"/>
        </w:rPr>
        <w:t xml:space="preserve"> Billionen US-Dollar und war damit </w:t>
      </w:r>
      <w:r w:rsidR="00FE4434" w:rsidRPr="00E95659">
        <w:rPr>
          <w:rFonts w:ascii="Arial" w:hAnsi="Arial"/>
        </w:rPr>
        <w:t xml:space="preserve">knapp dreimal </w:t>
      </w:r>
      <w:r w:rsidRPr="00E95659">
        <w:rPr>
          <w:rFonts w:ascii="Arial" w:hAnsi="Arial"/>
        </w:rPr>
        <w:t xml:space="preserve">so hoch wie 1995 (Faktor </w:t>
      </w:r>
      <w:r w:rsidR="00FE4434" w:rsidRPr="00E95659">
        <w:rPr>
          <w:rFonts w:ascii="Arial" w:hAnsi="Arial"/>
        </w:rPr>
        <w:t>2,9</w:t>
      </w:r>
      <w:r w:rsidRPr="00E95659">
        <w:rPr>
          <w:rFonts w:ascii="Arial" w:hAnsi="Arial"/>
        </w:rPr>
        <w:t xml:space="preserve">). Der Anteil des Auslandsumsatzes am Gesamtumsatz steigerte sich </w:t>
      </w:r>
      <w:r w:rsidR="00FE4434" w:rsidRPr="00E95659">
        <w:rPr>
          <w:rFonts w:ascii="Arial" w:hAnsi="Arial"/>
        </w:rPr>
        <w:t xml:space="preserve">zwischen 1995 und 2010 </w:t>
      </w:r>
      <w:r w:rsidRPr="00E95659">
        <w:rPr>
          <w:rFonts w:ascii="Arial" w:hAnsi="Arial"/>
        </w:rPr>
        <w:t>von 4</w:t>
      </w:r>
      <w:r w:rsidR="00FE4434" w:rsidRPr="00E95659">
        <w:rPr>
          <w:rFonts w:ascii="Arial" w:hAnsi="Arial"/>
        </w:rPr>
        <w:t>9</w:t>
      </w:r>
      <w:r w:rsidRPr="00E95659">
        <w:rPr>
          <w:rFonts w:ascii="Arial" w:hAnsi="Arial"/>
        </w:rPr>
        <w:t xml:space="preserve"> auf 6</w:t>
      </w:r>
      <w:r w:rsidR="00FE4434" w:rsidRPr="00E95659">
        <w:rPr>
          <w:rFonts w:ascii="Arial" w:hAnsi="Arial"/>
        </w:rPr>
        <w:t>3</w:t>
      </w:r>
      <w:r w:rsidRPr="00E95659">
        <w:rPr>
          <w:rFonts w:ascii="Arial" w:hAnsi="Arial"/>
        </w:rPr>
        <w:t xml:space="preserve"> Prozent</w:t>
      </w:r>
      <w:r w:rsidR="00FE4434" w:rsidRPr="00E95659">
        <w:rPr>
          <w:rFonts w:ascii="Arial" w:hAnsi="Arial"/>
        </w:rPr>
        <w:t xml:space="preserve"> (2024: 58 Prozent)</w:t>
      </w:r>
      <w:r w:rsidRPr="00E95659">
        <w:rPr>
          <w:rFonts w:ascii="Arial" w:hAnsi="Arial"/>
        </w:rPr>
        <w:t>.</w:t>
      </w:r>
    </w:p>
    <w:p w14:paraId="46B92FDA" w14:textId="77777777" w:rsidR="00F67A3E" w:rsidRDefault="00F67A3E" w:rsidP="006918EE">
      <w:pPr>
        <w:rPr>
          <w:rFonts w:ascii="Arial" w:hAnsi="Arial"/>
        </w:rPr>
      </w:pPr>
    </w:p>
    <w:p w14:paraId="4326D9AD" w14:textId="561A7867" w:rsidR="006918EE" w:rsidRDefault="00C41F09" w:rsidP="006918EE">
      <w:pPr>
        <w:rPr>
          <w:rFonts w:ascii="Arial" w:hAnsi="Arial"/>
        </w:rPr>
      </w:pPr>
      <w:r>
        <w:rPr>
          <w:rFonts w:ascii="Arial" w:hAnsi="Arial"/>
        </w:rPr>
        <w:t xml:space="preserve">Weiter </w:t>
      </w:r>
      <w:r w:rsidR="00C66560" w:rsidRPr="00B45FCF">
        <w:rPr>
          <w:rFonts w:ascii="Arial" w:hAnsi="Arial"/>
        </w:rPr>
        <w:t>stieg d</w:t>
      </w:r>
      <w:r w:rsidR="006918EE" w:rsidRPr="00B45FCF">
        <w:rPr>
          <w:rFonts w:ascii="Arial" w:hAnsi="Arial"/>
        </w:rPr>
        <w:t>ie Zahl der Beschäftigten der Top 100 MNU in den Jahren 1995 bis 20</w:t>
      </w:r>
      <w:r w:rsidR="00C862B2" w:rsidRPr="00B45FCF">
        <w:rPr>
          <w:rFonts w:ascii="Arial" w:hAnsi="Arial"/>
        </w:rPr>
        <w:t>23</w:t>
      </w:r>
      <w:r w:rsidR="006918EE" w:rsidRPr="00B45FCF">
        <w:rPr>
          <w:rFonts w:ascii="Arial" w:hAnsi="Arial"/>
        </w:rPr>
        <w:t xml:space="preserve"> </w:t>
      </w:r>
      <w:r w:rsidR="00C862B2" w:rsidRPr="00B45FCF">
        <w:rPr>
          <w:rFonts w:ascii="Arial" w:hAnsi="Arial"/>
        </w:rPr>
        <w:t xml:space="preserve">von 12,1 auf 20,1 </w:t>
      </w:r>
      <w:r w:rsidR="006918EE" w:rsidRPr="00B45FCF">
        <w:rPr>
          <w:rFonts w:ascii="Arial" w:hAnsi="Arial"/>
        </w:rPr>
        <w:t>Millionen.</w:t>
      </w:r>
      <w:r w:rsidR="00C862B2" w:rsidRPr="00B45FCF">
        <w:rPr>
          <w:rFonts w:ascii="Arial" w:hAnsi="Arial"/>
        </w:rPr>
        <w:t xml:space="preserve"> Für das Jahr 2024 wird nach ersten Ergebnissen ein Rückgang auf 18,5 Millionen erwartet. </w:t>
      </w:r>
      <w:r w:rsidR="00C66560" w:rsidRPr="00B45FCF">
        <w:rPr>
          <w:rFonts w:ascii="Arial" w:hAnsi="Arial"/>
        </w:rPr>
        <w:t>D</w:t>
      </w:r>
      <w:r w:rsidR="00C862B2" w:rsidRPr="00B45FCF">
        <w:rPr>
          <w:rFonts w:ascii="Arial" w:hAnsi="Arial"/>
        </w:rPr>
        <w:t>i</w:t>
      </w:r>
      <w:r w:rsidR="006918EE" w:rsidRPr="00B45FCF">
        <w:rPr>
          <w:rFonts w:ascii="Arial" w:hAnsi="Arial"/>
        </w:rPr>
        <w:t>e</w:t>
      </w:r>
      <w:r w:rsidR="00C862B2" w:rsidRPr="00B45FCF">
        <w:rPr>
          <w:rFonts w:ascii="Arial" w:hAnsi="Arial"/>
        </w:rPr>
        <w:t xml:space="preserve"> Zahl d</w:t>
      </w:r>
      <w:r w:rsidR="006918EE" w:rsidRPr="00B45FCF">
        <w:rPr>
          <w:rFonts w:ascii="Arial" w:hAnsi="Arial"/>
        </w:rPr>
        <w:t xml:space="preserve">er im Ausland Beschäftigten </w:t>
      </w:r>
      <w:r w:rsidR="00C862B2" w:rsidRPr="00B45FCF">
        <w:rPr>
          <w:rFonts w:ascii="Arial" w:hAnsi="Arial"/>
        </w:rPr>
        <w:t xml:space="preserve">nahm zwischen 1995 und 2010 </w:t>
      </w:r>
      <w:r w:rsidR="006918EE" w:rsidRPr="00B45FCF">
        <w:rPr>
          <w:rFonts w:ascii="Arial" w:hAnsi="Arial"/>
        </w:rPr>
        <w:t xml:space="preserve">von </w:t>
      </w:r>
      <w:r w:rsidR="00C862B2" w:rsidRPr="00B45FCF">
        <w:rPr>
          <w:rFonts w:ascii="Arial" w:hAnsi="Arial"/>
        </w:rPr>
        <w:t xml:space="preserve">5,8 auf 9,4 Millionen </w:t>
      </w:r>
      <w:r w:rsidR="006918EE" w:rsidRPr="00B45FCF">
        <w:rPr>
          <w:rFonts w:ascii="Arial" w:hAnsi="Arial"/>
        </w:rPr>
        <w:t>zu</w:t>
      </w:r>
      <w:r w:rsidR="00B45FCF" w:rsidRPr="00B45FCF">
        <w:rPr>
          <w:rFonts w:ascii="Arial" w:hAnsi="Arial"/>
        </w:rPr>
        <w:t xml:space="preserve"> und </w:t>
      </w:r>
      <w:r w:rsidR="00C862B2" w:rsidRPr="00B45FCF">
        <w:rPr>
          <w:rFonts w:ascii="Arial" w:hAnsi="Arial"/>
        </w:rPr>
        <w:t xml:space="preserve">hat sich </w:t>
      </w:r>
      <w:r w:rsidR="00B45FCF" w:rsidRPr="00B45FCF">
        <w:rPr>
          <w:rFonts w:ascii="Arial" w:hAnsi="Arial"/>
        </w:rPr>
        <w:t>in den Folgejahren etwa auf diesem Niveau stabilisiert</w:t>
      </w:r>
      <w:r w:rsidR="006918EE" w:rsidRPr="00B45FCF">
        <w:rPr>
          <w:rFonts w:ascii="Arial" w:hAnsi="Arial"/>
        </w:rPr>
        <w:t>.</w:t>
      </w:r>
      <w:r>
        <w:rPr>
          <w:rFonts w:ascii="Arial" w:hAnsi="Arial"/>
        </w:rPr>
        <w:t xml:space="preserve"> </w:t>
      </w:r>
      <w:r w:rsidR="00B45FCF">
        <w:rPr>
          <w:rFonts w:ascii="Arial" w:hAnsi="Arial"/>
        </w:rPr>
        <w:t xml:space="preserve">Zusammenfassend ist festzustellen, dass bei den </w:t>
      </w:r>
      <w:r>
        <w:rPr>
          <w:rFonts w:ascii="Arial" w:hAnsi="Arial"/>
        </w:rPr>
        <w:t xml:space="preserve">drei </w:t>
      </w:r>
      <w:r w:rsidR="00B45FCF">
        <w:rPr>
          <w:rFonts w:ascii="Arial" w:hAnsi="Arial"/>
        </w:rPr>
        <w:t xml:space="preserve">hier betrachteten Größen – Vermögenswerte, Umsatz und Beschäftigte – insgesamt die Anteile des Auslands zwischen 1995 und 2010 gestiegen </w:t>
      </w:r>
      <w:r>
        <w:rPr>
          <w:rFonts w:ascii="Arial" w:hAnsi="Arial"/>
        </w:rPr>
        <w:t xml:space="preserve">sind und zwischen 2015 und 2024 rückläufig waren. Letzteres vor allem, weil in diesem Zeitraum die Bedeutung der Heimatmärkte schneller </w:t>
      </w:r>
      <w:r w:rsidR="00407416">
        <w:rPr>
          <w:rFonts w:ascii="Arial" w:hAnsi="Arial"/>
        </w:rPr>
        <w:t>zugenommen hat a</w:t>
      </w:r>
      <w:r>
        <w:rPr>
          <w:rFonts w:ascii="Arial" w:hAnsi="Arial"/>
        </w:rPr>
        <w:t>ls die der Auslandsmärkte.</w:t>
      </w:r>
    </w:p>
    <w:p w14:paraId="0C06E79A" w14:textId="77777777" w:rsidR="00F67A3E" w:rsidRDefault="00F67A3E" w:rsidP="006918EE">
      <w:pPr>
        <w:rPr>
          <w:rFonts w:ascii="Arial" w:hAnsi="Arial"/>
        </w:rPr>
      </w:pPr>
    </w:p>
    <w:p w14:paraId="7A0E8A03" w14:textId="202127F5" w:rsidR="00407416" w:rsidRDefault="00407416" w:rsidP="00EF7E86">
      <w:pPr>
        <w:autoSpaceDE w:val="0"/>
        <w:autoSpaceDN w:val="0"/>
        <w:adjustRightInd w:val="0"/>
        <w:rPr>
          <w:rFonts w:ascii="Arial" w:hAnsi="Arial"/>
        </w:rPr>
      </w:pPr>
      <w:r>
        <w:rPr>
          <w:rFonts w:ascii="Arial" w:hAnsi="Arial"/>
        </w:rPr>
        <w:t>Im Jahr 2024 hatten von den 100 größten MNU 52 ihren Hauptsitz in Europa.</w:t>
      </w:r>
      <w:r w:rsidR="008A6B3A">
        <w:rPr>
          <w:rFonts w:ascii="Arial" w:hAnsi="Arial"/>
        </w:rPr>
        <w:t xml:space="preserve"> </w:t>
      </w:r>
      <w:r w:rsidR="00C57C18">
        <w:rPr>
          <w:rFonts w:ascii="Arial" w:hAnsi="Arial"/>
        </w:rPr>
        <w:t xml:space="preserve">Im Jahr 2010 </w:t>
      </w:r>
      <w:r w:rsidR="007856B4">
        <w:rPr>
          <w:rFonts w:ascii="Arial" w:hAnsi="Arial"/>
        </w:rPr>
        <w:t xml:space="preserve">waren es noch </w:t>
      </w:r>
      <w:r>
        <w:rPr>
          <w:rFonts w:ascii="Arial" w:hAnsi="Arial"/>
        </w:rPr>
        <w:t xml:space="preserve">63 </w:t>
      </w:r>
      <w:r w:rsidR="007856B4">
        <w:rPr>
          <w:rFonts w:ascii="Arial" w:hAnsi="Arial"/>
        </w:rPr>
        <w:t>Unternehmen – allein beim Vereinigten Königreich sank die Zahl der MNU unter den Top 100 von 18 auf 11. Im Gegensatz hierzu stieg die Zahl der Unternehmen mit Hauptsitz in Asien zwischen 2010 und 2024 von 15 auf 27</w:t>
      </w:r>
      <w:r w:rsidR="008A6B3A">
        <w:rPr>
          <w:rFonts w:ascii="Arial" w:hAnsi="Arial"/>
        </w:rPr>
        <w:t xml:space="preserve"> – insbesondere durch Unternehmen aus China (+6), Japan (+3) und Südkorea (+2)</w:t>
      </w:r>
      <w:r>
        <w:rPr>
          <w:rFonts w:ascii="Arial" w:hAnsi="Arial"/>
        </w:rPr>
        <w:t xml:space="preserve">. </w:t>
      </w:r>
      <w:r w:rsidR="00833BF3">
        <w:rPr>
          <w:rFonts w:ascii="Arial" w:hAnsi="Arial"/>
        </w:rPr>
        <w:t>D</w:t>
      </w:r>
      <w:r w:rsidR="008A6B3A">
        <w:rPr>
          <w:rFonts w:ascii="Arial" w:hAnsi="Arial"/>
        </w:rPr>
        <w:t xml:space="preserve">ie </w:t>
      </w:r>
      <w:r w:rsidR="00833BF3">
        <w:rPr>
          <w:rFonts w:ascii="Arial" w:hAnsi="Arial"/>
        </w:rPr>
        <w:t>Anz</w:t>
      </w:r>
      <w:r w:rsidR="008A6B3A">
        <w:rPr>
          <w:rFonts w:ascii="Arial" w:hAnsi="Arial"/>
        </w:rPr>
        <w:t xml:space="preserve">ahl der </w:t>
      </w:r>
      <w:r w:rsidR="00833BF3">
        <w:rPr>
          <w:rFonts w:ascii="Arial" w:hAnsi="Arial"/>
        </w:rPr>
        <w:t xml:space="preserve">Top 100 </w:t>
      </w:r>
      <w:r w:rsidR="008A6B3A">
        <w:rPr>
          <w:rFonts w:ascii="Arial" w:hAnsi="Arial"/>
        </w:rPr>
        <w:t xml:space="preserve">MNU </w:t>
      </w:r>
      <w:r w:rsidR="00833BF3">
        <w:rPr>
          <w:rFonts w:ascii="Arial" w:hAnsi="Arial"/>
        </w:rPr>
        <w:t xml:space="preserve">mit Hauptsitz in Nordamerika lag </w:t>
      </w:r>
      <w:r w:rsidR="008A6B3A">
        <w:rPr>
          <w:rFonts w:ascii="Arial" w:hAnsi="Arial"/>
        </w:rPr>
        <w:t xml:space="preserve">sowohl </w:t>
      </w:r>
      <w:r w:rsidR="00DD0300">
        <w:rPr>
          <w:rFonts w:ascii="Arial" w:hAnsi="Arial"/>
        </w:rPr>
        <w:t xml:space="preserve">im Jahr </w:t>
      </w:r>
      <w:r w:rsidR="008A6B3A">
        <w:rPr>
          <w:rFonts w:ascii="Arial" w:hAnsi="Arial"/>
        </w:rPr>
        <w:t>2010 als auch 2024 bei 20.</w:t>
      </w:r>
      <w:r w:rsidR="00F67A3E">
        <w:rPr>
          <w:rFonts w:ascii="Arial" w:hAnsi="Arial"/>
        </w:rPr>
        <w:t xml:space="preserve"> </w:t>
      </w:r>
      <w:r w:rsidR="00CD0BAF" w:rsidRPr="00CD0BAF">
        <w:rPr>
          <w:rFonts w:ascii="Arial" w:hAnsi="Arial"/>
        </w:rPr>
        <w:t>1993 hatte von den 100 größten MNU kein einziges Unternehmen seinen Hauptsitz in einem ökonomisch sich entwickelnden Staat</w:t>
      </w:r>
      <w:r w:rsidR="00CD0BAF">
        <w:rPr>
          <w:rFonts w:ascii="Arial" w:hAnsi="Arial"/>
        </w:rPr>
        <w:t>, im Jahr 2024 waren es 15 Unternehmen.</w:t>
      </w:r>
      <w:r w:rsidR="00F67A3E">
        <w:rPr>
          <w:rFonts w:ascii="Arial" w:hAnsi="Arial"/>
        </w:rPr>
        <w:t xml:space="preserve"> </w:t>
      </w:r>
      <w:r w:rsidR="00833BF3">
        <w:rPr>
          <w:rFonts w:ascii="Arial" w:hAnsi="Arial"/>
        </w:rPr>
        <w:t>Bezogen auf die einzelnen Staaten</w:t>
      </w:r>
      <w:r w:rsidR="00CD0BAF">
        <w:rPr>
          <w:rFonts w:ascii="Arial" w:hAnsi="Arial"/>
        </w:rPr>
        <w:t xml:space="preserve"> und das Jahr 2024</w:t>
      </w:r>
      <w:r w:rsidR="00833BF3">
        <w:rPr>
          <w:rFonts w:ascii="Arial" w:hAnsi="Arial"/>
        </w:rPr>
        <w:t xml:space="preserve"> hatten von den </w:t>
      </w:r>
      <w:r w:rsidR="00833BF3" w:rsidRPr="00FE4434">
        <w:rPr>
          <w:rFonts w:ascii="Arial" w:hAnsi="Arial"/>
        </w:rPr>
        <w:t>nach Vermögenswerten im Ausland 100 größ</w:t>
      </w:r>
      <w:r w:rsidR="00833BF3" w:rsidRPr="00E95659">
        <w:rPr>
          <w:rFonts w:ascii="Arial" w:hAnsi="Arial"/>
        </w:rPr>
        <w:t>ten MNU</w:t>
      </w:r>
      <w:r w:rsidR="00833BF3">
        <w:rPr>
          <w:rFonts w:ascii="Arial" w:hAnsi="Arial"/>
        </w:rPr>
        <w:t xml:space="preserve"> die meisten ihren Hauptsitz in den USA (18). Darauf folgten Frankreich und das Vereinigte Königreich mit 13 bzw. 11 MNU sowie Japan, Deutschland und China mit jeweils 10 MNU.</w:t>
      </w:r>
    </w:p>
    <w:p w14:paraId="2233783B" w14:textId="77777777" w:rsidR="00F67A3E" w:rsidRDefault="00F67A3E" w:rsidP="00EF7E86">
      <w:pPr>
        <w:autoSpaceDE w:val="0"/>
        <w:autoSpaceDN w:val="0"/>
        <w:adjustRightInd w:val="0"/>
        <w:rPr>
          <w:rFonts w:ascii="Arial" w:hAnsi="Arial"/>
        </w:rPr>
      </w:pPr>
    </w:p>
    <w:p w14:paraId="0EE8D70F" w14:textId="0AAAB3B4" w:rsidR="008A6B3A" w:rsidRDefault="008A6B3A" w:rsidP="00EF7E86">
      <w:pPr>
        <w:autoSpaceDE w:val="0"/>
        <w:autoSpaceDN w:val="0"/>
        <w:adjustRightInd w:val="0"/>
        <w:rPr>
          <w:rFonts w:ascii="Arial" w:hAnsi="Arial"/>
        </w:rPr>
      </w:pPr>
      <w:r>
        <w:rPr>
          <w:rFonts w:ascii="Arial" w:hAnsi="Arial"/>
        </w:rPr>
        <w:t xml:space="preserve">Von den </w:t>
      </w:r>
      <w:r w:rsidRPr="00E95659">
        <w:rPr>
          <w:rFonts w:ascii="Arial" w:hAnsi="Arial"/>
        </w:rPr>
        <w:t>Auslandsvermögenswerte</w:t>
      </w:r>
      <w:r>
        <w:rPr>
          <w:rFonts w:ascii="Arial" w:hAnsi="Arial"/>
        </w:rPr>
        <w:t xml:space="preserve">n der Top 100 MNU in Höhe von 10,2 </w:t>
      </w:r>
      <w:r w:rsidRPr="00E95659">
        <w:rPr>
          <w:rFonts w:ascii="Arial" w:hAnsi="Arial"/>
        </w:rPr>
        <w:t>Billionen US-Dollar</w:t>
      </w:r>
      <w:r>
        <w:rPr>
          <w:rFonts w:ascii="Arial" w:hAnsi="Arial"/>
        </w:rPr>
        <w:t xml:space="preserve"> im Jahr 2024 entfielen 54,6 Prozent auf die MNU mit Hauptsitz in Europa. Die MNU </w:t>
      </w:r>
      <w:r w:rsidR="007F425D">
        <w:rPr>
          <w:rFonts w:ascii="Arial" w:hAnsi="Arial"/>
        </w:rPr>
        <w:t xml:space="preserve">mit </w:t>
      </w:r>
      <w:r>
        <w:rPr>
          <w:rFonts w:ascii="Arial" w:hAnsi="Arial"/>
        </w:rPr>
        <w:t xml:space="preserve">Hauptsitz in Asien bzw. Nordamerika hatten einen Anteil von 27,4 bzw. 17,2 Prozent. </w:t>
      </w:r>
      <w:r w:rsidR="007F425D">
        <w:rPr>
          <w:rFonts w:ascii="Arial" w:hAnsi="Arial"/>
        </w:rPr>
        <w:t>Der Umsatz</w:t>
      </w:r>
      <w:r w:rsidR="00833BAD">
        <w:rPr>
          <w:rFonts w:ascii="Arial" w:hAnsi="Arial"/>
        </w:rPr>
        <w:t xml:space="preserve">, den die </w:t>
      </w:r>
      <w:r w:rsidR="007F425D">
        <w:rPr>
          <w:rFonts w:ascii="Arial" w:hAnsi="Arial"/>
        </w:rPr>
        <w:t xml:space="preserve">Top 100 MNU im Ausland </w:t>
      </w:r>
      <w:r w:rsidR="00833BAD">
        <w:rPr>
          <w:rFonts w:ascii="Arial" w:hAnsi="Arial"/>
        </w:rPr>
        <w:t xml:space="preserve">erzielen, </w:t>
      </w:r>
      <w:r w:rsidR="007F425D">
        <w:rPr>
          <w:rFonts w:ascii="Arial" w:hAnsi="Arial"/>
        </w:rPr>
        <w:t>lag im Jahr 2024 bei 7,0</w:t>
      </w:r>
      <w:r w:rsidR="007F425D" w:rsidRPr="007F425D">
        <w:rPr>
          <w:rFonts w:ascii="Arial" w:hAnsi="Arial"/>
        </w:rPr>
        <w:t xml:space="preserve"> </w:t>
      </w:r>
      <w:r w:rsidR="007F425D" w:rsidRPr="00E95659">
        <w:rPr>
          <w:rFonts w:ascii="Arial" w:hAnsi="Arial"/>
        </w:rPr>
        <w:t>Billionen US-Dollar</w:t>
      </w:r>
      <w:r w:rsidR="007F425D">
        <w:rPr>
          <w:rFonts w:ascii="Arial" w:hAnsi="Arial"/>
        </w:rPr>
        <w:t xml:space="preserve">. </w:t>
      </w:r>
      <w:r w:rsidR="00833BAD">
        <w:rPr>
          <w:rFonts w:ascii="Arial" w:hAnsi="Arial"/>
        </w:rPr>
        <w:t>Dabei lag d</w:t>
      </w:r>
      <w:r w:rsidR="007F425D">
        <w:rPr>
          <w:rFonts w:ascii="Arial" w:hAnsi="Arial"/>
        </w:rPr>
        <w:t xml:space="preserve">er Anteil europäischer MNU bei 49,6 Prozent, bei den asiatischen Unternehmen waren es 27,7 Prozent und bei den nordamerikanischen 19,8 Prozent. </w:t>
      </w:r>
      <w:r w:rsidR="00DD0300">
        <w:rPr>
          <w:rFonts w:ascii="Arial" w:hAnsi="Arial"/>
        </w:rPr>
        <w:t xml:space="preserve">Die </w:t>
      </w:r>
      <w:r w:rsidR="00DD0300" w:rsidRPr="00FE4434">
        <w:rPr>
          <w:rFonts w:ascii="Arial" w:hAnsi="Arial"/>
        </w:rPr>
        <w:t>nach Vermögenswerten im Ausland 100 größ</w:t>
      </w:r>
      <w:r w:rsidR="00DD0300" w:rsidRPr="00E95659">
        <w:rPr>
          <w:rFonts w:ascii="Arial" w:hAnsi="Arial"/>
        </w:rPr>
        <w:t>ten MNU</w:t>
      </w:r>
      <w:r w:rsidR="00DD0300">
        <w:rPr>
          <w:rFonts w:ascii="Arial" w:hAnsi="Arial"/>
        </w:rPr>
        <w:t xml:space="preserve"> hatten im Jahr 2024 knapp 9 Millionen Beschäftigte im Ausland. Auf die MNU mit Hauptsitz in Europa entfielen 4,7 Millionen Beschäftigte (52 Prozent). Bei den MNU mit Hauptsitz in Asien bzw. Nordamerika </w:t>
      </w:r>
      <w:r w:rsidR="00833BAD">
        <w:rPr>
          <w:rFonts w:ascii="Arial" w:hAnsi="Arial"/>
        </w:rPr>
        <w:t>waren es 3,2 bzw. 1,1 Millionen Beschäftigte (35,2 bzw. 12,7 Prozent).</w:t>
      </w:r>
    </w:p>
    <w:p w14:paraId="33DBC820" w14:textId="77777777" w:rsidR="00F67A3E" w:rsidRDefault="00F67A3E" w:rsidP="00EF7E86">
      <w:pPr>
        <w:autoSpaceDE w:val="0"/>
        <w:autoSpaceDN w:val="0"/>
        <w:adjustRightInd w:val="0"/>
        <w:rPr>
          <w:rFonts w:ascii="Arial" w:hAnsi="Arial"/>
        </w:rPr>
      </w:pPr>
    </w:p>
    <w:p w14:paraId="0D6E0DE0" w14:textId="77777777" w:rsidR="00700734" w:rsidRPr="00173208" w:rsidRDefault="00700734" w:rsidP="00700734">
      <w:pPr>
        <w:rPr>
          <w:rFonts w:ascii="Arial" w:hAnsi="Arial"/>
          <w:color w:val="FF0000"/>
          <w:lang w:val="en-US"/>
        </w:rPr>
      </w:pPr>
      <w:r w:rsidRPr="00173208">
        <w:rPr>
          <w:rFonts w:ascii="Arial" w:hAnsi="Arial"/>
          <w:color w:val="FF0000"/>
          <w:lang w:val="en-US"/>
        </w:rPr>
        <w:t>Datenquelle</w:t>
      </w:r>
    </w:p>
    <w:p w14:paraId="5217105B" w14:textId="77777777" w:rsidR="00700734" w:rsidRPr="00173208" w:rsidRDefault="00700734" w:rsidP="00700734">
      <w:pPr>
        <w:rPr>
          <w:rFonts w:ascii="Arial" w:hAnsi="Arial"/>
          <w:lang w:val="en-US"/>
        </w:rPr>
      </w:pPr>
    </w:p>
    <w:p w14:paraId="59DB65EC" w14:textId="2CD8EE56" w:rsidR="00E61084" w:rsidRDefault="00E61084" w:rsidP="00E61084">
      <w:pPr>
        <w:rPr>
          <w:rFonts w:ascii="Arial" w:hAnsi="Arial"/>
          <w:lang w:val="en-GB"/>
        </w:rPr>
      </w:pPr>
      <w:r>
        <w:rPr>
          <w:rFonts w:ascii="Arial" w:hAnsi="Arial"/>
          <w:lang w:val="en-GB"/>
        </w:rPr>
        <w:t>United Nations Conference on Trade and Development (UNCTAD): World Investment Report</w:t>
      </w:r>
      <w:r w:rsidR="0060498D">
        <w:rPr>
          <w:rFonts w:ascii="Arial" w:hAnsi="Arial"/>
          <w:lang w:val="en-GB"/>
        </w:rPr>
        <w:t xml:space="preserve">, </w:t>
      </w:r>
      <w:r w:rsidR="0060498D" w:rsidRPr="00614013">
        <w:rPr>
          <w:rFonts w:ascii="Arial" w:hAnsi="Arial"/>
        </w:rPr>
        <w:t>verschiedene</w:t>
      </w:r>
      <w:r w:rsidR="0060498D">
        <w:rPr>
          <w:rFonts w:ascii="Arial" w:hAnsi="Arial"/>
          <w:lang w:val="en-GB"/>
        </w:rPr>
        <w:t xml:space="preserve"> </w:t>
      </w:r>
      <w:r w:rsidR="0060498D" w:rsidRPr="00614013">
        <w:rPr>
          <w:rFonts w:ascii="Arial" w:hAnsi="Arial"/>
        </w:rPr>
        <w:t>Jahrgänge</w:t>
      </w:r>
    </w:p>
    <w:p w14:paraId="50E1FA08" w14:textId="77777777" w:rsidR="00700734" w:rsidRPr="00E61084" w:rsidRDefault="00700734" w:rsidP="00700734">
      <w:pPr>
        <w:rPr>
          <w:rFonts w:ascii="Arial" w:hAnsi="Arial"/>
          <w:lang w:val="en-GB"/>
        </w:rPr>
      </w:pPr>
    </w:p>
    <w:p w14:paraId="0841E2F2" w14:textId="77777777" w:rsidR="00700734" w:rsidRDefault="00700734" w:rsidP="00700734">
      <w:pPr>
        <w:rPr>
          <w:rFonts w:ascii="Arial" w:hAnsi="Arial"/>
          <w:color w:val="FF0000"/>
        </w:rPr>
      </w:pPr>
      <w:r>
        <w:rPr>
          <w:rFonts w:ascii="Arial" w:hAnsi="Arial"/>
          <w:color w:val="FF0000"/>
        </w:rPr>
        <w:t>Begriffe, methodische Anmerkungen oder Lesehilfen</w:t>
      </w:r>
    </w:p>
    <w:p w14:paraId="62AC0FD1" w14:textId="77777777" w:rsidR="00E61084" w:rsidRDefault="00E61084" w:rsidP="00E61084">
      <w:pPr>
        <w:rPr>
          <w:rFonts w:ascii="Arial" w:hAnsi="Arial"/>
        </w:rPr>
      </w:pPr>
    </w:p>
    <w:p w14:paraId="7DE79DB6" w14:textId="77777777" w:rsidR="00E61084" w:rsidRDefault="00E61084" w:rsidP="00E61084">
      <w:pPr>
        <w:rPr>
          <w:rFonts w:ascii="Arial" w:hAnsi="Arial"/>
        </w:rPr>
      </w:pPr>
      <w:r w:rsidRPr="00F35CB4">
        <w:rPr>
          <w:rFonts w:ascii="Arial" w:hAnsi="Arial"/>
        </w:rPr>
        <w:t>Die</w:t>
      </w:r>
      <w:r>
        <w:rPr>
          <w:rFonts w:ascii="Arial" w:hAnsi="Arial"/>
        </w:rPr>
        <w:t xml:space="preserve"> Größe der </w:t>
      </w:r>
      <w:r w:rsidRPr="007811DB">
        <w:rPr>
          <w:rFonts w:ascii="Arial" w:hAnsi="Arial"/>
          <w:b/>
        </w:rPr>
        <w:t>Multinationalen Unternehmen (MNU)</w:t>
      </w:r>
      <w:r w:rsidRPr="00F35CB4">
        <w:rPr>
          <w:rFonts w:ascii="Arial" w:hAnsi="Arial"/>
        </w:rPr>
        <w:t xml:space="preserve"> </w:t>
      </w:r>
      <w:r>
        <w:rPr>
          <w:rFonts w:ascii="Arial" w:hAnsi="Arial"/>
        </w:rPr>
        <w:t xml:space="preserve">leitet sich </w:t>
      </w:r>
      <w:r w:rsidRPr="00F35CB4">
        <w:rPr>
          <w:rFonts w:ascii="Arial" w:hAnsi="Arial"/>
        </w:rPr>
        <w:t xml:space="preserve">hier </w:t>
      </w:r>
      <w:r>
        <w:rPr>
          <w:rFonts w:ascii="Arial" w:hAnsi="Arial"/>
        </w:rPr>
        <w:t xml:space="preserve">von </w:t>
      </w:r>
      <w:r w:rsidRPr="00F35CB4">
        <w:rPr>
          <w:rFonts w:ascii="Arial" w:hAnsi="Arial"/>
        </w:rPr>
        <w:t xml:space="preserve">den jeweiligen Vermögenswerten im Ausland </w:t>
      </w:r>
      <w:r>
        <w:rPr>
          <w:rFonts w:ascii="Arial" w:hAnsi="Arial"/>
        </w:rPr>
        <w:t>ab</w:t>
      </w:r>
      <w:r w:rsidRPr="00F35CB4">
        <w:rPr>
          <w:rFonts w:ascii="Arial" w:hAnsi="Arial"/>
        </w:rPr>
        <w:t xml:space="preserve">. Bei Auswahl eines anderen </w:t>
      </w:r>
      <w:r>
        <w:rPr>
          <w:rFonts w:ascii="Arial" w:hAnsi="Arial"/>
        </w:rPr>
        <w:t>Kriterium</w:t>
      </w:r>
      <w:r w:rsidRPr="00F35CB4">
        <w:rPr>
          <w:rFonts w:ascii="Arial" w:hAnsi="Arial"/>
        </w:rPr>
        <w:t xml:space="preserve">s – zum Beispiel Vermögenswerte im In- und Ausland oder Anzahl der Beschäftigten – würde sich die </w:t>
      </w:r>
      <w:r>
        <w:rPr>
          <w:rFonts w:ascii="Arial" w:hAnsi="Arial"/>
        </w:rPr>
        <w:t xml:space="preserve">Rangfolge </w:t>
      </w:r>
      <w:r w:rsidRPr="00F35CB4">
        <w:rPr>
          <w:rFonts w:ascii="Arial" w:hAnsi="Arial"/>
        </w:rPr>
        <w:t xml:space="preserve">der </w:t>
      </w:r>
      <w:r>
        <w:rPr>
          <w:rFonts w:ascii="Arial" w:hAnsi="Arial"/>
        </w:rPr>
        <w:t xml:space="preserve">Top </w:t>
      </w:r>
      <w:r w:rsidRPr="00F35CB4">
        <w:rPr>
          <w:rFonts w:ascii="Arial" w:hAnsi="Arial"/>
        </w:rPr>
        <w:t xml:space="preserve">100 </w:t>
      </w:r>
      <w:r>
        <w:rPr>
          <w:rFonts w:ascii="Arial" w:hAnsi="Arial"/>
        </w:rPr>
        <w:t>M</w:t>
      </w:r>
      <w:r w:rsidRPr="00F35CB4">
        <w:rPr>
          <w:rFonts w:ascii="Arial" w:hAnsi="Arial"/>
        </w:rPr>
        <w:t>NU entsprechend ändern.</w:t>
      </w:r>
      <w:r w:rsidRPr="009C3605">
        <w:rPr>
          <w:rFonts w:ascii="Arial" w:hAnsi="Arial"/>
        </w:rPr>
        <w:t xml:space="preserve"> Die MNU bestehen aus einem Mutterunternehmen und den dazugehörenden Tochterunternehmen.</w:t>
      </w:r>
    </w:p>
    <w:p w14:paraId="684627BF" w14:textId="77777777" w:rsidR="00F67A3E" w:rsidRDefault="00F67A3E" w:rsidP="00E61084">
      <w:pPr>
        <w:rPr>
          <w:rFonts w:ascii="Arial" w:hAnsi="Arial"/>
        </w:rPr>
      </w:pPr>
    </w:p>
    <w:p w14:paraId="71491E4B" w14:textId="77777777" w:rsidR="00E61084" w:rsidRDefault="00E61084" w:rsidP="00E61084">
      <w:pPr>
        <w:rPr>
          <w:rFonts w:ascii="Arial" w:hAnsi="Arial"/>
        </w:rPr>
      </w:pPr>
      <w:r w:rsidRPr="00F35CB4">
        <w:rPr>
          <w:rFonts w:ascii="Arial" w:hAnsi="Arial"/>
        </w:rPr>
        <w:t xml:space="preserve">Zu den </w:t>
      </w:r>
      <w:r w:rsidRPr="007811DB">
        <w:rPr>
          <w:rFonts w:ascii="Arial" w:hAnsi="Arial"/>
          <w:b/>
        </w:rPr>
        <w:t>Vermögenswerten</w:t>
      </w:r>
      <w:r w:rsidRPr="00F35CB4">
        <w:rPr>
          <w:rFonts w:ascii="Arial" w:hAnsi="Arial"/>
        </w:rPr>
        <w:t xml:space="preserve"> eines Unternehmens gehören immaterielle Vermögensgegenstände (Konzessionen, Lizenzen, Patente, Marken), Sachanlagen (Grundstücke, Gebäude, technische Anlagen, Maschinen, Betriebs- und Geschäftsausstattung), Finanzanlagen (Unternehmensanteile, Beteiligungen, Wertpapiere des Anlagevermögens), Vorräte (Rohstoffe, Waren), Forderungen, Wertpapiere, Barreserven und andere liquide Mittel</w:t>
      </w:r>
      <w:r>
        <w:rPr>
          <w:rFonts w:ascii="Arial" w:hAnsi="Arial"/>
        </w:rPr>
        <w:t>.</w:t>
      </w:r>
    </w:p>
    <w:p w14:paraId="6CBB1440" w14:textId="77777777" w:rsidR="00F67A3E" w:rsidRDefault="00F67A3E" w:rsidP="00E61084">
      <w:pPr>
        <w:rPr>
          <w:rFonts w:ascii="Arial" w:hAnsi="Arial"/>
        </w:rPr>
      </w:pPr>
    </w:p>
    <w:p w14:paraId="320FFF5F" w14:textId="77777777" w:rsidR="007B7E89" w:rsidRPr="00D83506" w:rsidRDefault="007B7E89" w:rsidP="007B7E89">
      <w:pPr>
        <w:rPr>
          <w:rFonts w:ascii="Arial" w:hAnsi="Arial"/>
          <w:sz w:val="20"/>
          <w:szCs w:val="20"/>
        </w:rPr>
      </w:pPr>
      <w:r>
        <w:rPr>
          <w:rFonts w:ascii="Arial" w:hAnsi="Arial"/>
          <w:sz w:val="20"/>
          <w:szCs w:val="20"/>
        </w:rPr>
        <w:t>D</w:t>
      </w:r>
      <w:r w:rsidRPr="00D83506">
        <w:rPr>
          <w:rFonts w:ascii="Arial" w:hAnsi="Arial"/>
          <w:sz w:val="20"/>
          <w:szCs w:val="20"/>
        </w:rPr>
        <w:t xml:space="preserve">ieser Text ist unter der Creative Commons Lizenz CC BY-NC-ND 4.0 veröffentlicht. </w:t>
      </w:r>
    </w:p>
    <w:p w14:paraId="3D07F782" w14:textId="68507104" w:rsidR="007A2CF2" w:rsidRPr="007B7E89" w:rsidRDefault="007B7E89" w:rsidP="007B7E89">
      <w:pPr>
        <w:rPr>
          <w:rFonts w:ascii="Arial" w:hAnsi="Arial"/>
          <w:sz w:val="20"/>
          <w:szCs w:val="20"/>
        </w:rPr>
      </w:pPr>
      <w:r w:rsidRPr="00D83506">
        <w:rPr>
          <w:rFonts w:ascii="Arial" w:hAnsi="Arial"/>
          <w:sz w:val="20"/>
          <w:szCs w:val="20"/>
        </w:rPr>
        <w:t>Bundeszentrale für politische Bildung 202</w:t>
      </w:r>
      <w:r>
        <w:rPr>
          <w:rFonts w:ascii="Arial" w:hAnsi="Arial"/>
          <w:sz w:val="20"/>
          <w:szCs w:val="20"/>
        </w:rPr>
        <w:t>5</w:t>
      </w:r>
      <w:r w:rsidRPr="00D83506">
        <w:rPr>
          <w:rFonts w:ascii="Arial" w:hAnsi="Arial"/>
          <w:sz w:val="20"/>
          <w:szCs w:val="20"/>
        </w:rPr>
        <w:t xml:space="preserve"> | </w:t>
      </w:r>
      <w:hyperlink r:id="rId7" w:history="1">
        <w:r w:rsidRPr="00D83506">
          <w:rPr>
            <w:rFonts w:ascii="Arial" w:hAnsi="Arial"/>
            <w:sz w:val="20"/>
            <w:szCs w:val="20"/>
          </w:rPr>
          <w:t>www.bpb.de</w:t>
        </w:r>
      </w:hyperlink>
    </w:p>
    <w:sectPr w:rsidR="007A2CF2" w:rsidRPr="007B7E8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B454" w14:textId="77777777" w:rsidR="00B71617" w:rsidRDefault="00B71617" w:rsidP="002F467D">
      <w:r>
        <w:separator/>
      </w:r>
    </w:p>
  </w:endnote>
  <w:endnote w:type="continuationSeparator" w:id="0">
    <w:p w14:paraId="58D999D6" w14:textId="77777777" w:rsidR="00B71617" w:rsidRDefault="00B71617" w:rsidP="002F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6F0F" w14:textId="77777777" w:rsidR="00B71617" w:rsidRDefault="00B71617" w:rsidP="002F467D">
      <w:r>
        <w:separator/>
      </w:r>
    </w:p>
  </w:footnote>
  <w:footnote w:type="continuationSeparator" w:id="0">
    <w:p w14:paraId="610EC62D" w14:textId="77777777" w:rsidR="00B71617" w:rsidRDefault="00B71617" w:rsidP="002F4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859FE"/>
    <w:multiLevelType w:val="hybridMultilevel"/>
    <w:tmpl w:val="797AD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678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08"/>
    <w:rsid w:val="00055F6E"/>
    <w:rsid w:val="000B7580"/>
    <w:rsid w:val="001043E2"/>
    <w:rsid w:val="00113942"/>
    <w:rsid w:val="00173208"/>
    <w:rsid w:val="001B582C"/>
    <w:rsid w:val="002562C3"/>
    <w:rsid w:val="00267AA5"/>
    <w:rsid w:val="002D16FE"/>
    <w:rsid w:val="002F467D"/>
    <w:rsid w:val="00346C7B"/>
    <w:rsid w:val="003840E7"/>
    <w:rsid w:val="003C2BCB"/>
    <w:rsid w:val="00407416"/>
    <w:rsid w:val="0048162E"/>
    <w:rsid w:val="00491572"/>
    <w:rsid w:val="004C1B39"/>
    <w:rsid w:val="005272B4"/>
    <w:rsid w:val="0055678C"/>
    <w:rsid w:val="005960F3"/>
    <w:rsid w:val="005A02D9"/>
    <w:rsid w:val="005D15AC"/>
    <w:rsid w:val="0060498D"/>
    <w:rsid w:val="00614013"/>
    <w:rsid w:val="006918EE"/>
    <w:rsid w:val="00693F07"/>
    <w:rsid w:val="006F11E9"/>
    <w:rsid w:val="00700734"/>
    <w:rsid w:val="0071249B"/>
    <w:rsid w:val="0071394E"/>
    <w:rsid w:val="00724366"/>
    <w:rsid w:val="00731E93"/>
    <w:rsid w:val="00751FD1"/>
    <w:rsid w:val="007856B4"/>
    <w:rsid w:val="007A2CF2"/>
    <w:rsid w:val="007B7E89"/>
    <w:rsid w:val="007F0ACB"/>
    <w:rsid w:val="007F3C66"/>
    <w:rsid w:val="007F425D"/>
    <w:rsid w:val="00807B95"/>
    <w:rsid w:val="008136A5"/>
    <w:rsid w:val="00833BAD"/>
    <w:rsid w:val="00833BF3"/>
    <w:rsid w:val="0086034A"/>
    <w:rsid w:val="008863E3"/>
    <w:rsid w:val="008A6B3A"/>
    <w:rsid w:val="008B5E37"/>
    <w:rsid w:val="008C0866"/>
    <w:rsid w:val="008E26D2"/>
    <w:rsid w:val="00937846"/>
    <w:rsid w:val="00944C4C"/>
    <w:rsid w:val="00955559"/>
    <w:rsid w:val="00961AD2"/>
    <w:rsid w:val="00981E33"/>
    <w:rsid w:val="009A3192"/>
    <w:rsid w:val="009C50EB"/>
    <w:rsid w:val="009F0EC9"/>
    <w:rsid w:val="00A06C63"/>
    <w:rsid w:val="00A21BAE"/>
    <w:rsid w:val="00A30FCC"/>
    <w:rsid w:val="00A76AA6"/>
    <w:rsid w:val="00A829E2"/>
    <w:rsid w:val="00B32408"/>
    <w:rsid w:val="00B45FCF"/>
    <w:rsid w:val="00B61A25"/>
    <w:rsid w:val="00B64EBF"/>
    <w:rsid w:val="00B71617"/>
    <w:rsid w:val="00B91200"/>
    <w:rsid w:val="00B954E9"/>
    <w:rsid w:val="00C159BB"/>
    <w:rsid w:val="00C30E66"/>
    <w:rsid w:val="00C41F09"/>
    <w:rsid w:val="00C422E0"/>
    <w:rsid w:val="00C57C18"/>
    <w:rsid w:val="00C66560"/>
    <w:rsid w:val="00C7793B"/>
    <w:rsid w:val="00C862B2"/>
    <w:rsid w:val="00CB7722"/>
    <w:rsid w:val="00CD0BAF"/>
    <w:rsid w:val="00CE08F9"/>
    <w:rsid w:val="00CE78CF"/>
    <w:rsid w:val="00D11C11"/>
    <w:rsid w:val="00D16BC6"/>
    <w:rsid w:val="00D52E96"/>
    <w:rsid w:val="00D80A5E"/>
    <w:rsid w:val="00DB2FB3"/>
    <w:rsid w:val="00DD0300"/>
    <w:rsid w:val="00E34E97"/>
    <w:rsid w:val="00E362DB"/>
    <w:rsid w:val="00E516AC"/>
    <w:rsid w:val="00E61084"/>
    <w:rsid w:val="00E71703"/>
    <w:rsid w:val="00E766FE"/>
    <w:rsid w:val="00E95659"/>
    <w:rsid w:val="00EF7E86"/>
    <w:rsid w:val="00F2315F"/>
    <w:rsid w:val="00F67A3E"/>
    <w:rsid w:val="00F848E1"/>
    <w:rsid w:val="00FD0E61"/>
    <w:rsid w:val="00FD48F7"/>
    <w:rsid w:val="00FE4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E9189"/>
  <w15:docId w15:val="{83AC4238-83F5-448C-8A01-938A9763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1F09"/>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basedOn w:val="Absatz-Standardschriftart"/>
    <w:rPr>
      <w:color w:val="0000FF"/>
      <w:u w:val="single"/>
    </w:rPr>
  </w:style>
  <w:style w:type="character" w:styleId="HTMLAkronym">
    <w:name w:val="HTML Acronym"/>
    <w:basedOn w:val="Absatz-Standardschriftart"/>
  </w:style>
  <w:style w:type="paragraph" w:styleId="Sprechblasentext">
    <w:name w:val="Balloon Text"/>
    <w:basedOn w:val="Standard"/>
    <w:semiHidden/>
    <w:rsid w:val="00B32408"/>
    <w:rPr>
      <w:rFonts w:ascii="Tahoma" w:hAnsi="Tahoma" w:cs="Tahoma"/>
      <w:sz w:val="16"/>
      <w:szCs w:val="16"/>
    </w:rPr>
  </w:style>
  <w:style w:type="paragraph" w:styleId="Kopfzeile">
    <w:name w:val="header"/>
    <w:basedOn w:val="Standard"/>
    <w:link w:val="KopfzeileZchn"/>
    <w:uiPriority w:val="99"/>
    <w:unhideWhenUsed/>
    <w:rsid w:val="002F467D"/>
    <w:pPr>
      <w:tabs>
        <w:tab w:val="center" w:pos="4536"/>
        <w:tab w:val="right" w:pos="9072"/>
      </w:tabs>
    </w:pPr>
  </w:style>
  <w:style w:type="character" w:customStyle="1" w:styleId="KopfzeileZchn">
    <w:name w:val="Kopfzeile Zchn"/>
    <w:basedOn w:val="Absatz-Standardschriftart"/>
    <w:link w:val="Kopfzeile"/>
    <w:uiPriority w:val="99"/>
    <w:rsid w:val="002F467D"/>
    <w:rPr>
      <w:sz w:val="24"/>
      <w:szCs w:val="24"/>
    </w:rPr>
  </w:style>
  <w:style w:type="paragraph" w:styleId="Fuzeile">
    <w:name w:val="footer"/>
    <w:basedOn w:val="Standard"/>
    <w:link w:val="FuzeileZchn"/>
    <w:uiPriority w:val="99"/>
    <w:unhideWhenUsed/>
    <w:rsid w:val="002F467D"/>
    <w:pPr>
      <w:tabs>
        <w:tab w:val="center" w:pos="4536"/>
        <w:tab w:val="right" w:pos="9072"/>
      </w:tabs>
    </w:pPr>
  </w:style>
  <w:style w:type="character" w:customStyle="1" w:styleId="FuzeileZchn">
    <w:name w:val="Fußzeile Zchn"/>
    <w:basedOn w:val="Absatz-Standardschriftart"/>
    <w:link w:val="Fuzeile"/>
    <w:uiPriority w:val="99"/>
    <w:rsid w:val="002F467D"/>
    <w:rPr>
      <w:sz w:val="24"/>
      <w:szCs w:val="24"/>
    </w:rPr>
  </w:style>
  <w:style w:type="paragraph" w:styleId="Listenabsatz">
    <w:name w:val="List Paragraph"/>
    <w:basedOn w:val="Standard"/>
    <w:uiPriority w:val="34"/>
    <w:qFormat/>
    <w:rsid w:val="00E34E97"/>
    <w:pPr>
      <w:ind w:left="720"/>
      <w:contextualSpacing/>
    </w:pPr>
  </w:style>
  <w:style w:type="paragraph" w:styleId="berarbeitung">
    <w:name w:val="Revision"/>
    <w:hidden/>
    <w:uiPriority w:val="99"/>
    <w:semiHidden/>
    <w:rsid w:val="007243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4249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Christian Hartmann</cp:lastModifiedBy>
  <cp:revision>5</cp:revision>
  <dcterms:created xsi:type="dcterms:W3CDTF">2026-03-06T09:13:00Z</dcterms:created>
  <dcterms:modified xsi:type="dcterms:W3CDTF">2026-03-15T14:55:00Z</dcterms:modified>
</cp:coreProperties>
</file>