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DC72F" w14:textId="0157DC8A" w:rsidR="00864FC8" w:rsidRPr="00715DC0" w:rsidRDefault="00864FC8" w:rsidP="00715DC0">
      <w:pPr>
        <w:pStyle w:val="Listenabsatz"/>
        <w:numPr>
          <w:ilvl w:val="0"/>
          <w:numId w:val="1"/>
        </w:numPr>
        <w:rPr>
          <w:rFonts w:ascii="Arial" w:hAnsi="Arial"/>
          <w:b/>
          <w:bCs/>
        </w:rPr>
      </w:pPr>
      <w:r w:rsidRPr="00715DC0">
        <w:rPr>
          <w:rFonts w:ascii="Arial" w:hAnsi="Arial"/>
          <w:b/>
          <w:bCs/>
        </w:rPr>
        <w:t>Die – nach Vermögenswerten im Ausland – 100 größten MNU hatten im Jahr 2024 ein Gesamtvermögen von 19,7 Bill. US$, ihr Umsatz lag bei 12,1 Bill. US$ und sie beschäftigten 18,5 Mio. Personen.</w:t>
      </w:r>
    </w:p>
    <w:p w14:paraId="41AE4FCE" w14:textId="77777777" w:rsidR="00864FC8" w:rsidRPr="00715DC0" w:rsidRDefault="00864FC8" w:rsidP="00864FC8">
      <w:pPr>
        <w:rPr>
          <w:rFonts w:ascii="Arial" w:hAnsi="Arial"/>
          <w:b/>
          <w:bCs/>
        </w:rPr>
      </w:pPr>
    </w:p>
    <w:p w14:paraId="7155FE2A" w14:textId="3D5BAD50" w:rsidR="00715DC0" w:rsidRPr="00715DC0" w:rsidRDefault="00715DC0" w:rsidP="00715DC0">
      <w:pPr>
        <w:pStyle w:val="Listenabsatz"/>
        <w:numPr>
          <w:ilvl w:val="0"/>
          <w:numId w:val="1"/>
        </w:numPr>
        <w:rPr>
          <w:rFonts w:ascii="Arial" w:hAnsi="Arial"/>
          <w:b/>
          <w:bCs/>
        </w:rPr>
      </w:pPr>
      <w:r w:rsidRPr="00715DC0">
        <w:rPr>
          <w:rFonts w:ascii="Arial" w:hAnsi="Arial"/>
          <w:b/>
          <w:bCs/>
        </w:rPr>
        <w:t>Das Auslandsengagement der Top 100 MNU ist vor allem zwischen 1995 und 2015 stark gestiegen.</w:t>
      </w:r>
    </w:p>
    <w:p w14:paraId="5B3B2B2C" w14:textId="77777777" w:rsidR="00715DC0" w:rsidRPr="00715DC0" w:rsidRDefault="00715DC0" w:rsidP="008D00BB">
      <w:pPr>
        <w:rPr>
          <w:rFonts w:ascii="Arial" w:hAnsi="Arial"/>
          <w:b/>
          <w:bCs/>
        </w:rPr>
      </w:pPr>
    </w:p>
    <w:p w14:paraId="37864205" w14:textId="0D6880A0" w:rsidR="00864FC8" w:rsidRPr="00715DC0" w:rsidRDefault="00715DC0" w:rsidP="00715DC0">
      <w:pPr>
        <w:pStyle w:val="Listenabsatz"/>
        <w:numPr>
          <w:ilvl w:val="0"/>
          <w:numId w:val="1"/>
        </w:numPr>
        <w:rPr>
          <w:rFonts w:ascii="Arial" w:hAnsi="Arial"/>
          <w:b/>
          <w:bCs/>
        </w:rPr>
      </w:pPr>
      <w:r w:rsidRPr="00715DC0">
        <w:rPr>
          <w:rFonts w:ascii="Arial" w:hAnsi="Arial"/>
          <w:b/>
          <w:bCs/>
        </w:rPr>
        <w:t xml:space="preserve">Insbesondere </w:t>
      </w:r>
      <w:r w:rsidR="00864FC8" w:rsidRPr="00715DC0">
        <w:rPr>
          <w:rFonts w:ascii="Arial" w:hAnsi="Arial"/>
          <w:b/>
          <w:bCs/>
        </w:rPr>
        <w:t xml:space="preserve">beim Vermögen und bei den Umsätzen haben die Top 10 MNU überdurchschnittlich hohe Anteile. </w:t>
      </w:r>
      <w:r w:rsidRPr="00715DC0">
        <w:rPr>
          <w:rFonts w:ascii="Arial" w:hAnsi="Arial"/>
          <w:b/>
          <w:bCs/>
        </w:rPr>
        <w:t>Zudem ist bei den Top 10 die Bedeutung der Auslandsmärkte nochmals höher.</w:t>
      </w:r>
    </w:p>
    <w:p w14:paraId="14D13438" w14:textId="77777777" w:rsidR="00715DC0" w:rsidRPr="00715DC0" w:rsidRDefault="00715DC0" w:rsidP="008D00BB">
      <w:pPr>
        <w:rPr>
          <w:rFonts w:ascii="Arial" w:hAnsi="Arial"/>
          <w:b/>
          <w:bCs/>
        </w:rPr>
      </w:pPr>
    </w:p>
    <w:p w14:paraId="10094B51" w14:textId="1074D5C2" w:rsidR="00715DC0" w:rsidRPr="00715DC0" w:rsidRDefault="00715DC0" w:rsidP="008D00BB">
      <w:pPr>
        <w:pStyle w:val="Listenabsatz"/>
        <w:numPr>
          <w:ilvl w:val="0"/>
          <w:numId w:val="1"/>
        </w:numPr>
        <w:rPr>
          <w:rFonts w:ascii="Arial" w:hAnsi="Arial"/>
        </w:rPr>
      </w:pPr>
      <w:r w:rsidRPr="00715DC0">
        <w:rPr>
          <w:rFonts w:ascii="Arial" w:hAnsi="Arial"/>
          <w:b/>
          <w:bCs/>
        </w:rPr>
        <w:t>Trotz der Transnationalisierung bleibt die ökonomische Bedeutung der Heimatmärkte meistens groß, da sich die Auslandsaktivitäten der MNU auf eine Vielzahl von Staaten verteilen.</w:t>
      </w:r>
    </w:p>
    <w:p w14:paraId="7C55D4D7" w14:textId="77777777" w:rsidR="00864FC8" w:rsidRPr="0064146F" w:rsidRDefault="00864FC8" w:rsidP="008D00BB">
      <w:pPr>
        <w:rPr>
          <w:rFonts w:ascii="Arial" w:hAnsi="Arial"/>
          <w:b/>
        </w:rPr>
      </w:pPr>
    </w:p>
    <w:p w14:paraId="5BD45355" w14:textId="77777777" w:rsidR="00D25A9E" w:rsidRPr="00F35CB4" w:rsidRDefault="00866A9F" w:rsidP="00D25A9E">
      <w:pPr>
        <w:rPr>
          <w:rFonts w:ascii="Arial" w:hAnsi="Arial"/>
        </w:rPr>
      </w:pPr>
      <w:r w:rsidRPr="00B07C7C">
        <w:rPr>
          <w:rFonts w:ascii="Arial" w:hAnsi="Arial"/>
          <w:color w:val="FF0000"/>
        </w:rPr>
        <w:t>Fakten</w:t>
      </w:r>
    </w:p>
    <w:p w14:paraId="7B8DCB20" w14:textId="77777777" w:rsidR="0075307D" w:rsidRPr="00087606" w:rsidRDefault="0075307D">
      <w:pPr>
        <w:rPr>
          <w:rFonts w:ascii="Arial" w:hAnsi="Arial"/>
        </w:rPr>
      </w:pPr>
    </w:p>
    <w:p w14:paraId="785E684A" w14:textId="77777777" w:rsidR="00574B9D" w:rsidRDefault="00780729" w:rsidP="00574B9D">
      <w:pPr>
        <w:rPr>
          <w:rFonts w:ascii="Arial" w:hAnsi="Arial"/>
        </w:rPr>
      </w:pPr>
      <w:r w:rsidRPr="00087606">
        <w:rPr>
          <w:rFonts w:ascii="Arial" w:hAnsi="Arial"/>
        </w:rPr>
        <w:t xml:space="preserve">Multinationale Unternehmen (MNU) können als treibende Kraft der Globalisierung betrachtet werden, da sie über die organisatorischen, technischen und finanziellen Ressourcen verfügen, um eine Strategie des 'global-sourcing' umzusetzen. Durch brancheninterne Fusionen, Unternehmenskäufe und -beteiligungen bzw. durch </w:t>
      </w:r>
      <w:r w:rsidR="00087606">
        <w:rPr>
          <w:rFonts w:ascii="Arial" w:hAnsi="Arial"/>
        </w:rPr>
        <w:t xml:space="preserve">Vorteile bei der </w:t>
      </w:r>
      <w:r w:rsidRPr="00087606">
        <w:rPr>
          <w:rFonts w:ascii="Arial" w:hAnsi="Arial"/>
        </w:rPr>
        <w:t>Markterschließung, Marktsicherung und Kostenersparnis haben die MNU ihre Marktmacht weiter ausgebaut</w:t>
      </w:r>
      <w:r w:rsidR="006270F9" w:rsidRPr="00087606">
        <w:rPr>
          <w:rFonts w:ascii="Arial" w:hAnsi="Arial"/>
        </w:rPr>
        <w:t>.</w:t>
      </w:r>
    </w:p>
    <w:p w14:paraId="6E069BA3" w14:textId="77777777" w:rsidR="00574B9D" w:rsidRDefault="00574B9D" w:rsidP="00574B9D">
      <w:pPr>
        <w:rPr>
          <w:rFonts w:ascii="Arial" w:hAnsi="Arial"/>
        </w:rPr>
      </w:pPr>
    </w:p>
    <w:p w14:paraId="446E3C11" w14:textId="77777777" w:rsidR="00574B9D" w:rsidRDefault="00780729" w:rsidP="00574B9D">
      <w:pPr>
        <w:rPr>
          <w:rFonts w:ascii="Arial" w:hAnsi="Arial"/>
        </w:rPr>
      </w:pPr>
      <w:r w:rsidRPr="00A829B9">
        <w:rPr>
          <w:rFonts w:ascii="Arial" w:hAnsi="Arial"/>
        </w:rPr>
        <w:t>Die – nach Vermögenswerten im Ausland – 100 größten MNU hatten im Jahr 20</w:t>
      </w:r>
      <w:r w:rsidR="00087606" w:rsidRPr="00A829B9">
        <w:rPr>
          <w:rFonts w:ascii="Arial" w:hAnsi="Arial"/>
        </w:rPr>
        <w:t>24</w:t>
      </w:r>
      <w:r w:rsidRPr="00A829B9">
        <w:rPr>
          <w:rFonts w:ascii="Arial" w:hAnsi="Arial"/>
        </w:rPr>
        <w:t xml:space="preserve"> </w:t>
      </w:r>
      <w:r w:rsidR="00391E5F" w:rsidRPr="00A829B9">
        <w:rPr>
          <w:rFonts w:ascii="Arial" w:hAnsi="Arial"/>
        </w:rPr>
        <w:t xml:space="preserve">ein Gesamtvermögen von </w:t>
      </w:r>
      <w:r w:rsidR="00087606" w:rsidRPr="00A829B9">
        <w:rPr>
          <w:rFonts w:ascii="Arial" w:hAnsi="Arial"/>
        </w:rPr>
        <w:t>19</w:t>
      </w:r>
      <w:r w:rsidR="00391E5F" w:rsidRPr="00A829B9">
        <w:rPr>
          <w:rFonts w:ascii="Arial" w:hAnsi="Arial"/>
        </w:rPr>
        <w:t>,</w:t>
      </w:r>
      <w:r w:rsidR="00087606" w:rsidRPr="00A829B9">
        <w:rPr>
          <w:rFonts w:ascii="Arial" w:hAnsi="Arial"/>
        </w:rPr>
        <w:t>7</w:t>
      </w:r>
      <w:r w:rsidR="00391E5F" w:rsidRPr="00A829B9">
        <w:rPr>
          <w:rFonts w:ascii="Arial" w:hAnsi="Arial"/>
        </w:rPr>
        <w:t xml:space="preserve"> Billionen US-Dollar, davon entfielen </w:t>
      </w:r>
      <w:r w:rsidR="00087606" w:rsidRPr="00A829B9">
        <w:rPr>
          <w:rFonts w:ascii="Arial" w:hAnsi="Arial"/>
        </w:rPr>
        <w:t>10,2</w:t>
      </w:r>
      <w:r w:rsidR="00391E5F" w:rsidRPr="00A829B9">
        <w:rPr>
          <w:rFonts w:ascii="Arial" w:hAnsi="Arial"/>
        </w:rPr>
        <w:t xml:space="preserve"> Billionen US-Dollar auf das Ausland (</w:t>
      </w:r>
      <w:r w:rsidR="00087606" w:rsidRPr="00A829B9">
        <w:rPr>
          <w:rFonts w:ascii="Arial" w:hAnsi="Arial"/>
        </w:rPr>
        <w:t>52</w:t>
      </w:r>
      <w:r w:rsidR="00391E5F" w:rsidRPr="00A829B9">
        <w:rPr>
          <w:rFonts w:ascii="Arial" w:hAnsi="Arial"/>
        </w:rPr>
        <w:t xml:space="preserve"> Prozent). Der Umsatz der Top 100 lag im selben Jahr bei </w:t>
      </w:r>
      <w:r w:rsidR="00087606" w:rsidRPr="00A829B9">
        <w:rPr>
          <w:rFonts w:ascii="Arial" w:hAnsi="Arial"/>
        </w:rPr>
        <w:t>12,1</w:t>
      </w:r>
      <w:r w:rsidR="00391E5F" w:rsidRPr="00A829B9">
        <w:rPr>
          <w:rFonts w:ascii="Arial" w:hAnsi="Arial"/>
        </w:rPr>
        <w:t xml:space="preserve"> Billionen US-Dollar, </w:t>
      </w:r>
      <w:r w:rsidR="009E22FD" w:rsidRPr="00A829B9">
        <w:rPr>
          <w:rFonts w:ascii="Arial" w:hAnsi="Arial"/>
        </w:rPr>
        <w:t xml:space="preserve">wovon </w:t>
      </w:r>
      <w:r w:rsidR="00087606" w:rsidRPr="00A829B9">
        <w:rPr>
          <w:rFonts w:ascii="Arial" w:hAnsi="Arial"/>
        </w:rPr>
        <w:t>7,0</w:t>
      </w:r>
      <w:r w:rsidR="00391E5F" w:rsidRPr="00A829B9">
        <w:rPr>
          <w:rFonts w:ascii="Arial" w:hAnsi="Arial"/>
        </w:rPr>
        <w:t xml:space="preserve"> Billionen US-Dollar im Ausland erzielt </w:t>
      </w:r>
      <w:r w:rsidR="009E22FD" w:rsidRPr="00A829B9">
        <w:rPr>
          <w:rFonts w:ascii="Arial" w:hAnsi="Arial"/>
        </w:rPr>
        <w:t xml:space="preserve">wurden </w:t>
      </w:r>
      <w:r w:rsidR="00391E5F" w:rsidRPr="00A829B9">
        <w:rPr>
          <w:rFonts w:ascii="Arial" w:hAnsi="Arial"/>
        </w:rPr>
        <w:t>(</w:t>
      </w:r>
      <w:r w:rsidR="00087606" w:rsidRPr="00A829B9">
        <w:rPr>
          <w:rFonts w:ascii="Arial" w:hAnsi="Arial"/>
        </w:rPr>
        <w:t>58</w:t>
      </w:r>
      <w:r w:rsidR="00391E5F" w:rsidRPr="00A829B9">
        <w:rPr>
          <w:rFonts w:ascii="Arial" w:hAnsi="Arial"/>
        </w:rPr>
        <w:t xml:space="preserve"> Prozent). Von den </w:t>
      </w:r>
      <w:r w:rsidR="00087606" w:rsidRPr="00A829B9">
        <w:rPr>
          <w:rFonts w:ascii="Arial" w:hAnsi="Arial"/>
        </w:rPr>
        <w:t>18,5</w:t>
      </w:r>
      <w:r w:rsidR="00391E5F" w:rsidRPr="00A829B9">
        <w:rPr>
          <w:rFonts w:ascii="Arial" w:hAnsi="Arial"/>
        </w:rPr>
        <w:t xml:space="preserve"> Millionen Beschäftigten der Top 100 MNU waren </w:t>
      </w:r>
      <w:r w:rsidR="00087606" w:rsidRPr="00A829B9">
        <w:rPr>
          <w:rFonts w:ascii="Arial" w:hAnsi="Arial"/>
        </w:rPr>
        <w:t>9,0</w:t>
      </w:r>
      <w:r w:rsidR="00391E5F" w:rsidRPr="00A829B9">
        <w:rPr>
          <w:rFonts w:ascii="Arial" w:hAnsi="Arial"/>
        </w:rPr>
        <w:t xml:space="preserve"> Millionen in ausländischen Tochtergesellschaften beschäftigt (</w:t>
      </w:r>
      <w:r w:rsidR="00087606" w:rsidRPr="00A829B9">
        <w:rPr>
          <w:rFonts w:ascii="Arial" w:hAnsi="Arial"/>
        </w:rPr>
        <w:t>48</w:t>
      </w:r>
      <w:r w:rsidR="00391E5F" w:rsidRPr="00A829B9">
        <w:rPr>
          <w:rFonts w:ascii="Arial" w:hAnsi="Arial"/>
        </w:rPr>
        <w:t xml:space="preserve"> Prozent)</w:t>
      </w:r>
      <w:r w:rsidR="00574B9D">
        <w:rPr>
          <w:rFonts w:ascii="Arial" w:hAnsi="Arial"/>
        </w:rPr>
        <w:t>.</w:t>
      </w:r>
    </w:p>
    <w:p w14:paraId="1B51C1BB" w14:textId="77777777" w:rsidR="00574B9D" w:rsidRDefault="00574B9D" w:rsidP="00574B9D">
      <w:pPr>
        <w:rPr>
          <w:rFonts w:ascii="Arial" w:hAnsi="Arial"/>
        </w:rPr>
      </w:pPr>
    </w:p>
    <w:p w14:paraId="24C4D0CE" w14:textId="17EA072A" w:rsidR="006270F9" w:rsidRDefault="0075307D" w:rsidP="006F7D3D">
      <w:pPr>
        <w:rPr>
          <w:rFonts w:ascii="Arial" w:hAnsi="Arial"/>
        </w:rPr>
      </w:pPr>
      <w:r w:rsidRPr="000B4901">
        <w:rPr>
          <w:rFonts w:ascii="Arial" w:hAnsi="Arial"/>
        </w:rPr>
        <w:t xml:space="preserve">In der Gruppe der </w:t>
      </w:r>
      <w:r w:rsidR="009E22FD" w:rsidRPr="000B4901">
        <w:rPr>
          <w:rFonts w:ascii="Arial" w:hAnsi="Arial"/>
        </w:rPr>
        <w:t xml:space="preserve">nach Vermögenswerten im Ausland 100 größten MNU </w:t>
      </w:r>
      <w:r w:rsidRPr="000B4901">
        <w:rPr>
          <w:rFonts w:ascii="Arial" w:hAnsi="Arial"/>
        </w:rPr>
        <w:t xml:space="preserve">ist die ökonomische Bedeutung nochmals stark konzentriert: </w:t>
      </w:r>
      <w:r w:rsidR="009E22FD" w:rsidRPr="000B4901">
        <w:rPr>
          <w:rFonts w:ascii="Arial" w:hAnsi="Arial"/>
        </w:rPr>
        <w:t>Allein auf die Top 10 MNU entfielen 25,</w:t>
      </w:r>
      <w:r w:rsidR="000B4901" w:rsidRPr="000B4901">
        <w:rPr>
          <w:rFonts w:ascii="Arial" w:hAnsi="Arial"/>
        </w:rPr>
        <w:t>8</w:t>
      </w:r>
      <w:r w:rsidR="009E22FD" w:rsidRPr="000B4901">
        <w:rPr>
          <w:rFonts w:ascii="Arial" w:hAnsi="Arial"/>
        </w:rPr>
        <w:t xml:space="preserve"> Prozent der Vermögenswerte</w:t>
      </w:r>
      <w:r w:rsidR="000B4901" w:rsidRPr="000B4901">
        <w:rPr>
          <w:rFonts w:ascii="Arial" w:hAnsi="Arial"/>
        </w:rPr>
        <w:t xml:space="preserve"> </w:t>
      </w:r>
      <w:r w:rsidR="009E22FD" w:rsidRPr="000B4901">
        <w:rPr>
          <w:rFonts w:ascii="Arial" w:hAnsi="Arial"/>
        </w:rPr>
        <w:t>und 2</w:t>
      </w:r>
      <w:r w:rsidR="000B4901" w:rsidRPr="000B4901">
        <w:rPr>
          <w:rFonts w:ascii="Arial" w:hAnsi="Arial"/>
        </w:rPr>
        <w:t>4</w:t>
      </w:r>
      <w:r w:rsidR="009E22FD" w:rsidRPr="000B4901">
        <w:rPr>
          <w:rFonts w:ascii="Arial" w:hAnsi="Arial"/>
        </w:rPr>
        <w:t>,</w:t>
      </w:r>
      <w:r w:rsidR="000B4901" w:rsidRPr="000B4901">
        <w:rPr>
          <w:rFonts w:ascii="Arial" w:hAnsi="Arial"/>
        </w:rPr>
        <w:t>9</w:t>
      </w:r>
      <w:r w:rsidR="009E22FD" w:rsidRPr="000B4901">
        <w:rPr>
          <w:rFonts w:ascii="Arial" w:hAnsi="Arial"/>
        </w:rPr>
        <w:t xml:space="preserve"> Prozent des Umsatzes</w:t>
      </w:r>
      <w:r w:rsidR="000B4901" w:rsidRPr="000B4901">
        <w:rPr>
          <w:rFonts w:ascii="Arial" w:hAnsi="Arial"/>
        </w:rPr>
        <w:t xml:space="preserve"> im Ausland (2,7 bzw. 1,7 Bill. US-Dollar)</w:t>
      </w:r>
      <w:r w:rsidR="009E22FD" w:rsidRPr="000B4901">
        <w:rPr>
          <w:rFonts w:ascii="Arial" w:hAnsi="Arial"/>
        </w:rPr>
        <w:t xml:space="preserve">. Der Anteil an den Beschäftigten </w:t>
      </w:r>
      <w:r w:rsidR="000B4901" w:rsidRPr="000B4901">
        <w:rPr>
          <w:rFonts w:ascii="Arial" w:hAnsi="Arial"/>
        </w:rPr>
        <w:t xml:space="preserve">lag </w:t>
      </w:r>
      <w:r w:rsidR="009E22FD" w:rsidRPr="000B4901">
        <w:rPr>
          <w:rFonts w:ascii="Arial" w:hAnsi="Arial"/>
        </w:rPr>
        <w:t>mit 1</w:t>
      </w:r>
      <w:r w:rsidR="000B4901" w:rsidRPr="000B4901">
        <w:rPr>
          <w:rFonts w:ascii="Arial" w:hAnsi="Arial"/>
        </w:rPr>
        <w:t>4</w:t>
      </w:r>
      <w:r w:rsidR="009E22FD" w:rsidRPr="000B4901">
        <w:rPr>
          <w:rFonts w:ascii="Arial" w:hAnsi="Arial"/>
        </w:rPr>
        <w:t>,</w:t>
      </w:r>
      <w:r w:rsidR="000B4901" w:rsidRPr="000B4901">
        <w:rPr>
          <w:rFonts w:ascii="Arial" w:hAnsi="Arial"/>
        </w:rPr>
        <w:t>3</w:t>
      </w:r>
      <w:r w:rsidR="009E22FD" w:rsidRPr="000B4901">
        <w:rPr>
          <w:rFonts w:ascii="Arial" w:hAnsi="Arial"/>
        </w:rPr>
        <w:t xml:space="preserve"> Prozent </w:t>
      </w:r>
      <w:r w:rsidR="00864FC8">
        <w:rPr>
          <w:rFonts w:ascii="Arial" w:hAnsi="Arial"/>
        </w:rPr>
        <w:t xml:space="preserve">ebenfalls </w:t>
      </w:r>
      <w:r w:rsidR="009E22FD" w:rsidRPr="000B4901">
        <w:rPr>
          <w:rFonts w:ascii="Arial" w:hAnsi="Arial"/>
        </w:rPr>
        <w:t>über dem Durchschnitt (1,</w:t>
      </w:r>
      <w:r w:rsidR="000B4901" w:rsidRPr="000B4901">
        <w:rPr>
          <w:rFonts w:ascii="Arial" w:hAnsi="Arial"/>
        </w:rPr>
        <w:t>3</w:t>
      </w:r>
      <w:r w:rsidR="009E22FD" w:rsidRPr="000B4901">
        <w:rPr>
          <w:rFonts w:ascii="Arial" w:hAnsi="Arial"/>
        </w:rPr>
        <w:t xml:space="preserve"> Millionen)</w:t>
      </w:r>
      <w:r w:rsidR="006270F9" w:rsidRPr="000B4901">
        <w:rPr>
          <w:rFonts w:ascii="Arial" w:hAnsi="Arial"/>
        </w:rPr>
        <w:t xml:space="preserve">. </w:t>
      </w:r>
      <w:r w:rsidR="000B4901" w:rsidRPr="000B4901">
        <w:rPr>
          <w:rFonts w:ascii="Arial" w:hAnsi="Arial"/>
        </w:rPr>
        <w:t xml:space="preserve">Auch relativ zu den Gesamtwerten ist die Bedeutung der Auslandsmärkte </w:t>
      </w:r>
      <w:r w:rsidR="000B4901">
        <w:rPr>
          <w:rFonts w:ascii="Arial" w:hAnsi="Arial"/>
        </w:rPr>
        <w:t>bei den Top 10 MNU noch höher als bei den T</w:t>
      </w:r>
      <w:r w:rsidR="00B20929">
        <w:rPr>
          <w:rFonts w:ascii="Arial" w:hAnsi="Arial"/>
        </w:rPr>
        <w:t>op</w:t>
      </w:r>
      <w:r w:rsidR="000B4901">
        <w:rPr>
          <w:rFonts w:ascii="Arial" w:hAnsi="Arial"/>
        </w:rPr>
        <w:t xml:space="preserve"> 100: V</w:t>
      </w:r>
      <w:r w:rsidR="00EE7443" w:rsidRPr="000B4901">
        <w:rPr>
          <w:rFonts w:ascii="Arial" w:hAnsi="Arial"/>
        </w:rPr>
        <w:t xml:space="preserve">on den </w:t>
      </w:r>
      <w:r w:rsidR="006F7D3D" w:rsidRPr="000B4901">
        <w:rPr>
          <w:rFonts w:ascii="Arial" w:hAnsi="Arial"/>
        </w:rPr>
        <w:t>Vermögenswerte</w:t>
      </w:r>
      <w:r w:rsidR="00EE7443" w:rsidRPr="000B4901">
        <w:rPr>
          <w:rFonts w:ascii="Arial" w:hAnsi="Arial"/>
        </w:rPr>
        <w:t xml:space="preserve">n der Top 10 </w:t>
      </w:r>
      <w:r w:rsidR="007740C3" w:rsidRPr="000B4901">
        <w:rPr>
          <w:rFonts w:ascii="Arial" w:hAnsi="Arial"/>
        </w:rPr>
        <w:t xml:space="preserve">MNU </w:t>
      </w:r>
      <w:r w:rsidR="006F7D3D" w:rsidRPr="000B4901">
        <w:rPr>
          <w:rFonts w:ascii="Arial" w:hAnsi="Arial"/>
        </w:rPr>
        <w:t xml:space="preserve">entfielen </w:t>
      </w:r>
      <w:r w:rsidR="00EE7443" w:rsidRPr="000B4901">
        <w:rPr>
          <w:rFonts w:ascii="Arial" w:hAnsi="Arial"/>
        </w:rPr>
        <w:t>65,</w:t>
      </w:r>
      <w:r w:rsidR="000B4901" w:rsidRPr="000B4901">
        <w:rPr>
          <w:rFonts w:ascii="Arial" w:hAnsi="Arial"/>
        </w:rPr>
        <w:t>6</w:t>
      </w:r>
      <w:r w:rsidR="00EE7443" w:rsidRPr="000B4901">
        <w:rPr>
          <w:rFonts w:ascii="Arial" w:hAnsi="Arial"/>
        </w:rPr>
        <w:t xml:space="preserve"> Prozent </w:t>
      </w:r>
      <w:r w:rsidR="006F7D3D" w:rsidRPr="000B4901">
        <w:rPr>
          <w:rFonts w:ascii="Arial" w:hAnsi="Arial"/>
        </w:rPr>
        <w:t>auf das Ausland</w:t>
      </w:r>
      <w:r w:rsidR="00977C59" w:rsidRPr="000B4901">
        <w:rPr>
          <w:rFonts w:ascii="Arial" w:hAnsi="Arial"/>
        </w:rPr>
        <w:t xml:space="preserve">, </w:t>
      </w:r>
      <w:r w:rsidR="000B4901" w:rsidRPr="000B4901">
        <w:rPr>
          <w:rFonts w:ascii="Arial" w:hAnsi="Arial"/>
        </w:rPr>
        <w:t>73</w:t>
      </w:r>
      <w:r w:rsidR="00977C59" w:rsidRPr="000B4901">
        <w:rPr>
          <w:rFonts w:ascii="Arial" w:hAnsi="Arial"/>
        </w:rPr>
        <w:t>,</w:t>
      </w:r>
      <w:r w:rsidR="000B4901" w:rsidRPr="000B4901">
        <w:rPr>
          <w:rFonts w:ascii="Arial" w:hAnsi="Arial"/>
        </w:rPr>
        <w:t>3</w:t>
      </w:r>
      <w:r w:rsidR="00977C59" w:rsidRPr="000B4901">
        <w:rPr>
          <w:rFonts w:ascii="Arial" w:hAnsi="Arial"/>
        </w:rPr>
        <w:t xml:space="preserve"> Prozent des Gesamtumsatzes wurden im Ausland erzielt und 57,</w:t>
      </w:r>
      <w:r w:rsidR="000B4901" w:rsidRPr="000B4901">
        <w:rPr>
          <w:rFonts w:ascii="Arial" w:hAnsi="Arial"/>
        </w:rPr>
        <w:t>6</w:t>
      </w:r>
      <w:r w:rsidR="00977C59" w:rsidRPr="000B4901">
        <w:rPr>
          <w:rFonts w:ascii="Arial" w:hAnsi="Arial"/>
        </w:rPr>
        <w:t xml:space="preserve"> </w:t>
      </w:r>
      <w:r w:rsidR="00864FC8" w:rsidRPr="000B4901">
        <w:rPr>
          <w:rFonts w:ascii="Arial" w:hAnsi="Arial"/>
        </w:rPr>
        <w:t xml:space="preserve">Prozent </w:t>
      </w:r>
      <w:r w:rsidR="00977C59" w:rsidRPr="000B4901">
        <w:rPr>
          <w:rFonts w:ascii="Arial" w:hAnsi="Arial"/>
        </w:rPr>
        <w:t xml:space="preserve">der Beschäftigten der Top 10 MNU waren </w:t>
      </w:r>
      <w:r w:rsidR="006F7D3D" w:rsidRPr="000B4901">
        <w:rPr>
          <w:rFonts w:ascii="Arial" w:hAnsi="Arial"/>
        </w:rPr>
        <w:t>im Ausland unter Vertrag</w:t>
      </w:r>
      <w:r w:rsidR="006270F9" w:rsidRPr="000B4901">
        <w:rPr>
          <w:rFonts w:ascii="Arial" w:hAnsi="Arial"/>
        </w:rPr>
        <w:t>.</w:t>
      </w:r>
    </w:p>
    <w:p w14:paraId="04CDF151" w14:textId="77777777" w:rsidR="00574B9D" w:rsidRDefault="00574B9D" w:rsidP="006F7D3D">
      <w:pPr>
        <w:rPr>
          <w:rFonts w:ascii="Arial" w:hAnsi="Arial"/>
        </w:rPr>
      </w:pPr>
    </w:p>
    <w:p w14:paraId="71A0DD8A" w14:textId="179C59D5" w:rsidR="006270F9" w:rsidRDefault="0075307D" w:rsidP="00273571">
      <w:pPr>
        <w:rPr>
          <w:rFonts w:ascii="Arial" w:hAnsi="Arial"/>
        </w:rPr>
      </w:pPr>
      <w:r w:rsidRPr="009B4B0A">
        <w:rPr>
          <w:rFonts w:ascii="Arial" w:hAnsi="Arial"/>
        </w:rPr>
        <w:t xml:space="preserve">Der Transnationalisierungsindex (TNI), der die Aktivitäten eines Unternehmens im Ausland misst, </w:t>
      </w:r>
      <w:r w:rsidR="00861070" w:rsidRPr="009B4B0A">
        <w:rPr>
          <w:rFonts w:ascii="Arial" w:hAnsi="Arial"/>
        </w:rPr>
        <w:t xml:space="preserve">lag </w:t>
      </w:r>
      <w:r w:rsidR="00762D35" w:rsidRPr="009B4B0A">
        <w:rPr>
          <w:rFonts w:ascii="Arial" w:hAnsi="Arial"/>
        </w:rPr>
        <w:t>20</w:t>
      </w:r>
      <w:r w:rsidR="00C253CC" w:rsidRPr="009B4B0A">
        <w:rPr>
          <w:rFonts w:ascii="Arial" w:hAnsi="Arial"/>
        </w:rPr>
        <w:t>24</w:t>
      </w:r>
      <w:r w:rsidR="00762D35" w:rsidRPr="009B4B0A">
        <w:rPr>
          <w:rFonts w:ascii="Arial" w:hAnsi="Arial"/>
        </w:rPr>
        <w:t xml:space="preserve"> </w:t>
      </w:r>
      <w:r w:rsidR="007740C3" w:rsidRPr="009B4B0A">
        <w:rPr>
          <w:rFonts w:ascii="Arial" w:hAnsi="Arial"/>
        </w:rPr>
        <w:t xml:space="preserve">bei den </w:t>
      </w:r>
      <w:r w:rsidR="00762D35" w:rsidRPr="009B4B0A">
        <w:rPr>
          <w:rFonts w:ascii="Arial" w:hAnsi="Arial"/>
        </w:rPr>
        <w:t>Top 10</w:t>
      </w:r>
      <w:r w:rsidR="009B4B0A">
        <w:rPr>
          <w:rFonts w:ascii="Arial" w:hAnsi="Arial"/>
        </w:rPr>
        <w:t>0</w:t>
      </w:r>
      <w:r w:rsidR="00762D35" w:rsidRPr="009B4B0A">
        <w:rPr>
          <w:rFonts w:ascii="Arial" w:hAnsi="Arial"/>
        </w:rPr>
        <w:t xml:space="preserve"> </w:t>
      </w:r>
      <w:r w:rsidR="00861070" w:rsidRPr="009B4B0A">
        <w:rPr>
          <w:rFonts w:ascii="Arial" w:hAnsi="Arial"/>
        </w:rPr>
        <w:t>M</w:t>
      </w:r>
      <w:r w:rsidRPr="009B4B0A">
        <w:rPr>
          <w:rFonts w:ascii="Arial" w:hAnsi="Arial"/>
        </w:rPr>
        <w:t xml:space="preserve">NU bei </w:t>
      </w:r>
      <w:r w:rsidR="007740C3" w:rsidRPr="009B4B0A">
        <w:rPr>
          <w:rFonts w:ascii="Arial" w:hAnsi="Arial"/>
        </w:rPr>
        <w:t xml:space="preserve">durchschnittlich </w:t>
      </w:r>
      <w:r w:rsidR="00861070" w:rsidRPr="009B4B0A">
        <w:rPr>
          <w:rFonts w:ascii="Arial" w:hAnsi="Arial"/>
        </w:rPr>
        <w:t>6</w:t>
      </w:r>
      <w:r w:rsidR="00C253CC" w:rsidRPr="009B4B0A">
        <w:rPr>
          <w:rFonts w:ascii="Arial" w:hAnsi="Arial"/>
        </w:rPr>
        <w:t>3,0</w:t>
      </w:r>
      <w:r w:rsidR="00861070" w:rsidRPr="009B4B0A">
        <w:rPr>
          <w:rFonts w:ascii="Arial" w:hAnsi="Arial"/>
        </w:rPr>
        <w:t xml:space="preserve"> Prozent</w:t>
      </w:r>
      <w:r w:rsidR="009B4B0A">
        <w:rPr>
          <w:rFonts w:ascii="Arial" w:hAnsi="Arial"/>
        </w:rPr>
        <w:t xml:space="preserve"> und bei den Top 10 MNU bei 69,8 Prozent</w:t>
      </w:r>
      <w:r w:rsidR="00762D35" w:rsidRPr="009B4B0A">
        <w:rPr>
          <w:rFonts w:ascii="Arial" w:hAnsi="Arial"/>
        </w:rPr>
        <w:t>.</w:t>
      </w:r>
      <w:r w:rsidR="009B4B0A" w:rsidRPr="009B4B0A">
        <w:rPr>
          <w:rFonts w:ascii="Arial" w:hAnsi="Arial"/>
        </w:rPr>
        <w:t xml:space="preserve"> Insgesamt erhöhte sich das Auslandsengagement der MNU deutlich: Zwischen 1995 und 2000 stieg der TNI-Wert der Top 100 MNU von durchschnittlich 51,5 auf 55,7 Prozent und zwischen 2005 und 2015 von 59,9 auf 65,4 Prozent. Bezogen auf die einzelnen Unternehmen bei den Top 100 lagen d</w:t>
      </w:r>
      <w:r w:rsidR="00C253CC" w:rsidRPr="009B4B0A">
        <w:rPr>
          <w:rFonts w:ascii="Arial" w:hAnsi="Arial"/>
        </w:rPr>
        <w:t xml:space="preserve">ie Werte </w:t>
      </w:r>
      <w:r w:rsidR="004772C8" w:rsidRPr="009B4B0A">
        <w:rPr>
          <w:rFonts w:ascii="Arial" w:hAnsi="Arial"/>
        </w:rPr>
        <w:t xml:space="preserve">des TNI </w:t>
      </w:r>
      <w:r w:rsidR="009B4B0A">
        <w:rPr>
          <w:rFonts w:ascii="Arial" w:hAnsi="Arial"/>
        </w:rPr>
        <w:t>i</w:t>
      </w:r>
      <w:r w:rsidR="009B4B0A" w:rsidRPr="009B4B0A">
        <w:rPr>
          <w:rFonts w:ascii="Arial" w:hAnsi="Arial"/>
        </w:rPr>
        <w:t>m Jahr 2024</w:t>
      </w:r>
      <w:r w:rsidR="009B4B0A">
        <w:rPr>
          <w:rFonts w:ascii="Arial" w:hAnsi="Arial"/>
        </w:rPr>
        <w:t xml:space="preserve"> z</w:t>
      </w:r>
      <w:r w:rsidR="004772C8" w:rsidRPr="009B4B0A">
        <w:rPr>
          <w:rFonts w:ascii="Arial" w:hAnsi="Arial"/>
        </w:rPr>
        <w:t xml:space="preserve">wischen </w:t>
      </w:r>
      <w:r w:rsidR="008340A8">
        <w:rPr>
          <w:rFonts w:ascii="Arial" w:hAnsi="Arial"/>
        </w:rPr>
        <w:t>3,9</w:t>
      </w:r>
      <w:r w:rsidR="004772C8" w:rsidRPr="009B4B0A">
        <w:rPr>
          <w:rFonts w:ascii="Arial" w:hAnsi="Arial"/>
        </w:rPr>
        <w:t xml:space="preserve"> und</w:t>
      </w:r>
      <w:r w:rsidR="008340A8">
        <w:rPr>
          <w:rFonts w:ascii="Arial" w:hAnsi="Arial"/>
        </w:rPr>
        <w:t xml:space="preserve"> </w:t>
      </w:r>
      <w:r w:rsidR="008340A8" w:rsidRPr="009B4B0A">
        <w:rPr>
          <w:rFonts w:ascii="Arial" w:hAnsi="Arial"/>
        </w:rPr>
        <w:t>99,7</w:t>
      </w:r>
      <w:r w:rsidR="008340A8">
        <w:rPr>
          <w:rFonts w:ascii="Arial" w:hAnsi="Arial"/>
        </w:rPr>
        <w:t xml:space="preserve"> P</w:t>
      </w:r>
      <w:r w:rsidR="004772C8" w:rsidRPr="009B4B0A">
        <w:rPr>
          <w:rFonts w:ascii="Arial" w:hAnsi="Arial"/>
        </w:rPr>
        <w:t>rozent</w:t>
      </w:r>
      <w:r w:rsidRPr="009B4B0A">
        <w:rPr>
          <w:rFonts w:ascii="Arial" w:hAnsi="Arial"/>
        </w:rPr>
        <w:t>.</w:t>
      </w:r>
      <w:r w:rsidR="009B4B0A" w:rsidRPr="009B4B0A">
        <w:rPr>
          <w:rFonts w:ascii="Arial" w:hAnsi="Arial"/>
        </w:rPr>
        <w:t xml:space="preserve"> Allerdings </w:t>
      </w:r>
      <w:r w:rsidRPr="009B4B0A">
        <w:rPr>
          <w:rFonts w:ascii="Arial" w:hAnsi="Arial"/>
        </w:rPr>
        <w:t xml:space="preserve">hatten </w:t>
      </w:r>
      <w:r w:rsidR="009B4B0A">
        <w:rPr>
          <w:rFonts w:ascii="Arial" w:hAnsi="Arial"/>
        </w:rPr>
        <w:t>45</w:t>
      </w:r>
      <w:r w:rsidRPr="009B4B0A">
        <w:rPr>
          <w:rFonts w:ascii="Arial" w:hAnsi="Arial"/>
        </w:rPr>
        <w:t xml:space="preserve"> der 100 größten </w:t>
      </w:r>
      <w:r w:rsidR="00273571" w:rsidRPr="009B4B0A">
        <w:rPr>
          <w:rFonts w:ascii="Arial" w:hAnsi="Arial"/>
        </w:rPr>
        <w:t>M</w:t>
      </w:r>
      <w:r w:rsidRPr="009B4B0A">
        <w:rPr>
          <w:rFonts w:ascii="Arial" w:hAnsi="Arial"/>
        </w:rPr>
        <w:t xml:space="preserve">NU einen TNI-Wert von mindestens </w:t>
      </w:r>
      <w:r w:rsidR="009B4B0A">
        <w:rPr>
          <w:rFonts w:ascii="Arial" w:hAnsi="Arial"/>
        </w:rPr>
        <w:t>7</w:t>
      </w:r>
      <w:r w:rsidRPr="009B4B0A">
        <w:rPr>
          <w:rFonts w:ascii="Arial" w:hAnsi="Arial"/>
        </w:rPr>
        <w:t>0 Prozent</w:t>
      </w:r>
      <w:r w:rsidR="009B4B0A">
        <w:rPr>
          <w:rFonts w:ascii="Arial" w:hAnsi="Arial"/>
        </w:rPr>
        <w:t xml:space="preserve"> und bei 31 weiteren Unternehmen lag der </w:t>
      </w:r>
      <w:r w:rsidR="009B4B0A" w:rsidRPr="009B4B0A">
        <w:rPr>
          <w:rFonts w:ascii="Arial" w:hAnsi="Arial"/>
        </w:rPr>
        <w:t>TNI-Wert</w:t>
      </w:r>
      <w:r w:rsidR="009B4B0A">
        <w:rPr>
          <w:rFonts w:ascii="Arial" w:hAnsi="Arial"/>
        </w:rPr>
        <w:t xml:space="preserve"> bei</w:t>
      </w:r>
      <w:r w:rsidR="009B4B0A" w:rsidRPr="009B4B0A">
        <w:rPr>
          <w:rFonts w:ascii="Arial" w:hAnsi="Arial"/>
        </w:rPr>
        <w:t xml:space="preserve"> mindestens </w:t>
      </w:r>
      <w:r w:rsidR="009B4B0A">
        <w:rPr>
          <w:rFonts w:ascii="Arial" w:hAnsi="Arial"/>
        </w:rPr>
        <w:t>5</w:t>
      </w:r>
      <w:r w:rsidR="009B4B0A" w:rsidRPr="009B4B0A">
        <w:rPr>
          <w:rFonts w:ascii="Arial" w:hAnsi="Arial"/>
        </w:rPr>
        <w:t xml:space="preserve">0 </w:t>
      </w:r>
      <w:r w:rsidR="009B4B0A" w:rsidRPr="009B4B0A">
        <w:rPr>
          <w:rFonts w:ascii="Arial" w:hAnsi="Arial"/>
        </w:rPr>
        <w:lastRenderedPageBreak/>
        <w:t>Prozent</w:t>
      </w:r>
      <w:r w:rsidR="006270F9" w:rsidRPr="009B4B0A">
        <w:rPr>
          <w:rFonts w:ascii="Arial" w:hAnsi="Arial"/>
        </w:rPr>
        <w:t>.</w:t>
      </w:r>
      <w:r w:rsidR="00574B9D">
        <w:rPr>
          <w:rFonts w:ascii="Arial" w:hAnsi="Arial"/>
        </w:rPr>
        <w:t xml:space="preserve"> </w:t>
      </w:r>
      <w:r w:rsidRPr="009B4B0A">
        <w:rPr>
          <w:rFonts w:ascii="Arial" w:hAnsi="Arial"/>
        </w:rPr>
        <w:t>Trotz der</w:t>
      </w:r>
      <w:r w:rsidR="009B4B0A" w:rsidRPr="009B4B0A">
        <w:rPr>
          <w:rFonts w:ascii="Arial" w:hAnsi="Arial"/>
        </w:rPr>
        <w:t xml:space="preserve"> insgesamt</w:t>
      </w:r>
      <w:r w:rsidRPr="009B4B0A">
        <w:rPr>
          <w:rFonts w:ascii="Arial" w:hAnsi="Arial"/>
        </w:rPr>
        <w:t xml:space="preserve"> zunehmenden Transnationalisierung bleibt </w:t>
      </w:r>
      <w:r w:rsidR="00273571" w:rsidRPr="009B4B0A">
        <w:rPr>
          <w:rFonts w:ascii="Arial" w:hAnsi="Arial"/>
        </w:rPr>
        <w:t xml:space="preserve">die ökonomische Bedeutung des jeweiligen Heimatmarktes </w:t>
      </w:r>
      <w:r w:rsidRPr="009B4B0A">
        <w:rPr>
          <w:rFonts w:ascii="Arial" w:hAnsi="Arial"/>
        </w:rPr>
        <w:t>bei den meisten Unternehmen groß</w:t>
      </w:r>
      <w:r w:rsidR="007740C3" w:rsidRPr="009B4B0A">
        <w:rPr>
          <w:rFonts w:ascii="Arial" w:hAnsi="Arial"/>
        </w:rPr>
        <w:t xml:space="preserve">. Der Hauptgrund hierfür ist, dass </w:t>
      </w:r>
      <w:r w:rsidRPr="009B4B0A">
        <w:rPr>
          <w:rFonts w:ascii="Arial" w:hAnsi="Arial"/>
        </w:rPr>
        <w:t>sich die Auslandsvermögenswerte, der Auslandsumsatz und die</w:t>
      </w:r>
      <w:r w:rsidR="007740C3" w:rsidRPr="009B4B0A">
        <w:rPr>
          <w:rFonts w:ascii="Arial" w:hAnsi="Arial"/>
        </w:rPr>
        <w:t xml:space="preserve"> i</w:t>
      </w:r>
      <w:r w:rsidRPr="009B4B0A">
        <w:rPr>
          <w:rFonts w:ascii="Arial" w:hAnsi="Arial"/>
        </w:rPr>
        <w:t xml:space="preserve">m Ausland beschäftigten Personen </w:t>
      </w:r>
      <w:r w:rsidR="00D83393" w:rsidRPr="009B4B0A">
        <w:rPr>
          <w:rFonts w:ascii="Arial" w:hAnsi="Arial"/>
        </w:rPr>
        <w:t xml:space="preserve">in der Regel </w:t>
      </w:r>
      <w:r w:rsidRPr="009B4B0A">
        <w:rPr>
          <w:rFonts w:ascii="Arial" w:hAnsi="Arial"/>
        </w:rPr>
        <w:t>auf eine Vielzahl von Staaten verteilen</w:t>
      </w:r>
      <w:r w:rsidR="006270F9" w:rsidRPr="009B4B0A">
        <w:rPr>
          <w:rFonts w:ascii="Arial" w:hAnsi="Arial"/>
        </w:rPr>
        <w:t>.</w:t>
      </w:r>
    </w:p>
    <w:p w14:paraId="7CC316E2" w14:textId="77777777" w:rsidR="00574B9D" w:rsidRDefault="00574B9D" w:rsidP="00273571">
      <w:pPr>
        <w:rPr>
          <w:rFonts w:ascii="Arial" w:hAnsi="Arial"/>
        </w:rPr>
      </w:pPr>
    </w:p>
    <w:p w14:paraId="3252CCB5" w14:textId="6211A3DA" w:rsidR="00574B9D" w:rsidRDefault="008340A8">
      <w:pPr>
        <w:autoSpaceDE w:val="0"/>
        <w:autoSpaceDN w:val="0"/>
        <w:adjustRightInd w:val="0"/>
        <w:rPr>
          <w:rFonts w:ascii="Arial" w:hAnsi="Arial"/>
        </w:rPr>
      </w:pPr>
      <w:bookmarkStart w:id="0" w:name="_Hlk207549533"/>
      <w:r>
        <w:rPr>
          <w:rFonts w:ascii="Arial" w:hAnsi="Arial"/>
        </w:rPr>
        <w:t>Werden die einzelnen Branchen betrachtet, in denen die Top 100 MNU tätig sind, entfielen</w:t>
      </w:r>
      <w:r w:rsidR="00715F27">
        <w:rPr>
          <w:rFonts w:ascii="Arial" w:hAnsi="Arial"/>
        </w:rPr>
        <w:t xml:space="preserve"> im Jahr 2024</w:t>
      </w:r>
      <w:r>
        <w:rPr>
          <w:rFonts w:ascii="Arial" w:hAnsi="Arial"/>
        </w:rPr>
        <w:t xml:space="preserve"> </w:t>
      </w:r>
      <w:r w:rsidR="00330F4F">
        <w:rPr>
          <w:rFonts w:ascii="Arial" w:hAnsi="Arial"/>
        </w:rPr>
        <w:t xml:space="preserve">gut </w:t>
      </w:r>
      <w:r>
        <w:rPr>
          <w:rFonts w:ascii="Arial" w:hAnsi="Arial"/>
        </w:rPr>
        <w:t xml:space="preserve">vier Fünftel des Gesamtumsatzes auf </w:t>
      </w:r>
      <w:r w:rsidR="00DF4DAB">
        <w:rPr>
          <w:rFonts w:ascii="Arial" w:hAnsi="Arial"/>
        </w:rPr>
        <w:t>vier B</w:t>
      </w:r>
      <w:r>
        <w:rPr>
          <w:rFonts w:ascii="Arial" w:hAnsi="Arial"/>
        </w:rPr>
        <w:t>ranchen</w:t>
      </w:r>
      <w:r w:rsidR="00DF4DAB">
        <w:rPr>
          <w:rFonts w:ascii="Arial" w:hAnsi="Arial"/>
        </w:rPr>
        <w:t>:</w:t>
      </w:r>
      <w:r>
        <w:rPr>
          <w:rFonts w:ascii="Arial" w:hAnsi="Arial"/>
        </w:rPr>
        <w:t xml:space="preserve"> Energie und Bergbau</w:t>
      </w:r>
      <w:r w:rsidR="00CE5516">
        <w:rPr>
          <w:rFonts w:ascii="Arial" w:hAnsi="Arial"/>
        </w:rPr>
        <w:t xml:space="preserve"> (36,2 Prozent)</w:t>
      </w:r>
      <w:r>
        <w:rPr>
          <w:rFonts w:ascii="Arial" w:hAnsi="Arial"/>
        </w:rPr>
        <w:t>, Technologie</w:t>
      </w:r>
      <w:r w:rsidR="00CE5516">
        <w:rPr>
          <w:rFonts w:ascii="Arial" w:hAnsi="Arial"/>
        </w:rPr>
        <w:t xml:space="preserve"> (2</w:t>
      </w:r>
      <w:r w:rsidR="000A7CAE">
        <w:rPr>
          <w:rFonts w:ascii="Arial" w:hAnsi="Arial"/>
        </w:rPr>
        <w:t>2</w:t>
      </w:r>
      <w:r w:rsidR="00CE5516">
        <w:rPr>
          <w:rFonts w:ascii="Arial" w:hAnsi="Arial"/>
        </w:rPr>
        <w:t>,</w:t>
      </w:r>
      <w:r w:rsidR="000A7CAE">
        <w:rPr>
          <w:rFonts w:ascii="Arial" w:hAnsi="Arial"/>
        </w:rPr>
        <w:t>0</w:t>
      </w:r>
      <w:r w:rsidR="00CE5516">
        <w:rPr>
          <w:rFonts w:ascii="Arial" w:hAnsi="Arial"/>
        </w:rPr>
        <w:t xml:space="preserve"> Prozent)</w:t>
      </w:r>
      <w:r>
        <w:rPr>
          <w:rFonts w:ascii="Arial" w:hAnsi="Arial"/>
        </w:rPr>
        <w:t>, Kraftfahrzeuge</w:t>
      </w:r>
      <w:r w:rsidR="00CE5516">
        <w:rPr>
          <w:rFonts w:ascii="Arial" w:hAnsi="Arial"/>
        </w:rPr>
        <w:t xml:space="preserve"> (1</w:t>
      </w:r>
      <w:r w:rsidR="000A7CAE">
        <w:rPr>
          <w:rFonts w:ascii="Arial" w:hAnsi="Arial"/>
        </w:rPr>
        <w:t>7</w:t>
      </w:r>
      <w:r w:rsidR="00CE5516">
        <w:rPr>
          <w:rFonts w:ascii="Arial" w:hAnsi="Arial"/>
        </w:rPr>
        <w:t>,</w:t>
      </w:r>
      <w:r w:rsidR="000A7CAE">
        <w:rPr>
          <w:rFonts w:ascii="Arial" w:hAnsi="Arial"/>
        </w:rPr>
        <w:t>2</w:t>
      </w:r>
      <w:r w:rsidR="00CE5516">
        <w:rPr>
          <w:rFonts w:ascii="Arial" w:hAnsi="Arial"/>
        </w:rPr>
        <w:t xml:space="preserve"> Prozent)</w:t>
      </w:r>
      <w:r>
        <w:rPr>
          <w:rFonts w:ascii="Arial" w:hAnsi="Arial"/>
        </w:rPr>
        <w:t xml:space="preserve"> sowie Chemie und </w:t>
      </w:r>
      <w:r w:rsidR="00DF4DAB" w:rsidRPr="00DF4DAB">
        <w:rPr>
          <w:rFonts w:ascii="Arial" w:hAnsi="Arial"/>
        </w:rPr>
        <w:t>Pharmazieprodukte</w:t>
      </w:r>
      <w:r w:rsidR="00CE5516">
        <w:rPr>
          <w:rFonts w:ascii="Arial" w:hAnsi="Arial"/>
        </w:rPr>
        <w:t xml:space="preserve"> (6,8 Prozent).</w:t>
      </w:r>
      <w:r w:rsidR="00330F4F">
        <w:rPr>
          <w:rFonts w:ascii="Arial" w:hAnsi="Arial"/>
        </w:rPr>
        <w:t xml:space="preserve"> Bei den Vermögenswerten lag der Anteil der vier Branchen bei 79,5 Prozent und bei den insgesamt Beschäftigen bei 74,4 Prozent.</w:t>
      </w:r>
      <w:r w:rsidR="00574B9D">
        <w:rPr>
          <w:rFonts w:ascii="Arial" w:hAnsi="Arial"/>
        </w:rPr>
        <w:t xml:space="preserve"> </w:t>
      </w:r>
      <w:r w:rsidR="00330F4F">
        <w:rPr>
          <w:rFonts w:ascii="Arial" w:hAnsi="Arial"/>
        </w:rPr>
        <w:t xml:space="preserve">Besonders dynamisch ist die Entwicklung der Technologiebranche. </w:t>
      </w:r>
      <w:r w:rsidR="00D6740A">
        <w:rPr>
          <w:rFonts w:ascii="Arial" w:hAnsi="Arial"/>
        </w:rPr>
        <w:t xml:space="preserve">Die Zahl der Tech-MNU unter den Top 100 MNU erhöhte sich allein zwischen 2015 und 2024 von 9 auf 15. </w:t>
      </w:r>
      <w:bookmarkEnd w:id="0"/>
      <w:r w:rsidR="00D6740A">
        <w:rPr>
          <w:rFonts w:ascii="Arial" w:hAnsi="Arial"/>
        </w:rPr>
        <w:t xml:space="preserve">Nach Angaben der UNCTAD stiegen die Umsätze der Tech-MNU in diesem Zeitraum um durchschnittlich 13 Prozent pro Jahr. Entsprechend verdoppelte sich ihr Anteil am Gesamtumsatz der Top 100 MNU von 11 Prozent im Jahr 2015 auf 22 Prozent </w:t>
      </w:r>
      <w:r w:rsidR="00864FC8">
        <w:rPr>
          <w:rFonts w:ascii="Arial" w:hAnsi="Arial"/>
        </w:rPr>
        <w:t xml:space="preserve">im Jahr </w:t>
      </w:r>
      <w:r w:rsidR="00D6740A">
        <w:rPr>
          <w:rFonts w:ascii="Arial" w:hAnsi="Arial"/>
        </w:rPr>
        <w:t>2024.</w:t>
      </w:r>
    </w:p>
    <w:p w14:paraId="3D2691F2" w14:textId="77777777" w:rsidR="00574B9D" w:rsidRDefault="00574B9D">
      <w:pPr>
        <w:autoSpaceDE w:val="0"/>
        <w:autoSpaceDN w:val="0"/>
        <w:adjustRightInd w:val="0"/>
        <w:rPr>
          <w:rFonts w:ascii="Arial" w:hAnsi="Arial"/>
        </w:rPr>
      </w:pPr>
    </w:p>
    <w:p w14:paraId="4627A71E" w14:textId="77777777" w:rsidR="00087606" w:rsidRPr="00173208" w:rsidRDefault="00087606" w:rsidP="00087606">
      <w:pPr>
        <w:rPr>
          <w:rFonts w:ascii="Arial" w:hAnsi="Arial"/>
          <w:color w:val="FF0000"/>
          <w:lang w:val="en-US"/>
        </w:rPr>
      </w:pPr>
      <w:r w:rsidRPr="00173208">
        <w:rPr>
          <w:rFonts w:ascii="Arial" w:hAnsi="Arial"/>
          <w:color w:val="FF0000"/>
          <w:lang w:val="en-US"/>
        </w:rPr>
        <w:t>Datenquelle</w:t>
      </w:r>
    </w:p>
    <w:p w14:paraId="7A430B27" w14:textId="77777777" w:rsidR="00087606" w:rsidRPr="00173208" w:rsidRDefault="00087606" w:rsidP="00087606">
      <w:pPr>
        <w:rPr>
          <w:rFonts w:ascii="Arial" w:hAnsi="Arial"/>
          <w:lang w:val="en-US"/>
        </w:rPr>
      </w:pPr>
    </w:p>
    <w:p w14:paraId="790FCE87" w14:textId="77777777" w:rsidR="00087606" w:rsidRDefault="00087606" w:rsidP="00087606">
      <w:pPr>
        <w:rPr>
          <w:rFonts w:ascii="Arial" w:hAnsi="Arial"/>
          <w:lang w:val="en-GB"/>
        </w:rPr>
      </w:pPr>
      <w:r>
        <w:rPr>
          <w:rFonts w:ascii="Arial" w:hAnsi="Arial"/>
          <w:lang w:val="en-GB"/>
        </w:rPr>
        <w:t xml:space="preserve">United Nations Conference on Trade and Development (UNCTAD): World Investment Report, </w:t>
      </w:r>
      <w:r w:rsidRPr="00BD061A">
        <w:rPr>
          <w:rFonts w:ascii="Arial" w:hAnsi="Arial"/>
        </w:rPr>
        <w:t>verschiedene</w:t>
      </w:r>
      <w:r>
        <w:rPr>
          <w:rFonts w:ascii="Arial" w:hAnsi="Arial"/>
          <w:lang w:val="en-GB"/>
        </w:rPr>
        <w:t xml:space="preserve"> </w:t>
      </w:r>
      <w:r w:rsidRPr="00BD061A">
        <w:rPr>
          <w:rFonts w:ascii="Arial" w:hAnsi="Arial"/>
        </w:rPr>
        <w:t>Jahrgänge</w:t>
      </w:r>
    </w:p>
    <w:p w14:paraId="2794F653" w14:textId="77777777" w:rsidR="0075307D" w:rsidRDefault="0075307D">
      <w:pPr>
        <w:rPr>
          <w:rFonts w:ascii="Arial" w:hAnsi="Arial"/>
          <w:lang w:val="en-GB"/>
        </w:rPr>
      </w:pPr>
    </w:p>
    <w:p w14:paraId="18BAA047" w14:textId="77777777" w:rsidR="0075307D" w:rsidRDefault="0075307D">
      <w:pPr>
        <w:rPr>
          <w:rFonts w:ascii="Arial" w:hAnsi="Arial"/>
          <w:color w:val="FF0000"/>
        </w:rPr>
      </w:pPr>
      <w:r>
        <w:rPr>
          <w:rFonts w:ascii="Arial" w:hAnsi="Arial"/>
          <w:color w:val="FF0000"/>
        </w:rPr>
        <w:t>Begriffe, methodische Anmerkungen oder Lesehilfen</w:t>
      </w:r>
    </w:p>
    <w:p w14:paraId="4AA37A44" w14:textId="77777777" w:rsidR="0075307D" w:rsidRPr="00F35CB4" w:rsidRDefault="0075307D">
      <w:pPr>
        <w:rPr>
          <w:rFonts w:ascii="Arial" w:hAnsi="Arial"/>
        </w:rPr>
      </w:pPr>
    </w:p>
    <w:p w14:paraId="7C965E90" w14:textId="77777777" w:rsidR="006270F9" w:rsidRDefault="00F35CB4">
      <w:pPr>
        <w:rPr>
          <w:rFonts w:ascii="Arial" w:hAnsi="Arial"/>
        </w:rPr>
      </w:pPr>
      <w:r w:rsidRPr="00F35CB4">
        <w:rPr>
          <w:rFonts w:ascii="Arial" w:hAnsi="Arial"/>
        </w:rPr>
        <w:t xml:space="preserve">Die </w:t>
      </w:r>
      <w:r w:rsidR="006F7D3D" w:rsidRPr="007811DB">
        <w:rPr>
          <w:rFonts w:ascii="Arial" w:hAnsi="Arial"/>
          <w:b/>
        </w:rPr>
        <w:t>Multi</w:t>
      </w:r>
      <w:r w:rsidR="006B14A0" w:rsidRPr="007811DB">
        <w:rPr>
          <w:rFonts w:ascii="Arial" w:hAnsi="Arial"/>
          <w:b/>
        </w:rPr>
        <w:t xml:space="preserve">nationalen Unternehmen </w:t>
      </w:r>
      <w:r w:rsidR="006F7D3D" w:rsidRPr="007811DB">
        <w:rPr>
          <w:rFonts w:ascii="Arial" w:hAnsi="Arial"/>
          <w:b/>
        </w:rPr>
        <w:t>(MNU)</w:t>
      </w:r>
      <w:r w:rsidR="006F7D3D" w:rsidRPr="00F35CB4">
        <w:rPr>
          <w:rFonts w:ascii="Arial" w:hAnsi="Arial"/>
        </w:rPr>
        <w:t xml:space="preserve"> </w:t>
      </w:r>
      <w:r w:rsidRPr="00F35CB4">
        <w:rPr>
          <w:rFonts w:ascii="Arial" w:hAnsi="Arial"/>
        </w:rPr>
        <w:t xml:space="preserve">sind </w:t>
      </w:r>
      <w:r w:rsidR="006B14A0" w:rsidRPr="00F35CB4">
        <w:rPr>
          <w:rFonts w:ascii="Arial" w:hAnsi="Arial"/>
        </w:rPr>
        <w:t xml:space="preserve">hier </w:t>
      </w:r>
      <w:r w:rsidRPr="00F35CB4">
        <w:rPr>
          <w:rFonts w:ascii="Arial" w:hAnsi="Arial"/>
        </w:rPr>
        <w:t xml:space="preserve">nach den </w:t>
      </w:r>
      <w:r w:rsidR="00932861" w:rsidRPr="00F35CB4">
        <w:rPr>
          <w:rFonts w:ascii="Arial" w:hAnsi="Arial"/>
        </w:rPr>
        <w:t xml:space="preserve">jeweiligen </w:t>
      </w:r>
      <w:r w:rsidR="006F7D3D" w:rsidRPr="00F35CB4">
        <w:rPr>
          <w:rFonts w:ascii="Arial" w:hAnsi="Arial"/>
        </w:rPr>
        <w:t>Vermögenswerte</w:t>
      </w:r>
      <w:r w:rsidRPr="00F35CB4">
        <w:rPr>
          <w:rFonts w:ascii="Arial" w:hAnsi="Arial"/>
        </w:rPr>
        <w:t>n</w:t>
      </w:r>
      <w:r w:rsidR="006F7D3D" w:rsidRPr="00F35CB4">
        <w:rPr>
          <w:rFonts w:ascii="Arial" w:hAnsi="Arial"/>
        </w:rPr>
        <w:t xml:space="preserve"> </w:t>
      </w:r>
      <w:r w:rsidR="006B14A0" w:rsidRPr="00F35CB4">
        <w:rPr>
          <w:rFonts w:ascii="Arial" w:hAnsi="Arial"/>
        </w:rPr>
        <w:t>im Ausland</w:t>
      </w:r>
      <w:r w:rsidR="00932861" w:rsidRPr="00F35CB4">
        <w:rPr>
          <w:rFonts w:ascii="Arial" w:hAnsi="Arial"/>
        </w:rPr>
        <w:t xml:space="preserve"> </w:t>
      </w:r>
      <w:r w:rsidRPr="00F35CB4">
        <w:rPr>
          <w:rFonts w:ascii="Arial" w:hAnsi="Arial"/>
        </w:rPr>
        <w:t>sortiert</w:t>
      </w:r>
      <w:r w:rsidR="006B14A0" w:rsidRPr="00F35CB4">
        <w:rPr>
          <w:rFonts w:ascii="Arial" w:hAnsi="Arial"/>
        </w:rPr>
        <w:t xml:space="preserve">. Bei Auswahl eines anderen </w:t>
      </w:r>
      <w:r>
        <w:rPr>
          <w:rFonts w:ascii="Arial" w:hAnsi="Arial"/>
        </w:rPr>
        <w:t>Kriterium</w:t>
      </w:r>
      <w:r w:rsidR="006B14A0" w:rsidRPr="00F35CB4">
        <w:rPr>
          <w:rFonts w:ascii="Arial" w:hAnsi="Arial"/>
        </w:rPr>
        <w:t xml:space="preserve">s – zum Beispiel </w:t>
      </w:r>
      <w:r w:rsidR="006F7D3D" w:rsidRPr="00F35CB4">
        <w:rPr>
          <w:rFonts w:ascii="Arial" w:hAnsi="Arial"/>
        </w:rPr>
        <w:t xml:space="preserve">Vermögenswerte </w:t>
      </w:r>
      <w:r w:rsidR="006B14A0" w:rsidRPr="00F35CB4">
        <w:rPr>
          <w:rFonts w:ascii="Arial" w:hAnsi="Arial"/>
        </w:rPr>
        <w:t>im In- und Ausland</w:t>
      </w:r>
      <w:r w:rsidR="00D95854" w:rsidRPr="00F35CB4">
        <w:rPr>
          <w:rFonts w:ascii="Arial" w:hAnsi="Arial"/>
        </w:rPr>
        <w:t xml:space="preserve"> oder Anzahl der Beschäftigten</w:t>
      </w:r>
      <w:r w:rsidR="00195C0F" w:rsidRPr="00F35CB4">
        <w:rPr>
          <w:rFonts w:ascii="Arial" w:hAnsi="Arial"/>
        </w:rPr>
        <w:t xml:space="preserve"> – würde sich die </w:t>
      </w:r>
      <w:r>
        <w:rPr>
          <w:rFonts w:ascii="Arial" w:hAnsi="Arial"/>
        </w:rPr>
        <w:t xml:space="preserve">Rangfolge </w:t>
      </w:r>
      <w:r w:rsidR="00195C0F" w:rsidRPr="00F35CB4">
        <w:rPr>
          <w:rFonts w:ascii="Arial" w:hAnsi="Arial"/>
        </w:rPr>
        <w:t xml:space="preserve">der </w:t>
      </w:r>
      <w:r>
        <w:rPr>
          <w:rFonts w:ascii="Arial" w:hAnsi="Arial"/>
        </w:rPr>
        <w:t xml:space="preserve">Top </w:t>
      </w:r>
      <w:r w:rsidR="00195C0F" w:rsidRPr="00F35CB4">
        <w:rPr>
          <w:rFonts w:ascii="Arial" w:hAnsi="Arial"/>
        </w:rPr>
        <w:t>10</w:t>
      </w:r>
      <w:r w:rsidR="006B14A0" w:rsidRPr="00F35CB4">
        <w:rPr>
          <w:rFonts w:ascii="Arial" w:hAnsi="Arial"/>
        </w:rPr>
        <w:t xml:space="preserve">0 </w:t>
      </w:r>
      <w:r>
        <w:rPr>
          <w:rFonts w:ascii="Arial" w:hAnsi="Arial"/>
        </w:rPr>
        <w:t>M</w:t>
      </w:r>
      <w:r w:rsidR="006B14A0" w:rsidRPr="00F35CB4">
        <w:rPr>
          <w:rFonts w:ascii="Arial" w:hAnsi="Arial"/>
        </w:rPr>
        <w:t>NU entsprechend ändern.</w:t>
      </w:r>
      <w:r w:rsidR="009C3605" w:rsidRPr="009C3605">
        <w:rPr>
          <w:rFonts w:ascii="Arial" w:hAnsi="Arial"/>
        </w:rPr>
        <w:t xml:space="preserve"> Die MNU bestehen aus einem Mutterunternehmen und den dazugehörenden Tochterunternehmen. Bei der Zuordnung der MNU zu den einzelnen Staaten ist der Hauptsitz des Mutterunternehmens entscheidend</w:t>
      </w:r>
      <w:r w:rsidR="006270F9">
        <w:rPr>
          <w:rFonts w:ascii="Arial" w:hAnsi="Arial"/>
        </w:rPr>
        <w:t>.</w:t>
      </w:r>
    </w:p>
    <w:p w14:paraId="717621DA" w14:textId="77777777" w:rsidR="00574B9D" w:rsidRDefault="00574B9D">
      <w:pPr>
        <w:rPr>
          <w:rFonts w:ascii="Arial" w:hAnsi="Arial"/>
        </w:rPr>
      </w:pPr>
    </w:p>
    <w:p w14:paraId="0E580023" w14:textId="77777777" w:rsidR="007811DB" w:rsidRDefault="007811DB" w:rsidP="007811DB">
      <w:pPr>
        <w:rPr>
          <w:rFonts w:ascii="Arial" w:hAnsi="Arial"/>
        </w:rPr>
      </w:pPr>
      <w:r w:rsidRPr="00F35CB4">
        <w:rPr>
          <w:rFonts w:ascii="Arial" w:hAnsi="Arial"/>
        </w:rPr>
        <w:t xml:space="preserve">Zur Berechnung des </w:t>
      </w:r>
      <w:r w:rsidRPr="007811DB">
        <w:rPr>
          <w:rFonts w:ascii="Arial" w:hAnsi="Arial"/>
          <w:b/>
        </w:rPr>
        <w:t>Transnationalisierungsindex (TNI)</w:t>
      </w:r>
      <w:r w:rsidRPr="00F35CB4">
        <w:rPr>
          <w:rFonts w:ascii="Arial" w:hAnsi="Arial"/>
        </w:rPr>
        <w:t xml:space="preserve"> wird der prozentuale Anteil der Auslandsvermögenswerte an den Gesamtvermögenswerten, des Auslandsumsatzes am Gesamtumsatz und der Anteil der im Ausland Beschäftigten an der Gesamtbeschäftigung eines Unternehmens errechnet. Der Mittelwert dieser drei Prozentangaben ist gleich dem Wert des </w:t>
      </w:r>
      <w:r>
        <w:rPr>
          <w:rFonts w:ascii="Arial" w:hAnsi="Arial"/>
        </w:rPr>
        <w:t>TNI</w:t>
      </w:r>
      <w:r w:rsidRPr="00F35CB4">
        <w:rPr>
          <w:rFonts w:ascii="Arial" w:hAnsi="Arial"/>
        </w:rPr>
        <w:t>. Je höher der Wert des TNI eines Unternehmens ist, desto ausgeprägter sind die Aktivitäten dieses Unternehmens im Ausland</w:t>
      </w:r>
      <w:r>
        <w:rPr>
          <w:rFonts w:ascii="Arial" w:hAnsi="Arial"/>
        </w:rPr>
        <w:t>.</w:t>
      </w:r>
    </w:p>
    <w:p w14:paraId="6152A111" w14:textId="77777777" w:rsidR="00574B9D" w:rsidRDefault="00574B9D" w:rsidP="007811DB">
      <w:pPr>
        <w:rPr>
          <w:rFonts w:ascii="Arial" w:hAnsi="Arial"/>
        </w:rPr>
      </w:pPr>
    </w:p>
    <w:p w14:paraId="38BEC3D3" w14:textId="77777777" w:rsidR="00574B9D" w:rsidRDefault="00087606" w:rsidP="00574B9D">
      <w:pPr>
        <w:rPr>
          <w:rFonts w:ascii="Arial" w:hAnsi="Arial"/>
        </w:rPr>
      </w:pPr>
      <w:r w:rsidRPr="00F35CB4">
        <w:rPr>
          <w:rFonts w:ascii="Arial" w:hAnsi="Arial"/>
        </w:rPr>
        <w:t xml:space="preserve">Zu den </w:t>
      </w:r>
      <w:r w:rsidRPr="007811DB">
        <w:rPr>
          <w:rFonts w:ascii="Arial" w:hAnsi="Arial"/>
          <w:b/>
        </w:rPr>
        <w:t>Vermögenswerten</w:t>
      </w:r>
      <w:r w:rsidRPr="00F35CB4">
        <w:rPr>
          <w:rFonts w:ascii="Arial" w:hAnsi="Arial"/>
        </w:rPr>
        <w:t xml:space="preserve"> eines Unternehmens gehören immaterielle Vermögensgegenstände (Konzessionen, Lizenzen, Patente, Marken), Sachanlagen (Grundstücke, Gebäude, technische Anlagen, Maschinen, Betriebs- und Geschäftsausstattung), Finanzanlagen (Unternehmensanteile, Beteiligungen, Wertpapiere des Anlagevermögens), Vorräte (Rohstoffe, Waren), Forderungen, Wertpapiere, Barreserven und andere liquide Mittel</w:t>
      </w:r>
      <w:r>
        <w:rPr>
          <w:rFonts w:ascii="Arial" w:hAnsi="Arial"/>
        </w:rPr>
        <w:t>.</w:t>
      </w:r>
    </w:p>
    <w:p w14:paraId="38B3515C" w14:textId="77777777" w:rsidR="00574B9D" w:rsidRDefault="00574B9D" w:rsidP="00574B9D">
      <w:pPr>
        <w:rPr>
          <w:rFonts w:ascii="Arial" w:hAnsi="Arial"/>
        </w:rPr>
      </w:pPr>
    </w:p>
    <w:p w14:paraId="1D5F948D" w14:textId="096B34F8" w:rsidR="0024117A" w:rsidRDefault="0024117A" w:rsidP="00574B9D">
      <w:pPr>
        <w:rPr>
          <w:rFonts w:ascii="Arial" w:hAnsi="Arial"/>
        </w:rPr>
      </w:pPr>
      <w:r>
        <w:rPr>
          <w:rFonts w:ascii="Arial" w:hAnsi="Arial"/>
        </w:rPr>
        <w:t xml:space="preserve">Die 15 </w:t>
      </w:r>
      <w:r w:rsidRPr="0024117A">
        <w:rPr>
          <w:rFonts w:ascii="Arial" w:hAnsi="Arial"/>
          <w:b/>
          <w:bCs/>
        </w:rPr>
        <w:t>MNU der Technologiebranche</w:t>
      </w:r>
      <w:r>
        <w:rPr>
          <w:rFonts w:ascii="Arial" w:hAnsi="Arial"/>
        </w:rPr>
        <w:t xml:space="preserve"> im Jahr 2024 (</w:t>
      </w:r>
      <w:r w:rsidRPr="000B4901">
        <w:rPr>
          <w:rFonts w:ascii="Arial" w:hAnsi="Arial"/>
        </w:rPr>
        <w:t>nach Vermögenswerten im Ausland</w:t>
      </w:r>
      <w:r>
        <w:rPr>
          <w:rFonts w:ascii="Arial" w:hAnsi="Arial"/>
        </w:rPr>
        <w:t xml:space="preserve">): </w:t>
      </w:r>
      <w:r w:rsidRPr="0024117A">
        <w:rPr>
          <w:rFonts w:ascii="Arial" w:hAnsi="Arial"/>
        </w:rPr>
        <w:t>Microsoft (USA)</w:t>
      </w:r>
      <w:r>
        <w:rPr>
          <w:rFonts w:ascii="Arial" w:hAnsi="Arial"/>
        </w:rPr>
        <w:t xml:space="preserve">, </w:t>
      </w:r>
      <w:r w:rsidRPr="0024117A">
        <w:rPr>
          <w:rFonts w:ascii="Arial" w:hAnsi="Arial"/>
        </w:rPr>
        <w:t>Sony (Japan)</w:t>
      </w:r>
      <w:r>
        <w:rPr>
          <w:rFonts w:ascii="Arial" w:hAnsi="Arial"/>
        </w:rPr>
        <w:t xml:space="preserve">, </w:t>
      </w:r>
      <w:r w:rsidRPr="0024117A">
        <w:rPr>
          <w:rFonts w:ascii="Arial" w:hAnsi="Arial"/>
        </w:rPr>
        <w:t>Hon Hai Precision Industries (Taiwan)</w:t>
      </w:r>
      <w:r>
        <w:rPr>
          <w:rFonts w:ascii="Arial" w:hAnsi="Arial"/>
        </w:rPr>
        <w:t xml:space="preserve">, </w:t>
      </w:r>
      <w:r w:rsidRPr="0024117A">
        <w:rPr>
          <w:rFonts w:ascii="Arial" w:hAnsi="Arial"/>
        </w:rPr>
        <w:t>Alphabet (USA)</w:t>
      </w:r>
      <w:r>
        <w:rPr>
          <w:rFonts w:ascii="Arial" w:hAnsi="Arial"/>
        </w:rPr>
        <w:t xml:space="preserve">, </w:t>
      </w:r>
      <w:r w:rsidRPr="0024117A">
        <w:rPr>
          <w:rFonts w:ascii="Arial" w:hAnsi="Arial"/>
        </w:rPr>
        <w:t>Tencent</w:t>
      </w:r>
      <w:r>
        <w:rPr>
          <w:rFonts w:ascii="Arial" w:hAnsi="Arial"/>
        </w:rPr>
        <w:t xml:space="preserve"> und</w:t>
      </w:r>
      <w:r w:rsidRPr="0024117A">
        <w:rPr>
          <w:rFonts w:ascii="Arial" w:hAnsi="Arial"/>
        </w:rPr>
        <w:t xml:space="preserve"> Huawei (China)</w:t>
      </w:r>
      <w:r>
        <w:rPr>
          <w:rFonts w:ascii="Arial" w:hAnsi="Arial"/>
        </w:rPr>
        <w:t xml:space="preserve">, </w:t>
      </w:r>
      <w:r w:rsidRPr="0024117A">
        <w:rPr>
          <w:rFonts w:ascii="Arial" w:hAnsi="Arial"/>
        </w:rPr>
        <w:t>Amazon</w:t>
      </w:r>
      <w:r>
        <w:rPr>
          <w:rFonts w:ascii="Arial" w:hAnsi="Arial"/>
        </w:rPr>
        <w:t xml:space="preserve"> und </w:t>
      </w:r>
      <w:r w:rsidRPr="0024117A">
        <w:rPr>
          <w:rFonts w:ascii="Arial" w:hAnsi="Arial"/>
        </w:rPr>
        <w:t>Apple (USA)</w:t>
      </w:r>
      <w:r>
        <w:rPr>
          <w:rFonts w:ascii="Arial" w:hAnsi="Arial"/>
        </w:rPr>
        <w:t xml:space="preserve">, </w:t>
      </w:r>
      <w:r w:rsidRPr="0024117A">
        <w:rPr>
          <w:rFonts w:ascii="Arial" w:hAnsi="Arial"/>
        </w:rPr>
        <w:t xml:space="preserve">Samsung </w:t>
      </w:r>
      <w:r w:rsidRPr="0024117A">
        <w:rPr>
          <w:rFonts w:ascii="Arial" w:hAnsi="Arial"/>
        </w:rPr>
        <w:lastRenderedPageBreak/>
        <w:t>(Südkorea)</w:t>
      </w:r>
      <w:r>
        <w:rPr>
          <w:rFonts w:ascii="Arial" w:hAnsi="Arial"/>
        </w:rPr>
        <w:t xml:space="preserve">, </w:t>
      </w:r>
      <w:r w:rsidRPr="0024117A">
        <w:rPr>
          <w:rFonts w:ascii="Arial" w:hAnsi="Arial"/>
        </w:rPr>
        <w:t>Intel (USA)</w:t>
      </w:r>
      <w:r>
        <w:rPr>
          <w:rFonts w:ascii="Arial" w:hAnsi="Arial"/>
        </w:rPr>
        <w:t xml:space="preserve">, </w:t>
      </w:r>
      <w:r w:rsidRPr="0024117A">
        <w:rPr>
          <w:rFonts w:ascii="Arial" w:hAnsi="Arial"/>
        </w:rPr>
        <w:t>SAP (Deutschland)</w:t>
      </w:r>
      <w:r>
        <w:rPr>
          <w:rFonts w:ascii="Arial" w:hAnsi="Arial"/>
        </w:rPr>
        <w:t xml:space="preserve">, </w:t>
      </w:r>
      <w:r w:rsidRPr="0024117A">
        <w:rPr>
          <w:rFonts w:ascii="Arial" w:hAnsi="Arial"/>
        </w:rPr>
        <w:t>Micron Technology</w:t>
      </w:r>
      <w:r>
        <w:rPr>
          <w:rFonts w:ascii="Arial" w:hAnsi="Arial"/>
        </w:rPr>
        <w:t xml:space="preserve"> und </w:t>
      </w:r>
      <w:r w:rsidRPr="0024117A">
        <w:rPr>
          <w:rFonts w:ascii="Arial" w:hAnsi="Arial"/>
        </w:rPr>
        <w:t>Broadcom (USA)</w:t>
      </w:r>
      <w:r>
        <w:rPr>
          <w:rFonts w:ascii="Arial" w:hAnsi="Arial"/>
        </w:rPr>
        <w:t xml:space="preserve">, </w:t>
      </w:r>
      <w:r w:rsidRPr="0024117A">
        <w:rPr>
          <w:rFonts w:ascii="Arial" w:hAnsi="Arial"/>
        </w:rPr>
        <w:t>Hitachi (Japan)</w:t>
      </w:r>
      <w:r>
        <w:rPr>
          <w:rFonts w:ascii="Arial" w:hAnsi="Arial"/>
        </w:rPr>
        <w:t xml:space="preserve">, </w:t>
      </w:r>
      <w:r w:rsidRPr="0024117A">
        <w:rPr>
          <w:rFonts w:ascii="Arial" w:hAnsi="Arial"/>
        </w:rPr>
        <w:t>Legend Holdings (China)</w:t>
      </w:r>
      <w:r>
        <w:rPr>
          <w:rFonts w:ascii="Arial" w:hAnsi="Arial"/>
        </w:rPr>
        <w:t>.</w:t>
      </w:r>
    </w:p>
    <w:p w14:paraId="65394D55" w14:textId="77777777" w:rsidR="00574B9D" w:rsidRDefault="00574B9D" w:rsidP="00574B9D">
      <w:pPr>
        <w:rPr>
          <w:rFonts w:ascii="Arial" w:hAnsi="Arial"/>
        </w:rPr>
      </w:pPr>
    </w:p>
    <w:p w14:paraId="074F9B69" w14:textId="4FD39605" w:rsidR="006032BD" w:rsidRPr="00D83506" w:rsidRDefault="006032BD" w:rsidP="006032BD">
      <w:pPr>
        <w:rPr>
          <w:rFonts w:ascii="Arial" w:hAnsi="Arial"/>
          <w:sz w:val="20"/>
          <w:szCs w:val="20"/>
        </w:rPr>
      </w:pPr>
      <w:r>
        <w:rPr>
          <w:rFonts w:ascii="Arial" w:hAnsi="Arial"/>
          <w:sz w:val="20"/>
          <w:szCs w:val="20"/>
        </w:rPr>
        <w:t>D</w:t>
      </w:r>
      <w:r w:rsidRPr="00D83506">
        <w:rPr>
          <w:rFonts w:ascii="Arial" w:hAnsi="Arial"/>
          <w:sz w:val="20"/>
          <w:szCs w:val="20"/>
        </w:rPr>
        <w:t xml:space="preserve">ieser Text ist unter der Creative Commons Lizenz CC BY-NC-ND 4.0 veröffentlicht. </w:t>
      </w:r>
    </w:p>
    <w:p w14:paraId="2139B433" w14:textId="38248EB8" w:rsidR="00AA2412" w:rsidRDefault="006032BD" w:rsidP="006032BD">
      <w:pPr>
        <w:rPr>
          <w:rFonts w:ascii="Arial" w:hAnsi="Arial"/>
          <w:sz w:val="20"/>
          <w:szCs w:val="20"/>
        </w:rPr>
      </w:pPr>
      <w:r w:rsidRPr="00D83506">
        <w:rPr>
          <w:rFonts w:ascii="Arial" w:hAnsi="Arial"/>
          <w:sz w:val="20"/>
          <w:szCs w:val="20"/>
        </w:rPr>
        <w:t>Bundeszentrale für politische Bildung 202</w:t>
      </w:r>
      <w:r>
        <w:rPr>
          <w:rFonts w:ascii="Arial" w:hAnsi="Arial"/>
          <w:sz w:val="20"/>
          <w:szCs w:val="20"/>
        </w:rPr>
        <w:t>5</w:t>
      </w:r>
      <w:r w:rsidRPr="00D83506">
        <w:rPr>
          <w:rFonts w:ascii="Arial" w:hAnsi="Arial"/>
          <w:sz w:val="20"/>
          <w:szCs w:val="20"/>
        </w:rPr>
        <w:t xml:space="preserve"> | </w:t>
      </w:r>
      <w:hyperlink r:id="rId7" w:history="1">
        <w:r w:rsidRPr="00D83506">
          <w:rPr>
            <w:rFonts w:ascii="Arial" w:hAnsi="Arial"/>
            <w:sz w:val="20"/>
            <w:szCs w:val="20"/>
          </w:rPr>
          <w:t>www.bpb.de</w:t>
        </w:r>
      </w:hyperlink>
    </w:p>
    <w:sectPr w:rsidR="00AA24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0E4C0" w14:textId="77777777" w:rsidR="00BE0160" w:rsidRDefault="00BE0160" w:rsidP="00B52073">
      <w:r>
        <w:separator/>
      </w:r>
    </w:p>
  </w:endnote>
  <w:endnote w:type="continuationSeparator" w:id="0">
    <w:p w14:paraId="7868219D" w14:textId="77777777" w:rsidR="00BE0160" w:rsidRDefault="00BE0160" w:rsidP="00B52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AE4CB" w14:textId="77777777" w:rsidR="00BE0160" w:rsidRDefault="00BE0160" w:rsidP="00B52073">
      <w:r>
        <w:separator/>
      </w:r>
    </w:p>
  </w:footnote>
  <w:footnote w:type="continuationSeparator" w:id="0">
    <w:p w14:paraId="6CE3E3E3" w14:textId="77777777" w:rsidR="00BE0160" w:rsidRDefault="00BE0160" w:rsidP="00B520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BA7969"/>
    <w:multiLevelType w:val="hybridMultilevel"/>
    <w:tmpl w:val="FB964C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66681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662"/>
    <w:rsid w:val="00035232"/>
    <w:rsid w:val="00087606"/>
    <w:rsid w:val="000A2A73"/>
    <w:rsid w:val="000A7CAE"/>
    <w:rsid w:val="000B4901"/>
    <w:rsid w:val="00113293"/>
    <w:rsid w:val="0012568B"/>
    <w:rsid w:val="00195C0F"/>
    <w:rsid w:val="001E7D68"/>
    <w:rsid w:val="00221389"/>
    <w:rsid w:val="0024117A"/>
    <w:rsid w:val="0025335D"/>
    <w:rsid w:val="00273571"/>
    <w:rsid w:val="00293677"/>
    <w:rsid w:val="003279AA"/>
    <w:rsid w:val="00330F4F"/>
    <w:rsid w:val="00391E5F"/>
    <w:rsid w:val="003C09D0"/>
    <w:rsid w:val="00464401"/>
    <w:rsid w:val="004772C8"/>
    <w:rsid w:val="004964B5"/>
    <w:rsid w:val="004C1B39"/>
    <w:rsid w:val="004D7892"/>
    <w:rsid w:val="005178D2"/>
    <w:rsid w:val="0055678C"/>
    <w:rsid w:val="00561496"/>
    <w:rsid w:val="00574B9D"/>
    <w:rsid w:val="005778C4"/>
    <w:rsid w:val="00582CDA"/>
    <w:rsid w:val="005F0F14"/>
    <w:rsid w:val="006032BD"/>
    <w:rsid w:val="006270F9"/>
    <w:rsid w:val="0064146F"/>
    <w:rsid w:val="00644FA9"/>
    <w:rsid w:val="00646B21"/>
    <w:rsid w:val="00671060"/>
    <w:rsid w:val="00697602"/>
    <w:rsid w:val="006B14A0"/>
    <w:rsid w:val="006B7F78"/>
    <w:rsid w:val="006C0459"/>
    <w:rsid w:val="006C7A9D"/>
    <w:rsid w:val="006D2E04"/>
    <w:rsid w:val="006F7D3D"/>
    <w:rsid w:val="00715DC0"/>
    <w:rsid w:val="00715F27"/>
    <w:rsid w:val="00726571"/>
    <w:rsid w:val="0075307D"/>
    <w:rsid w:val="00762D35"/>
    <w:rsid w:val="007740C3"/>
    <w:rsid w:val="00780729"/>
    <w:rsid w:val="007811DB"/>
    <w:rsid w:val="00820662"/>
    <w:rsid w:val="008340A8"/>
    <w:rsid w:val="00861070"/>
    <w:rsid w:val="008619FC"/>
    <w:rsid w:val="00864FC8"/>
    <w:rsid w:val="00866A9F"/>
    <w:rsid w:val="008D00BB"/>
    <w:rsid w:val="008E238A"/>
    <w:rsid w:val="008F2E31"/>
    <w:rsid w:val="00932861"/>
    <w:rsid w:val="00944C4C"/>
    <w:rsid w:val="009537D4"/>
    <w:rsid w:val="00977C59"/>
    <w:rsid w:val="0099151E"/>
    <w:rsid w:val="009B4B0A"/>
    <w:rsid w:val="009C3605"/>
    <w:rsid w:val="009E22FD"/>
    <w:rsid w:val="00A5263B"/>
    <w:rsid w:val="00A829B9"/>
    <w:rsid w:val="00A9196B"/>
    <w:rsid w:val="00AA2412"/>
    <w:rsid w:val="00AD670A"/>
    <w:rsid w:val="00B07C7C"/>
    <w:rsid w:val="00B20929"/>
    <w:rsid w:val="00B35942"/>
    <w:rsid w:val="00B52073"/>
    <w:rsid w:val="00B930FD"/>
    <w:rsid w:val="00BD061A"/>
    <w:rsid w:val="00BD5270"/>
    <w:rsid w:val="00BE0160"/>
    <w:rsid w:val="00C16000"/>
    <w:rsid w:val="00C23355"/>
    <w:rsid w:val="00C253CC"/>
    <w:rsid w:val="00C86590"/>
    <w:rsid w:val="00CE5516"/>
    <w:rsid w:val="00D04679"/>
    <w:rsid w:val="00D11C11"/>
    <w:rsid w:val="00D25A9E"/>
    <w:rsid w:val="00D5248D"/>
    <w:rsid w:val="00D6740A"/>
    <w:rsid w:val="00D8012E"/>
    <w:rsid w:val="00D83393"/>
    <w:rsid w:val="00D95854"/>
    <w:rsid w:val="00DC3064"/>
    <w:rsid w:val="00DF4DAB"/>
    <w:rsid w:val="00E34894"/>
    <w:rsid w:val="00EA0AD8"/>
    <w:rsid w:val="00EB40EE"/>
    <w:rsid w:val="00ED34B6"/>
    <w:rsid w:val="00EE7443"/>
    <w:rsid w:val="00EF664C"/>
    <w:rsid w:val="00F16381"/>
    <w:rsid w:val="00F24D83"/>
    <w:rsid w:val="00F35CB4"/>
    <w:rsid w:val="00F6441A"/>
    <w:rsid w:val="00F96665"/>
    <w:rsid w:val="00FA1DE0"/>
    <w:rsid w:val="00FF0C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118497"/>
  <w15:docId w15:val="{83AC4238-83F5-448C-8A01-938A97632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15DC0"/>
    <w:rPr>
      <w:sz w:val="24"/>
      <w:szCs w:val="24"/>
    </w:rPr>
  </w:style>
  <w:style w:type="paragraph" w:styleId="berschrift1">
    <w:name w:val="heading 1"/>
    <w:basedOn w:val="Standard"/>
    <w:qFormat/>
    <w:pPr>
      <w:spacing w:before="100" w:beforeAutospacing="1" w:after="100" w:afterAutospacing="1"/>
      <w:outlineLvl w:val="0"/>
    </w:pPr>
    <w:rPr>
      <w:b/>
      <w:bCs/>
      <w:kern w:val="36"/>
      <w:sz w:val="48"/>
      <w:szCs w:val="48"/>
    </w:rPr>
  </w:style>
  <w:style w:type="paragraph" w:styleId="berschrift2">
    <w:name w:val="heading 2"/>
    <w:basedOn w:val="Standard"/>
    <w:qFormat/>
    <w:pPr>
      <w:spacing w:before="100" w:beforeAutospacing="1" w:after="100" w:afterAutospacing="1"/>
      <w:outlineLvl w:val="1"/>
    </w:pPr>
    <w:rPr>
      <w:b/>
      <w:bCs/>
      <w:sz w:val="36"/>
      <w:szCs w:val="36"/>
    </w:rPr>
  </w:style>
  <w:style w:type="paragraph" w:styleId="berschrift4">
    <w:name w:val="heading 4"/>
    <w:basedOn w:val="Standard"/>
    <w:qFormat/>
    <w:pPr>
      <w:spacing w:before="100" w:beforeAutospacing="1" w:after="100" w:afterAutospacing="1"/>
      <w:outlineLvl w:val="3"/>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pPr>
      <w:spacing w:before="100" w:beforeAutospacing="1" w:after="100" w:afterAutospacing="1"/>
    </w:pPr>
  </w:style>
  <w:style w:type="character" w:styleId="Hyperlink">
    <w:name w:val="Hyperlink"/>
    <w:basedOn w:val="Absatz-Standardschriftart"/>
    <w:rPr>
      <w:color w:val="0000FF"/>
      <w:u w:val="single"/>
    </w:rPr>
  </w:style>
  <w:style w:type="character" w:styleId="HTMLAkronym">
    <w:name w:val="HTML Acronym"/>
    <w:basedOn w:val="Absatz-Standardschriftart"/>
  </w:style>
  <w:style w:type="character" w:styleId="Kommentarzeichen">
    <w:name w:val="annotation reference"/>
    <w:basedOn w:val="Absatz-Standardschriftart"/>
    <w:semiHidden/>
    <w:rPr>
      <w:sz w:val="16"/>
    </w:rPr>
  </w:style>
  <w:style w:type="paragraph" w:styleId="Kommentartext">
    <w:name w:val="annotation text"/>
    <w:basedOn w:val="Standard"/>
    <w:link w:val="KommentartextZchn"/>
    <w:semiHidden/>
    <w:rPr>
      <w:sz w:val="20"/>
    </w:rPr>
  </w:style>
  <w:style w:type="paragraph" w:styleId="Sprechblasentext">
    <w:name w:val="Balloon Text"/>
    <w:basedOn w:val="Standard"/>
    <w:semiHidden/>
    <w:rsid w:val="00820662"/>
    <w:rPr>
      <w:rFonts w:ascii="Tahoma" w:hAnsi="Tahoma" w:cs="Tahoma"/>
      <w:sz w:val="16"/>
      <w:szCs w:val="16"/>
    </w:rPr>
  </w:style>
  <w:style w:type="paragraph" w:styleId="Kommentarthema">
    <w:name w:val="annotation subject"/>
    <w:basedOn w:val="Kommentartext"/>
    <w:next w:val="Kommentartext"/>
    <w:link w:val="KommentarthemaZchn"/>
    <w:uiPriority w:val="99"/>
    <w:semiHidden/>
    <w:unhideWhenUsed/>
    <w:rsid w:val="009537D4"/>
    <w:rPr>
      <w:b/>
      <w:bCs/>
      <w:szCs w:val="20"/>
    </w:rPr>
  </w:style>
  <w:style w:type="character" w:customStyle="1" w:styleId="KommentartextZchn">
    <w:name w:val="Kommentartext Zchn"/>
    <w:basedOn w:val="Absatz-Standardschriftart"/>
    <w:link w:val="Kommentartext"/>
    <w:semiHidden/>
    <w:rsid w:val="009537D4"/>
    <w:rPr>
      <w:szCs w:val="24"/>
    </w:rPr>
  </w:style>
  <w:style w:type="character" w:customStyle="1" w:styleId="KommentarthemaZchn">
    <w:name w:val="Kommentarthema Zchn"/>
    <w:basedOn w:val="KommentartextZchn"/>
    <w:link w:val="Kommentarthema"/>
    <w:uiPriority w:val="99"/>
    <w:semiHidden/>
    <w:rsid w:val="009537D4"/>
    <w:rPr>
      <w:b/>
      <w:bCs/>
      <w:szCs w:val="24"/>
    </w:rPr>
  </w:style>
  <w:style w:type="paragraph" w:styleId="Kopfzeile">
    <w:name w:val="header"/>
    <w:basedOn w:val="Standard"/>
    <w:link w:val="KopfzeileZchn"/>
    <w:uiPriority w:val="99"/>
    <w:unhideWhenUsed/>
    <w:rsid w:val="00B52073"/>
    <w:pPr>
      <w:tabs>
        <w:tab w:val="center" w:pos="4536"/>
        <w:tab w:val="right" w:pos="9072"/>
      </w:tabs>
    </w:pPr>
  </w:style>
  <w:style w:type="character" w:customStyle="1" w:styleId="KopfzeileZchn">
    <w:name w:val="Kopfzeile Zchn"/>
    <w:basedOn w:val="Absatz-Standardschriftart"/>
    <w:link w:val="Kopfzeile"/>
    <w:uiPriority w:val="99"/>
    <w:rsid w:val="00B52073"/>
    <w:rPr>
      <w:sz w:val="24"/>
      <w:szCs w:val="24"/>
    </w:rPr>
  </w:style>
  <w:style w:type="paragraph" w:styleId="Fuzeile">
    <w:name w:val="footer"/>
    <w:basedOn w:val="Standard"/>
    <w:link w:val="FuzeileZchn"/>
    <w:uiPriority w:val="99"/>
    <w:unhideWhenUsed/>
    <w:rsid w:val="00B52073"/>
    <w:pPr>
      <w:tabs>
        <w:tab w:val="center" w:pos="4536"/>
        <w:tab w:val="right" w:pos="9072"/>
      </w:tabs>
    </w:pPr>
  </w:style>
  <w:style w:type="character" w:customStyle="1" w:styleId="FuzeileZchn">
    <w:name w:val="Fußzeile Zchn"/>
    <w:basedOn w:val="Absatz-Standardschriftart"/>
    <w:link w:val="Fuzeile"/>
    <w:uiPriority w:val="99"/>
    <w:rsid w:val="00B52073"/>
    <w:rPr>
      <w:sz w:val="24"/>
      <w:szCs w:val="24"/>
    </w:rPr>
  </w:style>
  <w:style w:type="paragraph" w:styleId="Listenabsatz">
    <w:name w:val="List Paragraph"/>
    <w:basedOn w:val="Standard"/>
    <w:uiPriority w:val="34"/>
    <w:qFormat/>
    <w:rsid w:val="00715D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pb.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849</Words>
  <Characters>5354</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Christian Hartmann</cp:lastModifiedBy>
  <cp:revision>4</cp:revision>
  <dcterms:created xsi:type="dcterms:W3CDTF">2026-03-06T09:15:00Z</dcterms:created>
  <dcterms:modified xsi:type="dcterms:W3CDTF">2026-03-15T14:55:00Z</dcterms:modified>
</cp:coreProperties>
</file>