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AB74" w14:textId="0336D5B5" w:rsidR="005B3198" w:rsidRPr="001A318D" w:rsidRDefault="009C3C37" w:rsidP="001A318D">
      <w:pPr>
        <w:pStyle w:val="Listenabsatz"/>
        <w:numPr>
          <w:ilvl w:val="0"/>
          <w:numId w:val="2"/>
        </w:numPr>
        <w:rPr>
          <w:rFonts w:ascii="Arial" w:hAnsi="Arial"/>
          <w:b/>
          <w:bCs/>
        </w:rPr>
      </w:pPr>
      <w:r w:rsidRPr="001A318D">
        <w:rPr>
          <w:rFonts w:ascii="Arial" w:hAnsi="Arial"/>
          <w:b/>
          <w:bCs/>
        </w:rPr>
        <w:t>Multinationale Unternehmen (MNU) haben die Globalisierung vorangetrieben und stark von ihr profitiert. Die Vermögenswerte und Umsätze einzelner MNU entsprechen dem BIP</w:t>
      </w:r>
      <w:r w:rsidR="00172BA3">
        <w:rPr>
          <w:rFonts w:ascii="Arial" w:hAnsi="Arial"/>
          <w:b/>
          <w:bCs/>
        </w:rPr>
        <w:t xml:space="preserve"> w</w:t>
      </w:r>
      <w:r w:rsidRPr="001A318D">
        <w:rPr>
          <w:rFonts w:ascii="Arial" w:hAnsi="Arial"/>
          <w:b/>
          <w:bCs/>
        </w:rPr>
        <w:t>irtschaftsstarker Staaten.</w:t>
      </w:r>
    </w:p>
    <w:p w14:paraId="51F8EE2F" w14:textId="77777777" w:rsidR="009C3C37" w:rsidRPr="001A318D" w:rsidRDefault="009C3C37" w:rsidP="005B3198">
      <w:pPr>
        <w:rPr>
          <w:rFonts w:ascii="Arial" w:hAnsi="Arial"/>
          <w:b/>
          <w:bCs/>
        </w:rPr>
      </w:pPr>
    </w:p>
    <w:p w14:paraId="1C4DAA77" w14:textId="6DB86812" w:rsidR="009C3C37" w:rsidRPr="009C1188" w:rsidRDefault="009C1188" w:rsidP="009C1188">
      <w:pPr>
        <w:pStyle w:val="Listenabsatz"/>
        <w:numPr>
          <w:ilvl w:val="0"/>
          <w:numId w:val="2"/>
        </w:numPr>
        <w:rPr>
          <w:rFonts w:ascii="Arial" w:hAnsi="Arial"/>
          <w:b/>
          <w:bCs/>
        </w:rPr>
      </w:pPr>
      <w:r>
        <w:rPr>
          <w:rFonts w:ascii="Arial" w:hAnsi="Arial"/>
          <w:b/>
          <w:bCs/>
        </w:rPr>
        <w:t>D</w:t>
      </w:r>
      <w:r w:rsidR="009C3C37" w:rsidRPr="001A318D">
        <w:rPr>
          <w:rFonts w:ascii="Arial" w:hAnsi="Arial"/>
          <w:b/>
          <w:bCs/>
        </w:rPr>
        <w:t xml:space="preserve">ie Vermögenswerte von VW und Toyota </w:t>
      </w:r>
      <w:r w:rsidRPr="001A318D">
        <w:rPr>
          <w:rFonts w:ascii="Arial" w:hAnsi="Arial"/>
          <w:b/>
          <w:bCs/>
        </w:rPr>
        <w:t xml:space="preserve">lagen </w:t>
      </w:r>
      <w:r>
        <w:rPr>
          <w:rFonts w:ascii="Arial" w:hAnsi="Arial"/>
          <w:b/>
          <w:bCs/>
        </w:rPr>
        <w:t xml:space="preserve">im Jahr 2024 </w:t>
      </w:r>
      <w:r w:rsidR="009C3C37" w:rsidRPr="009C1188">
        <w:rPr>
          <w:rFonts w:ascii="Arial" w:hAnsi="Arial"/>
          <w:b/>
          <w:bCs/>
        </w:rPr>
        <w:t>mit 657 bzw. 626 Mrd. US$ nur leicht unterhalb des BIP von Belgien bzw. Argentinien. Und die Vermögenswerte der sieben größten MNU entsprachen etwa dem BIP Deutschlands.</w:t>
      </w:r>
    </w:p>
    <w:p w14:paraId="73AFA6A1" w14:textId="77777777" w:rsidR="009C3C37" w:rsidRPr="001A318D" w:rsidRDefault="009C3C37" w:rsidP="005B3198">
      <w:pPr>
        <w:rPr>
          <w:rFonts w:ascii="Arial" w:hAnsi="Arial"/>
          <w:b/>
          <w:bCs/>
        </w:rPr>
      </w:pPr>
    </w:p>
    <w:p w14:paraId="6F6415A3" w14:textId="231A4203" w:rsidR="009C3C37" w:rsidRPr="001A318D" w:rsidRDefault="001A318D" w:rsidP="001A318D">
      <w:pPr>
        <w:pStyle w:val="Listenabsatz"/>
        <w:numPr>
          <w:ilvl w:val="0"/>
          <w:numId w:val="2"/>
        </w:numPr>
        <w:rPr>
          <w:rFonts w:ascii="Arial" w:hAnsi="Arial"/>
          <w:b/>
          <w:bCs/>
        </w:rPr>
      </w:pPr>
      <w:r w:rsidRPr="001A318D">
        <w:rPr>
          <w:rFonts w:ascii="Arial" w:hAnsi="Arial"/>
          <w:b/>
          <w:bCs/>
        </w:rPr>
        <w:t xml:space="preserve">Knapp vier Fünftel der Vermögenswerte der Top 100 MNU entfielen </w:t>
      </w:r>
      <w:r w:rsidR="009C1188">
        <w:rPr>
          <w:rFonts w:ascii="Arial" w:hAnsi="Arial"/>
          <w:b/>
          <w:bCs/>
        </w:rPr>
        <w:t xml:space="preserve">2024 </w:t>
      </w:r>
      <w:r w:rsidRPr="001A318D">
        <w:rPr>
          <w:rFonts w:ascii="Arial" w:hAnsi="Arial"/>
          <w:b/>
          <w:bCs/>
        </w:rPr>
        <w:t xml:space="preserve">auf </w:t>
      </w:r>
      <w:r w:rsidR="005F454F">
        <w:rPr>
          <w:rFonts w:ascii="Arial" w:hAnsi="Arial"/>
          <w:b/>
          <w:bCs/>
        </w:rPr>
        <w:t xml:space="preserve">nur </w:t>
      </w:r>
      <w:r w:rsidRPr="001A318D">
        <w:rPr>
          <w:rFonts w:ascii="Arial" w:hAnsi="Arial"/>
          <w:b/>
          <w:bCs/>
        </w:rPr>
        <w:t>vier Branchen: Energie</w:t>
      </w:r>
      <w:r w:rsidR="009C1188">
        <w:rPr>
          <w:rFonts w:ascii="Arial" w:hAnsi="Arial"/>
          <w:b/>
          <w:bCs/>
        </w:rPr>
        <w:t>/</w:t>
      </w:r>
      <w:r w:rsidRPr="001A318D">
        <w:rPr>
          <w:rFonts w:ascii="Arial" w:hAnsi="Arial"/>
          <w:b/>
          <w:bCs/>
        </w:rPr>
        <w:t>Bergbau, Technologie, Kraftfahrzeuge sowie Chemie</w:t>
      </w:r>
      <w:r w:rsidR="009C1188">
        <w:rPr>
          <w:rFonts w:ascii="Arial" w:hAnsi="Arial"/>
          <w:b/>
          <w:bCs/>
        </w:rPr>
        <w:t>/</w:t>
      </w:r>
      <w:r w:rsidRPr="001A318D">
        <w:rPr>
          <w:rFonts w:ascii="Arial" w:hAnsi="Arial"/>
          <w:b/>
          <w:bCs/>
        </w:rPr>
        <w:t>Pharmazieprodukte.</w:t>
      </w:r>
    </w:p>
    <w:p w14:paraId="60A06183" w14:textId="77777777" w:rsidR="001A318D" w:rsidRDefault="001A318D" w:rsidP="005B3198">
      <w:pPr>
        <w:rPr>
          <w:rFonts w:ascii="Arial" w:hAnsi="Arial"/>
          <w:b/>
        </w:rPr>
      </w:pPr>
    </w:p>
    <w:p w14:paraId="420B0FD0" w14:textId="77777777" w:rsidR="00D25A9E" w:rsidRPr="00F35CB4" w:rsidRDefault="00866A9F" w:rsidP="00D25A9E">
      <w:pPr>
        <w:rPr>
          <w:rFonts w:ascii="Arial" w:hAnsi="Arial"/>
        </w:rPr>
      </w:pPr>
      <w:r w:rsidRPr="00B07C7C">
        <w:rPr>
          <w:rFonts w:ascii="Arial" w:hAnsi="Arial"/>
          <w:color w:val="FF0000"/>
        </w:rPr>
        <w:t>Fakten</w:t>
      </w:r>
    </w:p>
    <w:p w14:paraId="3D6A6333" w14:textId="77777777" w:rsidR="0075307D" w:rsidRPr="009E0945" w:rsidRDefault="0075307D">
      <w:pPr>
        <w:rPr>
          <w:rFonts w:ascii="Arial" w:hAnsi="Arial"/>
        </w:rPr>
      </w:pPr>
    </w:p>
    <w:p w14:paraId="67270A7E" w14:textId="01388D13" w:rsidR="0028363B" w:rsidRDefault="00C66C4C" w:rsidP="00780729">
      <w:pPr>
        <w:rPr>
          <w:rFonts w:ascii="Arial" w:hAnsi="Arial"/>
        </w:rPr>
      </w:pPr>
      <w:r w:rsidRPr="0028363B">
        <w:rPr>
          <w:rFonts w:ascii="Arial" w:hAnsi="Arial"/>
        </w:rPr>
        <w:t>Multinationale Unternehmen (MNU) haben die Globalisierung vorangetrieben und stark von ihr profitiert</w:t>
      </w:r>
      <w:r w:rsidR="003D5166">
        <w:rPr>
          <w:rFonts w:ascii="Arial" w:hAnsi="Arial"/>
        </w:rPr>
        <w:t xml:space="preserve">. </w:t>
      </w:r>
      <w:r w:rsidR="003D5166" w:rsidRPr="0028363B">
        <w:rPr>
          <w:rFonts w:ascii="Arial" w:hAnsi="Arial"/>
        </w:rPr>
        <w:t>Durch ihre organisatorischen, technischen und finanziellen Ressourcen konnten die MNU ihre Marktmacht immer weiter ausbauen. Die Vermögenswerte und Umsätze einzelner MNU entsprechen inzwischen dem Bruttoinlandsprodukt (BIP) wirtschaftsstarker Staaten</w:t>
      </w:r>
      <w:r w:rsidR="00047146">
        <w:rPr>
          <w:rFonts w:ascii="Arial" w:hAnsi="Arial"/>
        </w:rPr>
        <w:t xml:space="preserve">. </w:t>
      </w:r>
      <w:r w:rsidR="0028363B" w:rsidRPr="00FE4434">
        <w:rPr>
          <w:rFonts w:ascii="Arial" w:hAnsi="Arial"/>
        </w:rPr>
        <w:t>Zwischen 1995 und 2024 hat sich das Gesamtvermögen der – nach Vermögenswerten im Ausland – 100 größ</w:t>
      </w:r>
      <w:r w:rsidR="0028363B" w:rsidRPr="00E95659">
        <w:rPr>
          <w:rFonts w:ascii="Arial" w:hAnsi="Arial"/>
        </w:rPr>
        <w:t>ten MNU auf 19,7 Billionen US-Dollar nahezu verfünffacht (Faktor 4,7). Der Umsatz der Top 100 MNU lag im Jahr 2024 bei 12,1 Billionen US-Dollar und war damit knapp dreimal so hoch wie 1995 (Faktor 2,9).</w:t>
      </w:r>
    </w:p>
    <w:p w14:paraId="2695F116" w14:textId="77777777" w:rsidR="00047146" w:rsidRDefault="00047146" w:rsidP="00780729">
      <w:pPr>
        <w:rPr>
          <w:rFonts w:ascii="Arial" w:hAnsi="Arial"/>
        </w:rPr>
      </w:pPr>
    </w:p>
    <w:p w14:paraId="5EC9B6C6" w14:textId="0FB185D4" w:rsidR="00047146" w:rsidRDefault="00DE1EE0" w:rsidP="001E515A">
      <w:pPr>
        <w:rPr>
          <w:rFonts w:ascii="Arial" w:hAnsi="Arial"/>
        </w:rPr>
      </w:pPr>
      <w:r w:rsidRPr="001E515A">
        <w:rPr>
          <w:rFonts w:ascii="Arial" w:hAnsi="Arial"/>
        </w:rPr>
        <w:t>Um die</w:t>
      </w:r>
      <w:r w:rsidR="003D5166" w:rsidRPr="001E515A">
        <w:rPr>
          <w:rFonts w:ascii="Arial" w:hAnsi="Arial"/>
        </w:rPr>
        <w:t xml:space="preserve"> Höhe der Vermögen der MNU etwas </w:t>
      </w:r>
      <w:r w:rsidRPr="001E515A">
        <w:rPr>
          <w:rFonts w:ascii="Arial" w:hAnsi="Arial"/>
        </w:rPr>
        <w:t>einordnen zu können, wurden sie hier dem Bruttoinlandsprodukt (BIP) ausgewählter Staaten gegenübergestellt</w:t>
      </w:r>
      <w:r w:rsidR="003D5166" w:rsidRPr="001E515A">
        <w:rPr>
          <w:rFonts w:ascii="Arial" w:hAnsi="Arial"/>
        </w:rPr>
        <w:t xml:space="preserve"> – auch wenn dabei </w:t>
      </w:r>
      <w:r w:rsidRPr="001E515A">
        <w:rPr>
          <w:rFonts w:ascii="Arial" w:hAnsi="Arial"/>
        </w:rPr>
        <w:t>Bestandsgrößen (Vermögenswerte der MNU)</w:t>
      </w:r>
      <w:r w:rsidR="003D5166" w:rsidRPr="001E515A">
        <w:rPr>
          <w:rFonts w:ascii="Arial" w:hAnsi="Arial"/>
        </w:rPr>
        <w:t xml:space="preserve"> </w:t>
      </w:r>
      <w:r w:rsidRPr="001E515A">
        <w:rPr>
          <w:rFonts w:ascii="Arial" w:hAnsi="Arial"/>
        </w:rPr>
        <w:t xml:space="preserve">Flussgrößen (BIP der Staaten) </w:t>
      </w:r>
      <w:r w:rsidR="003D5166" w:rsidRPr="001E515A">
        <w:rPr>
          <w:rFonts w:ascii="Arial" w:hAnsi="Arial"/>
        </w:rPr>
        <w:t>gegenübergestellt werden</w:t>
      </w:r>
      <w:r w:rsidRPr="001E515A">
        <w:rPr>
          <w:rFonts w:ascii="Arial" w:hAnsi="Arial"/>
        </w:rPr>
        <w:t xml:space="preserve">. So </w:t>
      </w:r>
      <w:r w:rsidR="001E515A" w:rsidRPr="001E515A">
        <w:rPr>
          <w:rFonts w:ascii="Arial" w:hAnsi="Arial"/>
        </w:rPr>
        <w:t xml:space="preserve">entsprachen </w:t>
      </w:r>
      <w:r w:rsidR="00172BA3">
        <w:rPr>
          <w:rFonts w:ascii="Arial" w:hAnsi="Arial"/>
        </w:rPr>
        <w:t xml:space="preserve">im Jahr 2024 </w:t>
      </w:r>
      <w:r w:rsidRPr="001E515A">
        <w:rPr>
          <w:rFonts w:ascii="Arial" w:hAnsi="Arial"/>
        </w:rPr>
        <w:t xml:space="preserve">beispielsweise die Vermögenswerte des </w:t>
      </w:r>
      <w:r w:rsidR="001E515A" w:rsidRPr="001E515A">
        <w:rPr>
          <w:rFonts w:ascii="Arial" w:hAnsi="Arial"/>
        </w:rPr>
        <w:t>chinesischen Energiek</w:t>
      </w:r>
      <w:r w:rsidRPr="001E515A">
        <w:rPr>
          <w:rFonts w:ascii="Arial" w:hAnsi="Arial"/>
        </w:rPr>
        <w:t xml:space="preserve">onzerns </w:t>
      </w:r>
      <w:r w:rsidR="001E515A" w:rsidRPr="001E515A">
        <w:rPr>
          <w:rFonts w:ascii="Arial" w:hAnsi="Arial"/>
        </w:rPr>
        <w:t xml:space="preserve">State Grid Corporation of China </w:t>
      </w:r>
      <w:r w:rsidRPr="001E515A">
        <w:rPr>
          <w:rFonts w:ascii="Arial" w:hAnsi="Arial"/>
        </w:rPr>
        <w:t xml:space="preserve">mit </w:t>
      </w:r>
      <w:r w:rsidR="001E515A" w:rsidRPr="001E515A">
        <w:rPr>
          <w:rFonts w:ascii="Arial" w:hAnsi="Arial"/>
        </w:rPr>
        <w:t>778</w:t>
      </w:r>
      <w:r w:rsidRPr="001E515A">
        <w:rPr>
          <w:rFonts w:ascii="Arial" w:hAnsi="Arial"/>
        </w:rPr>
        <w:t xml:space="preserve"> Milliarden US-Dollar dem BIP </w:t>
      </w:r>
      <w:r w:rsidR="001E515A" w:rsidRPr="001E515A">
        <w:rPr>
          <w:rFonts w:ascii="Arial" w:hAnsi="Arial"/>
        </w:rPr>
        <w:t xml:space="preserve">Taiwans </w:t>
      </w:r>
      <w:r w:rsidRPr="001E515A">
        <w:rPr>
          <w:rFonts w:ascii="Arial" w:hAnsi="Arial"/>
        </w:rPr>
        <w:t xml:space="preserve">mit </w:t>
      </w:r>
      <w:r w:rsidR="001E515A" w:rsidRPr="001E515A">
        <w:rPr>
          <w:rFonts w:ascii="Arial" w:hAnsi="Arial"/>
        </w:rPr>
        <w:t>781</w:t>
      </w:r>
      <w:r w:rsidRPr="001E515A">
        <w:rPr>
          <w:rFonts w:ascii="Arial" w:hAnsi="Arial"/>
        </w:rPr>
        <w:t xml:space="preserve"> Milliarden US-Dollar. </w:t>
      </w:r>
      <w:r w:rsidR="001E515A">
        <w:rPr>
          <w:rFonts w:ascii="Arial" w:hAnsi="Arial"/>
        </w:rPr>
        <w:t>D</w:t>
      </w:r>
      <w:r w:rsidRPr="001E515A">
        <w:rPr>
          <w:rFonts w:ascii="Arial" w:hAnsi="Arial"/>
        </w:rPr>
        <w:t xml:space="preserve">ie Vermögenswerte der Kraftfahrzeughersteller </w:t>
      </w:r>
      <w:r w:rsidR="001E515A" w:rsidRPr="001E515A">
        <w:rPr>
          <w:rFonts w:ascii="Arial" w:hAnsi="Arial"/>
        </w:rPr>
        <w:t xml:space="preserve">VW </w:t>
      </w:r>
      <w:r w:rsidRPr="001E515A">
        <w:rPr>
          <w:rFonts w:ascii="Arial" w:hAnsi="Arial"/>
        </w:rPr>
        <w:t xml:space="preserve">und </w:t>
      </w:r>
      <w:r w:rsidR="001E515A" w:rsidRPr="001E515A">
        <w:rPr>
          <w:rFonts w:ascii="Arial" w:hAnsi="Arial"/>
        </w:rPr>
        <w:t xml:space="preserve">Toyota </w:t>
      </w:r>
      <w:r w:rsidR="001E515A">
        <w:rPr>
          <w:rFonts w:ascii="Arial" w:hAnsi="Arial"/>
        </w:rPr>
        <w:t>lagen</w:t>
      </w:r>
      <w:r w:rsidRPr="001E515A">
        <w:rPr>
          <w:rFonts w:ascii="Arial" w:hAnsi="Arial"/>
        </w:rPr>
        <w:t xml:space="preserve"> mit </w:t>
      </w:r>
      <w:r w:rsidR="001E515A" w:rsidRPr="001E515A">
        <w:rPr>
          <w:rFonts w:ascii="Arial" w:hAnsi="Arial"/>
        </w:rPr>
        <w:t>657</w:t>
      </w:r>
      <w:r w:rsidRPr="001E515A">
        <w:rPr>
          <w:rFonts w:ascii="Arial" w:hAnsi="Arial"/>
        </w:rPr>
        <w:t xml:space="preserve"> bzw. </w:t>
      </w:r>
      <w:r w:rsidR="001E515A" w:rsidRPr="001E515A">
        <w:rPr>
          <w:rFonts w:ascii="Arial" w:hAnsi="Arial"/>
        </w:rPr>
        <w:t>626</w:t>
      </w:r>
      <w:r w:rsidRPr="001E515A">
        <w:rPr>
          <w:rFonts w:ascii="Arial" w:hAnsi="Arial"/>
        </w:rPr>
        <w:t xml:space="preserve"> Milliarden US-Dollar </w:t>
      </w:r>
      <w:r w:rsidR="001E515A">
        <w:rPr>
          <w:rFonts w:ascii="Arial" w:hAnsi="Arial"/>
        </w:rPr>
        <w:t xml:space="preserve">nur leicht unterhalb des </w:t>
      </w:r>
      <w:r w:rsidRPr="001E515A">
        <w:rPr>
          <w:rFonts w:ascii="Arial" w:hAnsi="Arial"/>
        </w:rPr>
        <w:t>BIP</w:t>
      </w:r>
      <w:r w:rsidR="001E515A">
        <w:rPr>
          <w:rFonts w:ascii="Arial" w:hAnsi="Arial"/>
        </w:rPr>
        <w:t xml:space="preserve"> von </w:t>
      </w:r>
      <w:r w:rsidR="001E515A" w:rsidRPr="001E515A">
        <w:rPr>
          <w:rFonts w:ascii="Arial" w:hAnsi="Arial"/>
        </w:rPr>
        <w:t>Belgien</w:t>
      </w:r>
      <w:r w:rsidR="001E515A">
        <w:rPr>
          <w:rFonts w:ascii="Arial" w:hAnsi="Arial"/>
        </w:rPr>
        <w:t xml:space="preserve"> und </w:t>
      </w:r>
      <w:r w:rsidR="001E515A" w:rsidRPr="001E515A">
        <w:rPr>
          <w:rFonts w:ascii="Arial" w:hAnsi="Arial"/>
        </w:rPr>
        <w:t>Argentinien</w:t>
      </w:r>
      <w:r w:rsidR="001E515A">
        <w:rPr>
          <w:rFonts w:ascii="Arial" w:hAnsi="Arial"/>
        </w:rPr>
        <w:t xml:space="preserve"> </w:t>
      </w:r>
      <w:r w:rsidR="001E515A" w:rsidRPr="001E515A">
        <w:rPr>
          <w:rFonts w:ascii="Arial" w:hAnsi="Arial"/>
        </w:rPr>
        <w:t xml:space="preserve">mit 666 </w:t>
      </w:r>
      <w:r w:rsidRPr="001E515A">
        <w:rPr>
          <w:rFonts w:ascii="Arial" w:hAnsi="Arial"/>
        </w:rPr>
        <w:t xml:space="preserve">bzw. </w:t>
      </w:r>
      <w:r w:rsidR="001E515A" w:rsidRPr="001E515A">
        <w:rPr>
          <w:rFonts w:ascii="Arial" w:hAnsi="Arial"/>
        </w:rPr>
        <w:t xml:space="preserve">633 </w:t>
      </w:r>
      <w:r w:rsidRPr="001E515A">
        <w:rPr>
          <w:rFonts w:ascii="Arial" w:hAnsi="Arial"/>
        </w:rPr>
        <w:t>Milliarden US-Dollar.</w:t>
      </w:r>
      <w:r w:rsidR="002F2DEA">
        <w:rPr>
          <w:rFonts w:ascii="Arial" w:hAnsi="Arial"/>
        </w:rPr>
        <w:t xml:space="preserve"> Und die </w:t>
      </w:r>
      <w:r w:rsidR="002F2DEA" w:rsidRPr="001E515A">
        <w:rPr>
          <w:rFonts w:ascii="Arial" w:hAnsi="Arial"/>
        </w:rPr>
        <w:t>Vermögenswerte</w:t>
      </w:r>
      <w:r w:rsidR="002F2DEA">
        <w:rPr>
          <w:rFonts w:ascii="Arial" w:hAnsi="Arial"/>
        </w:rPr>
        <w:t xml:space="preserve"> von Amazon (625 Mrd. US$) und Microsoft (512 Mrd. US$) entsprachen etwa dem BIP von Schweden (606 Mrd. US$) bzw. Österreich (523 Mrd. US$)</w:t>
      </w:r>
      <w:r w:rsidR="00172BA3">
        <w:rPr>
          <w:rFonts w:ascii="Arial" w:hAnsi="Arial"/>
        </w:rPr>
        <w:t xml:space="preserve"> im Jahr 2024</w:t>
      </w:r>
      <w:r w:rsidR="002F2DEA">
        <w:rPr>
          <w:rFonts w:ascii="Arial" w:hAnsi="Arial"/>
        </w:rPr>
        <w:t>.</w:t>
      </w:r>
    </w:p>
    <w:p w14:paraId="6BA28807" w14:textId="77777777" w:rsidR="00047146" w:rsidRDefault="00047146" w:rsidP="001E515A">
      <w:pPr>
        <w:rPr>
          <w:rFonts w:ascii="Arial" w:hAnsi="Arial"/>
        </w:rPr>
      </w:pPr>
    </w:p>
    <w:p w14:paraId="7B81A7E5" w14:textId="0D43E1ED" w:rsidR="00DE1EE0" w:rsidRDefault="00DE1EE0" w:rsidP="002C339B">
      <w:pPr>
        <w:rPr>
          <w:rFonts w:ascii="Arial" w:hAnsi="Arial"/>
        </w:rPr>
      </w:pPr>
      <w:r w:rsidRPr="002C339B">
        <w:rPr>
          <w:rFonts w:ascii="Arial" w:hAnsi="Arial"/>
        </w:rPr>
        <w:t>Selbst das BIP der – nach den USA</w:t>
      </w:r>
      <w:r w:rsidR="00E55E87" w:rsidRPr="002C339B">
        <w:rPr>
          <w:rFonts w:ascii="Arial" w:hAnsi="Arial"/>
        </w:rPr>
        <w:t xml:space="preserve"> und </w:t>
      </w:r>
      <w:r w:rsidRPr="002C339B">
        <w:rPr>
          <w:rFonts w:ascii="Arial" w:hAnsi="Arial"/>
        </w:rPr>
        <w:t>China</w:t>
      </w:r>
      <w:r w:rsidR="00E55E87" w:rsidRPr="002C339B">
        <w:rPr>
          <w:rFonts w:ascii="Arial" w:hAnsi="Arial"/>
        </w:rPr>
        <w:t xml:space="preserve"> </w:t>
      </w:r>
      <w:r w:rsidRPr="002C339B">
        <w:rPr>
          <w:rFonts w:ascii="Arial" w:hAnsi="Arial"/>
        </w:rPr>
        <w:t xml:space="preserve">– </w:t>
      </w:r>
      <w:r w:rsidR="00E55E87" w:rsidRPr="002C339B">
        <w:rPr>
          <w:rFonts w:ascii="Arial" w:hAnsi="Arial"/>
        </w:rPr>
        <w:t>dritt</w:t>
      </w:r>
      <w:r w:rsidRPr="002C339B">
        <w:rPr>
          <w:rFonts w:ascii="Arial" w:hAnsi="Arial"/>
        </w:rPr>
        <w:t>größten Ökonomie der Welt entsprach im Jahr 20</w:t>
      </w:r>
      <w:r w:rsidR="00E55E87" w:rsidRPr="002C339B">
        <w:rPr>
          <w:rFonts w:ascii="Arial" w:hAnsi="Arial"/>
        </w:rPr>
        <w:t>24</w:t>
      </w:r>
      <w:r w:rsidRPr="002C339B">
        <w:rPr>
          <w:rFonts w:ascii="Arial" w:hAnsi="Arial"/>
        </w:rPr>
        <w:t xml:space="preserve"> den Vermögenswerten von nur </w:t>
      </w:r>
      <w:r w:rsidR="002C339B">
        <w:rPr>
          <w:rFonts w:ascii="Arial" w:hAnsi="Arial"/>
        </w:rPr>
        <w:t>sieben</w:t>
      </w:r>
      <w:r w:rsidRPr="002C339B">
        <w:rPr>
          <w:rFonts w:ascii="Arial" w:hAnsi="Arial"/>
        </w:rPr>
        <w:t xml:space="preserve"> MNU: Während das BIP Deutschlands nach vorläufigen Angaben der UNCTAD </w:t>
      </w:r>
      <w:r w:rsidR="002C339B" w:rsidRPr="002C339B">
        <w:rPr>
          <w:rFonts w:ascii="Arial" w:hAnsi="Arial"/>
        </w:rPr>
        <w:t>4</w:t>
      </w:r>
      <w:r w:rsidRPr="002C339B">
        <w:rPr>
          <w:rFonts w:ascii="Arial" w:hAnsi="Arial"/>
        </w:rPr>
        <w:t>.</w:t>
      </w:r>
      <w:r w:rsidR="002C339B" w:rsidRPr="002C339B">
        <w:rPr>
          <w:rFonts w:ascii="Arial" w:hAnsi="Arial"/>
        </w:rPr>
        <w:t>526</w:t>
      </w:r>
      <w:r w:rsidRPr="002C339B">
        <w:rPr>
          <w:rFonts w:ascii="Arial" w:hAnsi="Arial"/>
        </w:rPr>
        <w:t xml:space="preserve"> Milliarden US-Dollar betrug, lagen die Vermögenswerte der </w:t>
      </w:r>
      <w:r w:rsidR="002C339B">
        <w:rPr>
          <w:rFonts w:ascii="Arial" w:hAnsi="Arial"/>
        </w:rPr>
        <w:t>sieben</w:t>
      </w:r>
      <w:r w:rsidR="002C339B" w:rsidRPr="002C339B">
        <w:rPr>
          <w:rFonts w:ascii="Arial" w:hAnsi="Arial"/>
        </w:rPr>
        <w:t xml:space="preserve"> </w:t>
      </w:r>
      <w:r w:rsidRPr="002C339B">
        <w:rPr>
          <w:rFonts w:ascii="Arial" w:hAnsi="Arial"/>
        </w:rPr>
        <w:t xml:space="preserve">größten MNU bei </w:t>
      </w:r>
      <w:r w:rsidR="002C339B" w:rsidRPr="002C339B">
        <w:rPr>
          <w:rFonts w:ascii="Arial" w:hAnsi="Arial"/>
        </w:rPr>
        <w:t>4</w:t>
      </w:r>
      <w:r w:rsidRPr="002C339B">
        <w:rPr>
          <w:rFonts w:ascii="Arial" w:hAnsi="Arial"/>
        </w:rPr>
        <w:t>.</w:t>
      </w:r>
      <w:r w:rsidR="002C339B" w:rsidRPr="002C339B">
        <w:rPr>
          <w:rFonts w:ascii="Arial" w:hAnsi="Arial"/>
        </w:rPr>
        <w:t>4</w:t>
      </w:r>
      <w:r w:rsidRPr="002C339B">
        <w:rPr>
          <w:rFonts w:ascii="Arial" w:hAnsi="Arial"/>
        </w:rPr>
        <w:t>7</w:t>
      </w:r>
      <w:r w:rsidR="002C339B" w:rsidRPr="002C339B">
        <w:rPr>
          <w:rFonts w:ascii="Arial" w:hAnsi="Arial"/>
        </w:rPr>
        <w:t>3</w:t>
      </w:r>
      <w:r w:rsidRPr="002C339B">
        <w:rPr>
          <w:rFonts w:ascii="Arial" w:hAnsi="Arial"/>
        </w:rPr>
        <w:t xml:space="preserve"> Milliarden US-Dollar.</w:t>
      </w:r>
    </w:p>
    <w:p w14:paraId="7D1F1FFE" w14:textId="77777777" w:rsidR="00047146" w:rsidRDefault="00047146" w:rsidP="00FC6619">
      <w:pPr>
        <w:autoSpaceDE w:val="0"/>
        <w:autoSpaceDN w:val="0"/>
        <w:adjustRightInd w:val="0"/>
        <w:rPr>
          <w:rFonts w:ascii="Arial" w:hAnsi="Arial"/>
        </w:rPr>
      </w:pPr>
    </w:p>
    <w:p w14:paraId="45CAE61E" w14:textId="5527F39D" w:rsidR="001A318D" w:rsidRDefault="009C1188" w:rsidP="00E97E04">
      <w:pPr>
        <w:autoSpaceDE w:val="0"/>
        <w:autoSpaceDN w:val="0"/>
        <w:adjustRightInd w:val="0"/>
        <w:rPr>
          <w:rFonts w:ascii="Arial" w:hAnsi="Arial"/>
        </w:rPr>
      </w:pPr>
      <w:r>
        <w:rPr>
          <w:rFonts w:ascii="Arial" w:hAnsi="Arial"/>
        </w:rPr>
        <w:t xml:space="preserve">Im Jahr 2024 </w:t>
      </w:r>
      <w:r w:rsidRPr="00FC6619">
        <w:rPr>
          <w:rFonts w:ascii="Arial" w:hAnsi="Arial"/>
        </w:rPr>
        <w:t xml:space="preserve">entfielen </w:t>
      </w:r>
      <w:r>
        <w:rPr>
          <w:rFonts w:ascii="Arial" w:hAnsi="Arial"/>
        </w:rPr>
        <w:t>k</w:t>
      </w:r>
      <w:r w:rsidR="00FC6619" w:rsidRPr="00FC6619">
        <w:rPr>
          <w:rFonts w:ascii="Arial" w:hAnsi="Arial"/>
        </w:rPr>
        <w:t>napp vier Fünftel der Vermögenswerte der Top 100 MNU auf lediglich vier Branchen:</w:t>
      </w:r>
      <w:r w:rsidR="001A318D">
        <w:rPr>
          <w:rFonts w:ascii="Arial" w:hAnsi="Arial"/>
        </w:rPr>
        <w:t xml:space="preserve"> Energie und Bergbau (33,8 Prozent), Technologie (19,2 Prozent), Kraftfahrzeuge (17,8 Prozent) sowie Chemie und </w:t>
      </w:r>
      <w:r w:rsidR="001A318D" w:rsidRPr="00DF4DAB">
        <w:rPr>
          <w:rFonts w:ascii="Arial" w:hAnsi="Arial"/>
        </w:rPr>
        <w:t>Pharmazieprodukte</w:t>
      </w:r>
      <w:r w:rsidR="001A318D">
        <w:rPr>
          <w:rFonts w:ascii="Arial" w:hAnsi="Arial"/>
        </w:rPr>
        <w:t xml:space="preserve"> (8,7 Prozent).</w:t>
      </w:r>
      <w:r w:rsidR="00FC6619">
        <w:rPr>
          <w:rFonts w:ascii="Arial" w:hAnsi="Arial"/>
        </w:rPr>
        <w:t xml:space="preserve"> B</w:t>
      </w:r>
      <w:r w:rsidR="001A318D">
        <w:rPr>
          <w:rFonts w:ascii="Arial" w:hAnsi="Arial"/>
        </w:rPr>
        <w:t xml:space="preserve">eim Gesamtumsatz lag der Anteil der vier Branchen </w:t>
      </w:r>
      <w:r w:rsidR="00FC6619">
        <w:rPr>
          <w:rFonts w:ascii="Arial" w:hAnsi="Arial"/>
        </w:rPr>
        <w:t xml:space="preserve">sogar </w:t>
      </w:r>
      <w:r w:rsidR="001A318D">
        <w:rPr>
          <w:rFonts w:ascii="Arial" w:hAnsi="Arial"/>
        </w:rPr>
        <w:t>bei 82,2 Prozent und bei den insgesamt Beschäftigen bei 74,4 Prozent. Besonders dynamisch ist die Entwicklung der Technologiebranche</w:t>
      </w:r>
      <w:r w:rsidR="00FC6619">
        <w:rPr>
          <w:rFonts w:ascii="Arial" w:hAnsi="Arial"/>
        </w:rPr>
        <w:t>:</w:t>
      </w:r>
      <w:r w:rsidR="001A318D">
        <w:rPr>
          <w:rFonts w:ascii="Arial" w:hAnsi="Arial"/>
        </w:rPr>
        <w:t xml:space="preserve"> Die Zahl der Tech-MNU unter den Top 100 MNU erhöhte sich allein zwischen 2015 und 2024 von 9 auf 15.</w:t>
      </w:r>
    </w:p>
    <w:p w14:paraId="3688A7FD" w14:textId="77777777" w:rsidR="001A318D" w:rsidRDefault="001A318D" w:rsidP="00E97E04">
      <w:pPr>
        <w:autoSpaceDE w:val="0"/>
        <w:autoSpaceDN w:val="0"/>
        <w:adjustRightInd w:val="0"/>
        <w:rPr>
          <w:rFonts w:ascii="Arial" w:hAnsi="Arial"/>
        </w:rPr>
      </w:pPr>
    </w:p>
    <w:p w14:paraId="6A891CAD" w14:textId="6D96EBF6" w:rsidR="00E97E04" w:rsidRDefault="00FC6619" w:rsidP="00FC6619">
      <w:pPr>
        <w:autoSpaceDE w:val="0"/>
        <w:autoSpaceDN w:val="0"/>
        <w:adjustRightInd w:val="0"/>
        <w:rPr>
          <w:rFonts w:ascii="Arial" w:hAnsi="Arial"/>
        </w:rPr>
      </w:pPr>
      <w:r w:rsidRPr="009B4B0A">
        <w:rPr>
          <w:rFonts w:ascii="Arial" w:hAnsi="Arial"/>
        </w:rPr>
        <w:t xml:space="preserve">Trotz der insgesamt zunehmenden Transnationalisierung </w:t>
      </w:r>
      <w:r>
        <w:rPr>
          <w:rFonts w:ascii="Arial" w:hAnsi="Arial"/>
        </w:rPr>
        <w:t xml:space="preserve">der MNU </w:t>
      </w:r>
      <w:r w:rsidRPr="009B4B0A">
        <w:rPr>
          <w:rFonts w:ascii="Arial" w:hAnsi="Arial"/>
        </w:rPr>
        <w:t>bleibt die ökonomische Bedeutung des jeweiligen Heimatmarktes bei den meisten Unternehmen groß. Der Hauptgrund hierfür ist, dass sich die Auslandsvermögenswerte, der Auslandsumsatz und die im Ausland beschäftigten Personen in der Regel auf eine Vielzahl von Staaten verteilen.</w:t>
      </w:r>
      <w:r>
        <w:rPr>
          <w:rFonts w:ascii="Arial" w:hAnsi="Arial"/>
        </w:rPr>
        <w:t xml:space="preserve"> </w:t>
      </w:r>
      <w:r w:rsidR="00E97E04">
        <w:rPr>
          <w:rFonts w:ascii="Arial" w:hAnsi="Arial"/>
        </w:rPr>
        <w:t>Im Jahr 2024 hatten von den 100 größten MNU 52 ihren Hauptsitz in Europa, 27 in Asien und 20 in Nordamerika. Bezogen auf die einzelnen Staaten hatten die meisten ihren Hauptsitz in den USA (18). Darauf folgten Frankreich und das Vereinigte Königreich mit 13 bzw. 11 MNU sowie Japan, Deutschland und China mit jeweils 10 MNU.</w:t>
      </w:r>
    </w:p>
    <w:p w14:paraId="2D3CB3AF" w14:textId="77777777" w:rsidR="00FC6619" w:rsidRDefault="00FC6619" w:rsidP="00FC6619">
      <w:pPr>
        <w:autoSpaceDE w:val="0"/>
        <w:autoSpaceDN w:val="0"/>
        <w:adjustRightInd w:val="0"/>
        <w:rPr>
          <w:rFonts w:ascii="Arial" w:hAnsi="Arial"/>
        </w:rPr>
      </w:pPr>
    </w:p>
    <w:p w14:paraId="76FFAD9D" w14:textId="77777777" w:rsidR="0075307D" w:rsidRPr="008D00BB" w:rsidRDefault="0075307D">
      <w:pPr>
        <w:rPr>
          <w:rFonts w:ascii="Arial" w:hAnsi="Arial"/>
          <w:color w:val="FF0000"/>
          <w:lang w:val="en-US"/>
        </w:rPr>
      </w:pPr>
      <w:r w:rsidRPr="008D00BB">
        <w:rPr>
          <w:rFonts w:ascii="Arial" w:hAnsi="Arial"/>
          <w:color w:val="FF0000"/>
          <w:lang w:val="en-US"/>
        </w:rPr>
        <w:t>Datenquelle</w:t>
      </w:r>
    </w:p>
    <w:p w14:paraId="49B45C6A" w14:textId="77777777" w:rsidR="0075307D" w:rsidRPr="008D00BB" w:rsidRDefault="0075307D" w:rsidP="00AA2412">
      <w:pPr>
        <w:autoSpaceDE w:val="0"/>
        <w:autoSpaceDN w:val="0"/>
        <w:adjustRightInd w:val="0"/>
        <w:rPr>
          <w:rFonts w:ascii="Arial" w:hAnsi="Arial"/>
          <w:lang w:val="en-US"/>
        </w:rPr>
      </w:pPr>
    </w:p>
    <w:p w14:paraId="2D16196F" w14:textId="77777777" w:rsidR="00C66C4C" w:rsidRDefault="00C66C4C" w:rsidP="00C66C4C">
      <w:pPr>
        <w:rPr>
          <w:rFonts w:ascii="Arial" w:hAnsi="Arial"/>
          <w:lang w:val="en-GB"/>
        </w:rPr>
      </w:pPr>
      <w:r>
        <w:rPr>
          <w:rFonts w:ascii="Arial" w:hAnsi="Arial"/>
          <w:lang w:val="en-GB"/>
        </w:rPr>
        <w:t xml:space="preserve">United Nations Conference on Trade and Development (UNCTAD): World Investment Report, </w:t>
      </w:r>
      <w:r w:rsidRPr="0070021E">
        <w:rPr>
          <w:rFonts w:ascii="Arial" w:hAnsi="Arial"/>
        </w:rPr>
        <w:t>verschiedene</w:t>
      </w:r>
      <w:r>
        <w:rPr>
          <w:rFonts w:ascii="Arial" w:hAnsi="Arial"/>
          <w:lang w:val="en-GB"/>
        </w:rPr>
        <w:t xml:space="preserve"> </w:t>
      </w:r>
      <w:r w:rsidRPr="0070021E">
        <w:rPr>
          <w:rFonts w:ascii="Arial" w:hAnsi="Arial"/>
        </w:rPr>
        <w:t>Jahrgänge</w:t>
      </w:r>
    </w:p>
    <w:p w14:paraId="65FD0D58" w14:textId="77777777" w:rsidR="009E0945" w:rsidRDefault="009E0945">
      <w:pPr>
        <w:rPr>
          <w:rFonts w:ascii="Arial" w:hAnsi="Arial"/>
          <w:lang w:val="en-GB"/>
        </w:rPr>
      </w:pPr>
    </w:p>
    <w:p w14:paraId="3DEBE7BB" w14:textId="77777777" w:rsidR="00C66C4C" w:rsidRDefault="00C66C4C" w:rsidP="00C66C4C">
      <w:pPr>
        <w:rPr>
          <w:rFonts w:ascii="Arial" w:hAnsi="Arial"/>
          <w:color w:val="FF0000"/>
        </w:rPr>
      </w:pPr>
      <w:r>
        <w:rPr>
          <w:rFonts w:ascii="Arial" w:hAnsi="Arial"/>
          <w:color w:val="FF0000"/>
        </w:rPr>
        <w:t>Begriffe, methodische Anmerkungen oder Lesehilfen</w:t>
      </w:r>
    </w:p>
    <w:p w14:paraId="1E25C96D" w14:textId="77777777" w:rsidR="00C66C4C" w:rsidRDefault="00C66C4C" w:rsidP="00C66C4C">
      <w:pPr>
        <w:rPr>
          <w:rFonts w:ascii="Arial" w:hAnsi="Arial"/>
        </w:rPr>
      </w:pPr>
    </w:p>
    <w:p w14:paraId="2AAD21EE" w14:textId="77777777" w:rsidR="00C66C4C" w:rsidRDefault="00C66C4C" w:rsidP="00C66C4C">
      <w:pPr>
        <w:rPr>
          <w:rFonts w:ascii="Arial" w:hAnsi="Arial"/>
        </w:rPr>
      </w:pPr>
      <w:r w:rsidRPr="00F35CB4">
        <w:rPr>
          <w:rFonts w:ascii="Arial" w:hAnsi="Arial"/>
        </w:rPr>
        <w:t>Die</w:t>
      </w:r>
      <w:r>
        <w:rPr>
          <w:rFonts w:ascii="Arial" w:hAnsi="Arial"/>
        </w:rPr>
        <w:t xml:space="preserve"> Größe der </w:t>
      </w:r>
      <w:r w:rsidRPr="007811DB">
        <w:rPr>
          <w:rFonts w:ascii="Arial" w:hAnsi="Arial"/>
          <w:b/>
        </w:rPr>
        <w:t>Multinationalen Unternehmen (MNU)</w:t>
      </w:r>
      <w:r w:rsidRPr="00F35CB4">
        <w:rPr>
          <w:rFonts w:ascii="Arial" w:hAnsi="Arial"/>
        </w:rPr>
        <w:t xml:space="preserve"> </w:t>
      </w:r>
      <w:r>
        <w:rPr>
          <w:rFonts w:ascii="Arial" w:hAnsi="Arial"/>
        </w:rPr>
        <w:t xml:space="preserve">leitet sich </w:t>
      </w:r>
      <w:r w:rsidRPr="00F35CB4">
        <w:rPr>
          <w:rFonts w:ascii="Arial" w:hAnsi="Arial"/>
        </w:rPr>
        <w:t xml:space="preserve">hier </w:t>
      </w:r>
      <w:r>
        <w:rPr>
          <w:rFonts w:ascii="Arial" w:hAnsi="Arial"/>
        </w:rPr>
        <w:t xml:space="preserve">von </w:t>
      </w:r>
      <w:r w:rsidRPr="00F35CB4">
        <w:rPr>
          <w:rFonts w:ascii="Arial" w:hAnsi="Arial"/>
        </w:rPr>
        <w:t xml:space="preserve">den jeweiligen Vermögenswerten im Ausland </w:t>
      </w:r>
      <w:r>
        <w:rPr>
          <w:rFonts w:ascii="Arial" w:hAnsi="Arial"/>
        </w:rPr>
        <w:t>ab</w:t>
      </w:r>
      <w:r w:rsidRPr="00F35CB4">
        <w:rPr>
          <w:rFonts w:ascii="Arial" w:hAnsi="Arial"/>
        </w:rPr>
        <w:t xml:space="preserve">. Bei Auswahl eines anderen </w:t>
      </w:r>
      <w:r>
        <w:rPr>
          <w:rFonts w:ascii="Arial" w:hAnsi="Arial"/>
        </w:rPr>
        <w:t>Kriterium</w:t>
      </w:r>
      <w:r w:rsidRPr="00F35CB4">
        <w:rPr>
          <w:rFonts w:ascii="Arial" w:hAnsi="Arial"/>
        </w:rPr>
        <w:t xml:space="preserve">s – zum Beispiel Vermögenswerte im In- und Ausland oder Anzahl der Beschäftigten – würde sich die </w:t>
      </w:r>
      <w:r>
        <w:rPr>
          <w:rFonts w:ascii="Arial" w:hAnsi="Arial"/>
        </w:rPr>
        <w:t xml:space="preserve">Rangfolge </w:t>
      </w:r>
      <w:r w:rsidRPr="00F35CB4">
        <w:rPr>
          <w:rFonts w:ascii="Arial" w:hAnsi="Arial"/>
        </w:rPr>
        <w:t xml:space="preserve">der </w:t>
      </w:r>
      <w:r>
        <w:rPr>
          <w:rFonts w:ascii="Arial" w:hAnsi="Arial"/>
        </w:rPr>
        <w:t xml:space="preserve">Top </w:t>
      </w:r>
      <w:r w:rsidRPr="00F35CB4">
        <w:rPr>
          <w:rFonts w:ascii="Arial" w:hAnsi="Arial"/>
        </w:rPr>
        <w:t xml:space="preserve">100 </w:t>
      </w:r>
      <w:r>
        <w:rPr>
          <w:rFonts w:ascii="Arial" w:hAnsi="Arial"/>
        </w:rPr>
        <w:t>M</w:t>
      </w:r>
      <w:r w:rsidRPr="00F35CB4">
        <w:rPr>
          <w:rFonts w:ascii="Arial" w:hAnsi="Arial"/>
        </w:rPr>
        <w:t>NU entsprechend ändern.</w:t>
      </w:r>
      <w:r w:rsidRPr="009C3605">
        <w:rPr>
          <w:rFonts w:ascii="Arial" w:hAnsi="Arial"/>
        </w:rPr>
        <w:t xml:space="preserve"> Die MNU bestehen aus einem Mutterunternehmen und den dazugehörenden Tochterunternehmen.</w:t>
      </w:r>
    </w:p>
    <w:p w14:paraId="44E29398" w14:textId="77777777" w:rsidR="00047146" w:rsidRDefault="00047146" w:rsidP="00C66C4C">
      <w:pPr>
        <w:rPr>
          <w:rFonts w:ascii="Arial" w:hAnsi="Arial"/>
        </w:rPr>
      </w:pPr>
    </w:p>
    <w:p w14:paraId="46355FB4" w14:textId="77777777" w:rsidR="00C66C4C" w:rsidRDefault="00C66C4C" w:rsidP="00C66C4C">
      <w:pPr>
        <w:rPr>
          <w:rFonts w:ascii="Arial" w:hAnsi="Arial"/>
        </w:rPr>
      </w:pPr>
      <w:r w:rsidRPr="00F35CB4">
        <w:rPr>
          <w:rFonts w:ascii="Arial" w:hAnsi="Arial"/>
        </w:rPr>
        <w:t xml:space="preserve">Zu den </w:t>
      </w:r>
      <w:r w:rsidRPr="007811DB">
        <w:rPr>
          <w:rFonts w:ascii="Arial" w:hAnsi="Arial"/>
          <w:b/>
        </w:rPr>
        <w:t>Vermögenswerten</w:t>
      </w:r>
      <w:r w:rsidRPr="00F35CB4">
        <w:rPr>
          <w:rFonts w:ascii="Arial" w:hAnsi="Arial"/>
        </w:rPr>
        <w:t xml:space="preserve"> eines Unternehmens gehören immaterielle Vermögensgegenstände (Konzessionen, Lizenzen, Patente, Marken), Sachanlagen (Grundstücke, Gebäude, technische Anlagen, Maschinen, Betriebs- und Geschäftsausstattung), Finanzanlagen (Unternehmensanteile, Beteiligungen, Wertpapiere des Anlagevermögens), Vorräte (Rohstoffe, Waren), Forderungen, Wertpapiere, Barreserven und andere liquide Mittel</w:t>
      </w:r>
      <w:r>
        <w:rPr>
          <w:rFonts w:ascii="Arial" w:hAnsi="Arial"/>
        </w:rPr>
        <w:t>.</w:t>
      </w:r>
    </w:p>
    <w:p w14:paraId="01993506" w14:textId="77777777" w:rsidR="00047146" w:rsidRDefault="00047146" w:rsidP="00C66C4C">
      <w:pPr>
        <w:rPr>
          <w:rFonts w:ascii="Arial" w:hAnsi="Arial"/>
        </w:rPr>
      </w:pPr>
    </w:p>
    <w:p w14:paraId="3C6BC8ED" w14:textId="7408A7AF" w:rsidR="00C66C4C" w:rsidRDefault="00C66C4C" w:rsidP="00C66C4C">
      <w:pPr>
        <w:rPr>
          <w:rFonts w:ascii="Arial" w:hAnsi="Arial"/>
        </w:rPr>
      </w:pPr>
      <w:r w:rsidRPr="00C66C4C">
        <w:rPr>
          <w:rFonts w:ascii="Arial" w:hAnsi="Arial"/>
        </w:rPr>
        <w:t>Das </w:t>
      </w:r>
      <w:r w:rsidRPr="00C66C4C">
        <w:rPr>
          <w:rFonts w:ascii="Arial" w:hAnsi="Arial"/>
          <w:b/>
          <w:bCs/>
        </w:rPr>
        <w:t>Bruttoinlandsprodukt (BIP)</w:t>
      </w:r>
      <w:r w:rsidRPr="00C66C4C">
        <w:rPr>
          <w:rFonts w:ascii="Arial" w:hAnsi="Arial"/>
        </w:rPr>
        <w:t> misst den Wert der im Inland hergestellten Waren und Dienstleistungen (Wertschöpfung), soweit diese nicht als Vorleistungen für die Produktion anderer Waren und Dienstleistungen verwendet werden. Das BIP ist gegenwärtig das wichtigste gesamtwirtschaftliche Produktionsmaß.</w:t>
      </w:r>
    </w:p>
    <w:p w14:paraId="4E156921" w14:textId="77777777" w:rsidR="00047146" w:rsidRDefault="00047146" w:rsidP="00C66C4C">
      <w:pPr>
        <w:rPr>
          <w:rFonts w:ascii="Arial" w:hAnsi="Arial"/>
        </w:rPr>
      </w:pPr>
    </w:p>
    <w:p w14:paraId="4E82C108" w14:textId="77777777" w:rsidR="00C66C4C" w:rsidRPr="00D83506" w:rsidRDefault="00C66C4C" w:rsidP="00C66C4C">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371AC2A6" w14:textId="6F43B5C9" w:rsidR="00AA2412" w:rsidRDefault="00C66C4C" w:rsidP="00C66C4C">
      <w:pPr>
        <w:rPr>
          <w:rFonts w:ascii="Arial" w:hAnsi="Arial"/>
          <w:sz w:val="20"/>
          <w:szCs w:val="20"/>
        </w:rPr>
      </w:pPr>
      <w:r w:rsidRPr="00D83506">
        <w:rPr>
          <w:rFonts w:ascii="Arial" w:hAnsi="Arial"/>
          <w:sz w:val="20"/>
          <w:szCs w:val="20"/>
        </w:rPr>
        <w:t>Bundeszentrale für politische Bildung 202</w:t>
      </w:r>
      <w:r>
        <w:rPr>
          <w:rFonts w:ascii="Arial" w:hAnsi="Arial"/>
          <w:sz w:val="20"/>
          <w:szCs w:val="20"/>
        </w:rPr>
        <w:t>5</w:t>
      </w:r>
      <w:r w:rsidRPr="00D83506">
        <w:rPr>
          <w:rFonts w:ascii="Arial" w:hAnsi="Arial"/>
          <w:sz w:val="20"/>
          <w:szCs w:val="20"/>
        </w:rPr>
        <w:t xml:space="preserve"> | </w:t>
      </w:r>
      <w:hyperlink r:id="rId7" w:history="1">
        <w:r w:rsidRPr="00D83506">
          <w:rPr>
            <w:rFonts w:ascii="Arial" w:hAnsi="Arial"/>
            <w:sz w:val="20"/>
            <w:szCs w:val="20"/>
          </w:rPr>
          <w:t>www.bpb.de</w:t>
        </w:r>
      </w:hyperlink>
    </w:p>
    <w:sectPr w:rsidR="00AA24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3770" w14:textId="77777777" w:rsidR="00694DBD" w:rsidRDefault="00694DBD" w:rsidP="00214560">
      <w:r>
        <w:separator/>
      </w:r>
    </w:p>
  </w:endnote>
  <w:endnote w:type="continuationSeparator" w:id="0">
    <w:p w14:paraId="390B2DAC" w14:textId="77777777" w:rsidR="00694DBD" w:rsidRDefault="00694DBD" w:rsidP="0021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DA6A" w14:textId="77777777" w:rsidR="00694DBD" w:rsidRDefault="00694DBD" w:rsidP="00214560">
      <w:r>
        <w:separator/>
      </w:r>
    </w:p>
  </w:footnote>
  <w:footnote w:type="continuationSeparator" w:id="0">
    <w:p w14:paraId="0240BF1E" w14:textId="77777777" w:rsidR="00694DBD" w:rsidRDefault="00694DBD" w:rsidP="0021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590D"/>
    <w:multiLevelType w:val="hybridMultilevel"/>
    <w:tmpl w:val="FB602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BA7969"/>
    <w:multiLevelType w:val="hybridMultilevel"/>
    <w:tmpl w:val="FB964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5146520">
    <w:abstractNumId w:val="1"/>
  </w:num>
  <w:num w:numId="2" w16cid:durableId="111313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62"/>
    <w:rsid w:val="000111B4"/>
    <w:rsid w:val="00047146"/>
    <w:rsid w:val="00113293"/>
    <w:rsid w:val="0012568B"/>
    <w:rsid w:val="001524A8"/>
    <w:rsid w:val="0015636C"/>
    <w:rsid w:val="00172BA3"/>
    <w:rsid w:val="00195C0F"/>
    <w:rsid w:val="001A318D"/>
    <w:rsid w:val="001E515A"/>
    <w:rsid w:val="001E7D68"/>
    <w:rsid w:val="00214560"/>
    <w:rsid w:val="00221389"/>
    <w:rsid w:val="00247177"/>
    <w:rsid w:val="00273571"/>
    <w:rsid w:val="0028363B"/>
    <w:rsid w:val="00293677"/>
    <w:rsid w:val="002A74A7"/>
    <w:rsid w:val="002C339B"/>
    <w:rsid w:val="002F2DEA"/>
    <w:rsid w:val="003279AA"/>
    <w:rsid w:val="003350A5"/>
    <w:rsid w:val="00391E5F"/>
    <w:rsid w:val="003950DC"/>
    <w:rsid w:val="003C09D0"/>
    <w:rsid w:val="003D5166"/>
    <w:rsid w:val="00404213"/>
    <w:rsid w:val="00437E95"/>
    <w:rsid w:val="004964B5"/>
    <w:rsid w:val="004C1B39"/>
    <w:rsid w:val="005178D2"/>
    <w:rsid w:val="0055678C"/>
    <w:rsid w:val="00561577"/>
    <w:rsid w:val="005B3198"/>
    <w:rsid w:val="005C536E"/>
    <w:rsid w:val="005F454F"/>
    <w:rsid w:val="005F716C"/>
    <w:rsid w:val="006270F9"/>
    <w:rsid w:val="0064146F"/>
    <w:rsid w:val="00644FA9"/>
    <w:rsid w:val="00646B21"/>
    <w:rsid w:val="00694DBD"/>
    <w:rsid w:val="006B14A0"/>
    <w:rsid w:val="006B7F78"/>
    <w:rsid w:val="006C0459"/>
    <w:rsid w:val="006D2E04"/>
    <w:rsid w:val="006F153E"/>
    <w:rsid w:val="006F7D3D"/>
    <w:rsid w:val="0070021E"/>
    <w:rsid w:val="00726571"/>
    <w:rsid w:val="0075307D"/>
    <w:rsid w:val="00762D35"/>
    <w:rsid w:val="007740C3"/>
    <w:rsid w:val="00780729"/>
    <w:rsid w:val="007811DB"/>
    <w:rsid w:val="00815611"/>
    <w:rsid w:val="00820662"/>
    <w:rsid w:val="00861070"/>
    <w:rsid w:val="00866A9F"/>
    <w:rsid w:val="008D00BB"/>
    <w:rsid w:val="008E238A"/>
    <w:rsid w:val="008F2E31"/>
    <w:rsid w:val="009037B9"/>
    <w:rsid w:val="009313E7"/>
    <w:rsid w:val="00932861"/>
    <w:rsid w:val="0094409B"/>
    <w:rsid w:val="009444C0"/>
    <w:rsid w:val="0097705A"/>
    <w:rsid w:val="00977C59"/>
    <w:rsid w:val="009A6DC7"/>
    <w:rsid w:val="009C1188"/>
    <w:rsid w:val="009C3605"/>
    <w:rsid w:val="009C3C37"/>
    <w:rsid w:val="009E0945"/>
    <w:rsid w:val="009E22FD"/>
    <w:rsid w:val="00AA2412"/>
    <w:rsid w:val="00B07C7C"/>
    <w:rsid w:val="00B12243"/>
    <w:rsid w:val="00B35942"/>
    <w:rsid w:val="00B36DF9"/>
    <w:rsid w:val="00B930FD"/>
    <w:rsid w:val="00BC1F64"/>
    <w:rsid w:val="00BF11E2"/>
    <w:rsid w:val="00C16000"/>
    <w:rsid w:val="00C23355"/>
    <w:rsid w:val="00C6238D"/>
    <w:rsid w:val="00C66C4C"/>
    <w:rsid w:val="00C80469"/>
    <w:rsid w:val="00CC6DCA"/>
    <w:rsid w:val="00CF10DE"/>
    <w:rsid w:val="00CF59BF"/>
    <w:rsid w:val="00D04679"/>
    <w:rsid w:val="00D11C11"/>
    <w:rsid w:val="00D25A9E"/>
    <w:rsid w:val="00D367DF"/>
    <w:rsid w:val="00D63D28"/>
    <w:rsid w:val="00D83393"/>
    <w:rsid w:val="00D95854"/>
    <w:rsid w:val="00DA78E8"/>
    <w:rsid w:val="00DA7C41"/>
    <w:rsid w:val="00DC3064"/>
    <w:rsid w:val="00DE1EE0"/>
    <w:rsid w:val="00DE2288"/>
    <w:rsid w:val="00E1658E"/>
    <w:rsid w:val="00E34894"/>
    <w:rsid w:val="00E55E87"/>
    <w:rsid w:val="00E97E04"/>
    <w:rsid w:val="00EA0AD8"/>
    <w:rsid w:val="00EE7443"/>
    <w:rsid w:val="00F16381"/>
    <w:rsid w:val="00F35CB4"/>
    <w:rsid w:val="00F6150D"/>
    <w:rsid w:val="00F6441A"/>
    <w:rsid w:val="00F96665"/>
    <w:rsid w:val="00FA1DE0"/>
    <w:rsid w:val="00FA780A"/>
    <w:rsid w:val="00FC6619"/>
    <w:rsid w:val="00FF0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DA8A7"/>
  <w15:docId w15:val="{83AC4238-83F5-448C-8A01-938A976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DC7"/>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820662"/>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97705A"/>
    <w:rPr>
      <w:b/>
      <w:bCs/>
      <w:szCs w:val="20"/>
    </w:rPr>
  </w:style>
  <w:style w:type="character" w:customStyle="1" w:styleId="KommentartextZchn">
    <w:name w:val="Kommentartext Zchn"/>
    <w:basedOn w:val="Absatz-Standardschriftart"/>
    <w:link w:val="Kommentartext"/>
    <w:semiHidden/>
    <w:rsid w:val="0097705A"/>
    <w:rPr>
      <w:szCs w:val="24"/>
    </w:rPr>
  </w:style>
  <w:style w:type="character" w:customStyle="1" w:styleId="KommentarthemaZchn">
    <w:name w:val="Kommentarthema Zchn"/>
    <w:basedOn w:val="KommentartextZchn"/>
    <w:link w:val="Kommentarthema"/>
    <w:uiPriority w:val="99"/>
    <w:semiHidden/>
    <w:rsid w:val="0097705A"/>
    <w:rPr>
      <w:b/>
      <w:bCs/>
      <w:szCs w:val="24"/>
    </w:rPr>
  </w:style>
  <w:style w:type="paragraph" w:styleId="Kopfzeile">
    <w:name w:val="header"/>
    <w:basedOn w:val="Standard"/>
    <w:link w:val="KopfzeileZchn"/>
    <w:uiPriority w:val="99"/>
    <w:unhideWhenUsed/>
    <w:rsid w:val="00214560"/>
    <w:pPr>
      <w:tabs>
        <w:tab w:val="center" w:pos="4536"/>
        <w:tab w:val="right" w:pos="9072"/>
      </w:tabs>
    </w:pPr>
  </w:style>
  <w:style w:type="character" w:customStyle="1" w:styleId="KopfzeileZchn">
    <w:name w:val="Kopfzeile Zchn"/>
    <w:basedOn w:val="Absatz-Standardschriftart"/>
    <w:link w:val="Kopfzeile"/>
    <w:uiPriority w:val="99"/>
    <w:rsid w:val="00214560"/>
    <w:rPr>
      <w:sz w:val="24"/>
      <w:szCs w:val="24"/>
    </w:rPr>
  </w:style>
  <w:style w:type="paragraph" w:styleId="Fuzeile">
    <w:name w:val="footer"/>
    <w:basedOn w:val="Standard"/>
    <w:link w:val="FuzeileZchn"/>
    <w:uiPriority w:val="99"/>
    <w:unhideWhenUsed/>
    <w:rsid w:val="00214560"/>
    <w:pPr>
      <w:tabs>
        <w:tab w:val="center" w:pos="4536"/>
        <w:tab w:val="right" w:pos="9072"/>
      </w:tabs>
    </w:pPr>
  </w:style>
  <w:style w:type="character" w:customStyle="1" w:styleId="FuzeileZchn">
    <w:name w:val="Fußzeile Zchn"/>
    <w:basedOn w:val="Absatz-Standardschriftart"/>
    <w:link w:val="Fuzeile"/>
    <w:uiPriority w:val="99"/>
    <w:rsid w:val="00214560"/>
    <w:rPr>
      <w:sz w:val="24"/>
      <w:szCs w:val="24"/>
    </w:rPr>
  </w:style>
  <w:style w:type="paragraph" w:styleId="Listenabsatz">
    <w:name w:val="List Paragraph"/>
    <w:basedOn w:val="Standard"/>
    <w:uiPriority w:val="34"/>
    <w:qFormat/>
    <w:rsid w:val="009C3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3</cp:revision>
  <dcterms:created xsi:type="dcterms:W3CDTF">2026-03-06T09:18:00Z</dcterms:created>
  <dcterms:modified xsi:type="dcterms:W3CDTF">2026-03-15T14:55:00Z</dcterms:modified>
</cp:coreProperties>
</file>