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020" w:rsidRDefault="00810EDB" w:rsidP="00834020">
      <w:pPr>
        <w:rPr>
          <w:rFonts w:ascii="Arial" w:hAnsi="Arial"/>
          <w:b/>
        </w:rPr>
      </w:pPr>
      <w:bookmarkStart w:id="0" w:name="_GoBack"/>
      <w:bookmarkEnd w:id="0"/>
      <w:r>
        <w:rPr>
          <w:rFonts w:ascii="Arial" w:hAnsi="Arial"/>
          <w:b/>
        </w:rPr>
        <w:t xml:space="preserve">Die </w:t>
      </w:r>
      <w:r w:rsidRPr="00810EDB">
        <w:rPr>
          <w:rFonts w:ascii="Arial" w:hAnsi="Arial"/>
          <w:b/>
        </w:rPr>
        <w:t xml:space="preserve">Wettbewerbsfähigkeit eines Standortes </w:t>
      </w:r>
      <w:r>
        <w:rPr>
          <w:rFonts w:ascii="Arial" w:hAnsi="Arial"/>
          <w:b/>
        </w:rPr>
        <w:t>setzt sich aus vielen Faktoren zusammen</w:t>
      </w:r>
      <w:r w:rsidR="00B30562">
        <w:rPr>
          <w:rFonts w:ascii="Arial" w:hAnsi="Arial"/>
          <w:b/>
        </w:rPr>
        <w:t xml:space="preserve"> – z</w:t>
      </w:r>
      <w:r w:rsidR="00BA6CC3">
        <w:rPr>
          <w:rFonts w:ascii="Arial" w:hAnsi="Arial"/>
          <w:b/>
        </w:rPr>
        <w:t xml:space="preserve">um Beispiel </w:t>
      </w:r>
      <w:r>
        <w:rPr>
          <w:rFonts w:ascii="Arial" w:hAnsi="Arial"/>
          <w:b/>
        </w:rPr>
        <w:t>I</w:t>
      </w:r>
      <w:r w:rsidRPr="00810EDB">
        <w:rPr>
          <w:rFonts w:ascii="Arial" w:hAnsi="Arial"/>
          <w:b/>
        </w:rPr>
        <w:t>nfrastruktur</w:t>
      </w:r>
      <w:r>
        <w:rPr>
          <w:rFonts w:ascii="Arial" w:hAnsi="Arial"/>
          <w:b/>
        </w:rPr>
        <w:t xml:space="preserve">, </w:t>
      </w:r>
      <w:r w:rsidR="008B552F">
        <w:rPr>
          <w:rFonts w:ascii="Arial" w:hAnsi="Arial"/>
          <w:b/>
        </w:rPr>
        <w:t>staatliche Abgaben/Förderungen</w:t>
      </w:r>
      <w:r w:rsidR="000730B7">
        <w:rPr>
          <w:rFonts w:ascii="Arial" w:hAnsi="Arial"/>
          <w:b/>
        </w:rPr>
        <w:t>,</w:t>
      </w:r>
      <w:r w:rsidR="00B30562">
        <w:rPr>
          <w:rFonts w:ascii="Arial" w:hAnsi="Arial"/>
          <w:b/>
        </w:rPr>
        <w:t xml:space="preserve"> V</w:t>
      </w:r>
      <w:r w:rsidR="00BA6CC3">
        <w:rPr>
          <w:rFonts w:ascii="Arial" w:hAnsi="Arial"/>
          <w:b/>
        </w:rPr>
        <w:t>erfügbarkeit von</w:t>
      </w:r>
      <w:r w:rsidR="00DD40C5">
        <w:rPr>
          <w:rFonts w:ascii="Arial" w:hAnsi="Arial"/>
          <w:b/>
        </w:rPr>
        <w:t xml:space="preserve"> </w:t>
      </w:r>
      <w:r w:rsidR="000730B7" w:rsidRPr="0050578C">
        <w:rPr>
          <w:rFonts w:ascii="Arial" w:hAnsi="Arial"/>
          <w:b/>
        </w:rPr>
        <w:t>Rohstoffen</w:t>
      </w:r>
      <w:r w:rsidR="00BA6CC3" w:rsidRPr="00BA6CC3">
        <w:rPr>
          <w:rFonts w:ascii="Arial" w:hAnsi="Arial"/>
          <w:b/>
        </w:rPr>
        <w:t xml:space="preserve"> </w:t>
      </w:r>
      <w:r w:rsidR="000730B7" w:rsidRPr="0050578C">
        <w:rPr>
          <w:rFonts w:ascii="Arial" w:hAnsi="Arial"/>
          <w:b/>
        </w:rPr>
        <w:t>und Fachkräften</w:t>
      </w:r>
      <w:r w:rsidR="00B30562">
        <w:rPr>
          <w:rFonts w:ascii="Arial" w:hAnsi="Arial"/>
          <w:b/>
        </w:rPr>
        <w:t xml:space="preserve">, Nähe zu spezialisierten Unternehmen und Einrichtungen, </w:t>
      </w:r>
      <w:r w:rsidR="008B552F">
        <w:rPr>
          <w:rFonts w:ascii="Arial" w:hAnsi="Arial"/>
          <w:b/>
        </w:rPr>
        <w:t>bestehende Marktverflechtungen</w:t>
      </w:r>
      <w:r w:rsidR="000730B7">
        <w:rPr>
          <w:rFonts w:ascii="Arial" w:hAnsi="Arial"/>
          <w:b/>
        </w:rPr>
        <w:t xml:space="preserve"> </w:t>
      </w:r>
      <w:r w:rsidR="008B552F">
        <w:rPr>
          <w:rFonts w:ascii="Arial" w:hAnsi="Arial"/>
          <w:b/>
        </w:rPr>
        <w:t xml:space="preserve">oder </w:t>
      </w:r>
      <w:r w:rsidR="00B30562">
        <w:rPr>
          <w:rFonts w:ascii="Arial" w:hAnsi="Arial"/>
          <w:b/>
        </w:rPr>
        <w:t xml:space="preserve">auch </w:t>
      </w:r>
      <w:r w:rsidR="000730B7">
        <w:rPr>
          <w:rFonts w:ascii="Arial" w:hAnsi="Arial"/>
          <w:b/>
        </w:rPr>
        <w:t xml:space="preserve">das </w:t>
      </w:r>
      <w:r w:rsidRPr="00810EDB">
        <w:rPr>
          <w:rFonts w:ascii="Arial" w:hAnsi="Arial"/>
          <w:b/>
        </w:rPr>
        <w:t>Image eines Standortes.</w:t>
      </w:r>
      <w:r w:rsidR="008B552F">
        <w:rPr>
          <w:rFonts w:ascii="Arial" w:hAnsi="Arial"/>
          <w:b/>
        </w:rPr>
        <w:t xml:space="preserve"> </w:t>
      </w:r>
      <w:r w:rsidR="00B30562">
        <w:rPr>
          <w:rFonts w:ascii="Arial" w:hAnsi="Arial"/>
          <w:b/>
        </w:rPr>
        <w:t>In der öffentlichen Diskussion wird häufig den Lohnkosten eine große Bedeutung beim Standortwettbewerb zugesprochen</w:t>
      </w:r>
      <w:r w:rsidR="00DD40C5">
        <w:rPr>
          <w:rFonts w:ascii="Arial" w:hAnsi="Arial"/>
          <w:b/>
        </w:rPr>
        <w:t xml:space="preserve">. </w:t>
      </w:r>
      <w:r w:rsidRPr="00810EDB">
        <w:rPr>
          <w:rFonts w:ascii="Arial" w:hAnsi="Arial"/>
          <w:b/>
        </w:rPr>
        <w:t>Bei eine</w:t>
      </w:r>
      <w:r w:rsidR="009063F2">
        <w:rPr>
          <w:rFonts w:ascii="Arial" w:hAnsi="Arial"/>
          <w:b/>
        </w:rPr>
        <w:t xml:space="preserve">m Vergleich </w:t>
      </w:r>
      <w:r w:rsidRPr="00810EDB">
        <w:rPr>
          <w:rFonts w:ascii="Arial" w:hAnsi="Arial"/>
          <w:b/>
        </w:rPr>
        <w:t xml:space="preserve">der Lohnkosten sollten allerdings </w:t>
      </w:r>
      <w:r w:rsidR="000730B7">
        <w:rPr>
          <w:rFonts w:ascii="Arial" w:hAnsi="Arial"/>
          <w:b/>
        </w:rPr>
        <w:t xml:space="preserve">die </w:t>
      </w:r>
      <w:r w:rsidRPr="00810EDB">
        <w:rPr>
          <w:rFonts w:ascii="Arial" w:hAnsi="Arial"/>
          <w:b/>
        </w:rPr>
        <w:t>Lohnstückkosten</w:t>
      </w:r>
      <w:r w:rsidR="000730B7">
        <w:rPr>
          <w:rFonts w:ascii="Arial" w:hAnsi="Arial"/>
          <w:b/>
        </w:rPr>
        <w:t xml:space="preserve"> </w:t>
      </w:r>
      <w:r w:rsidR="009063F2">
        <w:rPr>
          <w:rFonts w:ascii="Arial" w:hAnsi="Arial"/>
          <w:b/>
        </w:rPr>
        <w:t>betrachtet</w:t>
      </w:r>
      <w:r w:rsidRPr="00810EDB">
        <w:rPr>
          <w:rFonts w:ascii="Arial" w:hAnsi="Arial"/>
          <w:b/>
        </w:rPr>
        <w:t xml:space="preserve"> werden</w:t>
      </w:r>
      <w:r w:rsidR="000730B7">
        <w:rPr>
          <w:rFonts w:ascii="Arial" w:hAnsi="Arial"/>
          <w:b/>
        </w:rPr>
        <w:t xml:space="preserve">, da bei diesen </w:t>
      </w:r>
      <w:r w:rsidRPr="00810EDB">
        <w:rPr>
          <w:rFonts w:ascii="Arial" w:hAnsi="Arial"/>
          <w:b/>
        </w:rPr>
        <w:t xml:space="preserve">die Lohnkosten ins Verhältnis zur Arbeitsproduktivität </w:t>
      </w:r>
      <w:r w:rsidR="000730B7">
        <w:rPr>
          <w:rFonts w:ascii="Arial" w:hAnsi="Arial"/>
          <w:b/>
        </w:rPr>
        <w:t>ge</w:t>
      </w:r>
      <w:r w:rsidRPr="00810EDB">
        <w:rPr>
          <w:rFonts w:ascii="Arial" w:hAnsi="Arial"/>
          <w:b/>
        </w:rPr>
        <w:t>setzt</w:t>
      </w:r>
      <w:r w:rsidR="000730B7">
        <w:rPr>
          <w:rFonts w:ascii="Arial" w:hAnsi="Arial"/>
          <w:b/>
        </w:rPr>
        <w:t xml:space="preserve"> werden</w:t>
      </w:r>
      <w:r w:rsidR="00DD40C5">
        <w:rPr>
          <w:rFonts w:ascii="Arial" w:hAnsi="Arial"/>
          <w:b/>
        </w:rPr>
        <w:t xml:space="preserve"> – hohe </w:t>
      </w:r>
      <w:r w:rsidR="00DD40C5" w:rsidRPr="00810EDB">
        <w:rPr>
          <w:rFonts w:ascii="Arial" w:hAnsi="Arial"/>
          <w:b/>
        </w:rPr>
        <w:t>Lohnkosten</w:t>
      </w:r>
      <w:r w:rsidR="00DD40C5">
        <w:rPr>
          <w:rFonts w:ascii="Arial" w:hAnsi="Arial"/>
          <w:b/>
        </w:rPr>
        <w:t xml:space="preserve"> können dabei durch hohe P</w:t>
      </w:r>
      <w:r w:rsidRPr="00810EDB">
        <w:rPr>
          <w:rFonts w:ascii="Arial" w:hAnsi="Arial"/>
          <w:b/>
        </w:rPr>
        <w:t xml:space="preserve">roduktivität </w:t>
      </w:r>
      <w:r w:rsidR="00DD40C5">
        <w:rPr>
          <w:rFonts w:ascii="Arial" w:hAnsi="Arial"/>
          <w:b/>
        </w:rPr>
        <w:t>ausgeglichen werden</w:t>
      </w:r>
      <w:r w:rsidRPr="00810EDB">
        <w:rPr>
          <w:rFonts w:ascii="Arial" w:hAnsi="Arial"/>
          <w:b/>
        </w:rPr>
        <w:t>.</w:t>
      </w:r>
      <w:r w:rsidR="00DD40C5">
        <w:rPr>
          <w:rFonts w:ascii="Arial" w:hAnsi="Arial"/>
          <w:b/>
        </w:rPr>
        <w:t xml:space="preserve"> Bei einem Vergleich </w:t>
      </w:r>
      <w:r w:rsidR="00834020">
        <w:rPr>
          <w:rFonts w:ascii="Arial" w:hAnsi="Arial"/>
          <w:b/>
        </w:rPr>
        <w:t xml:space="preserve">von 18 Staaten sind nach Angaben </w:t>
      </w:r>
      <w:r w:rsidR="00B30562">
        <w:rPr>
          <w:rFonts w:ascii="Arial" w:hAnsi="Arial"/>
          <w:b/>
        </w:rPr>
        <w:t xml:space="preserve">der </w:t>
      </w:r>
      <w:r w:rsidR="00DD40C5" w:rsidRPr="00DD40C5">
        <w:rPr>
          <w:rFonts w:ascii="Arial" w:hAnsi="Arial"/>
          <w:b/>
        </w:rPr>
        <w:t>Non-Profit-Organisation The Conference Board</w:t>
      </w:r>
      <w:r w:rsidR="00DD40C5">
        <w:rPr>
          <w:rFonts w:ascii="Arial" w:hAnsi="Arial"/>
          <w:b/>
        </w:rPr>
        <w:t xml:space="preserve"> </w:t>
      </w:r>
      <w:r w:rsidR="00834020">
        <w:rPr>
          <w:rFonts w:ascii="Arial" w:hAnsi="Arial"/>
          <w:b/>
        </w:rPr>
        <w:t xml:space="preserve">die </w:t>
      </w:r>
      <w:r w:rsidR="00834020" w:rsidRPr="00810EDB">
        <w:rPr>
          <w:rFonts w:ascii="Arial" w:hAnsi="Arial"/>
          <w:b/>
        </w:rPr>
        <w:t>Lohnstückkosten</w:t>
      </w:r>
      <w:r w:rsidR="00834020">
        <w:rPr>
          <w:rFonts w:ascii="Arial" w:hAnsi="Arial"/>
          <w:b/>
        </w:rPr>
        <w:t xml:space="preserve"> zwischen 1990 und 2016 vor allem in </w:t>
      </w:r>
      <w:r w:rsidRPr="00810EDB">
        <w:rPr>
          <w:rFonts w:ascii="Arial" w:hAnsi="Arial"/>
          <w:b/>
        </w:rPr>
        <w:t>Taiwan</w:t>
      </w:r>
      <w:r w:rsidR="00834020">
        <w:rPr>
          <w:rFonts w:ascii="Arial" w:hAnsi="Arial"/>
          <w:b/>
        </w:rPr>
        <w:t xml:space="preserve"> und </w:t>
      </w:r>
      <w:r w:rsidRPr="00810EDB">
        <w:rPr>
          <w:rFonts w:ascii="Arial" w:hAnsi="Arial"/>
          <w:b/>
        </w:rPr>
        <w:t xml:space="preserve">Schweden </w:t>
      </w:r>
      <w:r w:rsidR="00834020">
        <w:rPr>
          <w:rFonts w:ascii="Arial" w:hAnsi="Arial"/>
          <w:b/>
        </w:rPr>
        <w:t>gesunken</w:t>
      </w:r>
      <w:r w:rsidRPr="00810EDB">
        <w:rPr>
          <w:rFonts w:ascii="Arial" w:hAnsi="Arial"/>
          <w:b/>
        </w:rPr>
        <w:t>.</w:t>
      </w:r>
      <w:r w:rsidR="00834020">
        <w:rPr>
          <w:rFonts w:ascii="Arial" w:hAnsi="Arial"/>
          <w:b/>
        </w:rPr>
        <w:t xml:space="preserve"> </w:t>
      </w:r>
      <w:r w:rsidRPr="00810EDB">
        <w:rPr>
          <w:rFonts w:ascii="Arial" w:hAnsi="Arial"/>
          <w:b/>
        </w:rPr>
        <w:t xml:space="preserve">Auf der anderen Seite </w:t>
      </w:r>
      <w:r w:rsidR="00834020">
        <w:rPr>
          <w:rFonts w:ascii="Arial" w:hAnsi="Arial"/>
          <w:b/>
        </w:rPr>
        <w:t xml:space="preserve">stiegen die </w:t>
      </w:r>
      <w:r w:rsidR="00834020" w:rsidRPr="00810EDB">
        <w:rPr>
          <w:rFonts w:ascii="Arial" w:hAnsi="Arial"/>
          <w:b/>
        </w:rPr>
        <w:t>Lohnstückkosten</w:t>
      </w:r>
      <w:r w:rsidR="00834020">
        <w:rPr>
          <w:rFonts w:ascii="Arial" w:hAnsi="Arial"/>
          <w:b/>
        </w:rPr>
        <w:t xml:space="preserve"> am stärksten in </w:t>
      </w:r>
      <w:r w:rsidRPr="00810EDB">
        <w:rPr>
          <w:rFonts w:ascii="Arial" w:hAnsi="Arial"/>
          <w:b/>
        </w:rPr>
        <w:t>Norwegen, Australien und d</w:t>
      </w:r>
      <w:r w:rsidR="00834020">
        <w:rPr>
          <w:rFonts w:ascii="Arial" w:hAnsi="Arial"/>
          <w:b/>
        </w:rPr>
        <w:t>em</w:t>
      </w:r>
      <w:r w:rsidRPr="00810EDB">
        <w:rPr>
          <w:rFonts w:ascii="Arial" w:hAnsi="Arial"/>
          <w:b/>
        </w:rPr>
        <w:t xml:space="preserve"> Vereinigte</w:t>
      </w:r>
      <w:r w:rsidR="00834020">
        <w:rPr>
          <w:rFonts w:ascii="Arial" w:hAnsi="Arial"/>
          <w:b/>
        </w:rPr>
        <w:t>n</w:t>
      </w:r>
      <w:r w:rsidRPr="00810EDB">
        <w:rPr>
          <w:rFonts w:ascii="Arial" w:hAnsi="Arial"/>
          <w:b/>
        </w:rPr>
        <w:t xml:space="preserve"> Königreich</w:t>
      </w:r>
      <w:r w:rsidR="00834020">
        <w:rPr>
          <w:rFonts w:ascii="Arial" w:hAnsi="Arial"/>
          <w:b/>
        </w:rPr>
        <w:t>.</w:t>
      </w:r>
    </w:p>
    <w:p w:rsidR="00B30562" w:rsidRDefault="00B30562" w:rsidP="00834020">
      <w:pPr>
        <w:rPr>
          <w:rFonts w:ascii="Arial" w:hAnsi="Arial"/>
          <w:b/>
        </w:rPr>
      </w:pPr>
    </w:p>
    <w:p w:rsidR="00242CDA" w:rsidRDefault="00DF68DE">
      <w:pPr>
        <w:rPr>
          <w:rFonts w:ascii="Arial" w:hAnsi="Arial"/>
          <w:color w:val="FF0000"/>
        </w:rPr>
      </w:pPr>
      <w:r>
        <w:rPr>
          <w:rFonts w:ascii="Arial" w:hAnsi="Arial"/>
          <w:color w:val="FF0000"/>
        </w:rPr>
        <w:t>Fakten</w:t>
      </w:r>
    </w:p>
    <w:p w:rsidR="00DF68DE" w:rsidRPr="009F2CC5" w:rsidRDefault="00DF68DE">
      <w:pPr>
        <w:rPr>
          <w:rFonts w:ascii="Arial" w:hAnsi="Arial"/>
        </w:rPr>
      </w:pPr>
    </w:p>
    <w:p w:rsidR="00ED5FB9" w:rsidRDefault="004765D4" w:rsidP="00793FBE">
      <w:pPr>
        <w:rPr>
          <w:rFonts w:ascii="Arial" w:hAnsi="Arial" w:cs="Arial"/>
        </w:rPr>
      </w:pPr>
      <w:r w:rsidRPr="009915BA">
        <w:rPr>
          <w:rFonts w:ascii="Arial" w:hAnsi="Arial" w:cs="Arial"/>
        </w:rPr>
        <w:t xml:space="preserve">Ein zentrales Thema der Globalisierungsdebatte ist der Standortwettbewerb. Aber schon </w:t>
      </w:r>
      <w:r w:rsidR="007D65F1">
        <w:rPr>
          <w:rFonts w:ascii="Arial" w:hAnsi="Arial" w:cs="Arial"/>
        </w:rPr>
        <w:t xml:space="preserve">auf </w:t>
      </w:r>
      <w:r w:rsidRPr="009915BA">
        <w:rPr>
          <w:rFonts w:ascii="Arial" w:hAnsi="Arial" w:cs="Arial"/>
        </w:rPr>
        <w:t xml:space="preserve">die Frage, wie die Wettbewerbsfähigkeit eines Standortes zu messen ist, </w:t>
      </w:r>
      <w:r w:rsidR="008D4C5B" w:rsidRPr="009915BA">
        <w:rPr>
          <w:rFonts w:ascii="Arial" w:hAnsi="Arial" w:cs="Arial"/>
        </w:rPr>
        <w:t>können verschiedene Antworten gegeben werden. Fest steht lediglich, dass bei der Beurteilung der Wettbewerbsfähigkeit mehrere Faktoren berücksichtigt werden müssen</w:t>
      </w:r>
      <w:r w:rsidR="009915BA">
        <w:rPr>
          <w:rFonts w:ascii="Arial" w:hAnsi="Arial" w:cs="Arial"/>
        </w:rPr>
        <w:t>.</w:t>
      </w:r>
      <w:r w:rsidR="00ED5FB9">
        <w:rPr>
          <w:rFonts w:ascii="Arial" w:hAnsi="Arial" w:cs="Arial"/>
        </w:rPr>
        <w:t xml:space="preserve"> Ü</w:t>
      </w:r>
      <w:r w:rsidRPr="009915BA">
        <w:rPr>
          <w:rFonts w:ascii="Arial" w:hAnsi="Arial" w:cs="Arial"/>
        </w:rPr>
        <w:t>ber die Wettbewerbsfähigkeit eines Standortes bestimmen unter anderem die infrastrukturellen Voraussetzungen (Kommunikationsnetze, Verkehrswege, Umschlagplätze, Logistiknetzwerke, Transport- und Energiekosten etc.), die Forschungsbedingungen, das allgemeine Ausbildungsniveau, der Aufbau und die Flexibilität der staatlichen Bürokratie, staatliche Förderungen, gesetzliche Auflagen, die Steuer- und Abgabenbelastung sowie das Lohnniveau und andere Kostenfaktoren</w:t>
      </w:r>
      <w:r w:rsidR="00ED5FB9">
        <w:rPr>
          <w:rFonts w:ascii="Arial" w:hAnsi="Arial" w:cs="Arial"/>
        </w:rPr>
        <w:t>.</w:t>
      </w:r>
    </w:p>
    <w:p w:rsidR="00ED5FB9" w:rsidRDefault="00ED5FB9" w:rsidP="00793FBE">
      <w:pPr>
        <w:rPr>
          <w:rFonts w:ascii="Arial" w:hAnsi="Arial" w:cs="Arial"/>
        </w:rPr>
      </w:pPr>
    </w:p>
    <w:p w:rsidR="00ED5FB9" w:rsidRDefault="008D4C5B" w:rsidP="009915BA">
      <w:pPr>
        <w:rPr>
          <w:rFonts w:ascii="Arial" w:hAnsi="Arial" w:cs="Arial"/>
        </w:rPr>
      </w:pPr>
      <w:r w:rsidRPr="009915BA">
        <w:rPr>
          <w:rFonts w:ascii="Arial" w:hAnsi="Arial" w:cs="Arial"/>
        </w:rPr>
        <w:t>Traditionelle Unternehmens- und Marktverflechtungen, der Zugang und die Nähe zu großen oder neuen Märkten, natürliche Ressourcen bzw. die Verfügbarkeit von Rohstoffen, räumliche Voraussetzungen, die Einkommens- und Vermögensstruktur, politische und rechtsstaatliche Stabilität, das Image eines Standortes sowie das Vorhandensein von spezialisierten Unternehmen und Fachkräften beeinflussen ebenfalls die Investitionsentscheidungen. Und ob wiederum die Fachkräfte an einen Standort gebunden werden können, hängt neben den rein ökonomischen Voraussetzungen auch vom Wohnumfeld, der Umweltqualität, der medizinischen Versorgung, den Fürsorgeeinrichtungen sowie den Bildungs-, Erholungs-, Kultur- und Freizeitangeboten ab</w:t>
      </w:r>
      <w:r w:rsidR="00ED5FB9">
        <w:rPr>
          <w:rFonts w:ascii="Arial" w:hAnsi="Arial" w:cs="Arial"/>
        </w:rPr>
        <w:t>.</w:t>
      </w:r>
    </w:p>
    <w:p w:rsidR="00ED5FB9" w:rsidRDefault="00ED5FB9" w:rsidP="009915BA">
      <w:pPr>
        <w:rPr>
          <w:rFonts w:ascii="Arial" w:hAnsi="Arial" w:cs="Arial"/>
        </w:rPr>
      </w:pPr>
    </w:p>
    <w:p w:rsidR="00ED5FB9" w:rsidRDefault="004765D4" w:rsidP="001931C0">
      <w:pPr>
        <w:rPr>
          <w:rFonts w:ascii="Arial" w:hAnsi="Arial" w:cs="Arial"/>
        </w:rPr>
      </w:pPr>
      <w:r w:rsidRPr="006172F7">
        <w:rPr>
          <w:rFonts w:ascii="Arial" w:hAnsi="Arial" w:cs="Arial"/>
        </w:rPr>
        <w:t>Ob und warum sich Unternehmen an einem Standort niederlassen, ist von großem Interesse für politische Entscheidungen, da die Standortwahl unmittelbare Auswirkungen auf Investitionen, Steuereinnahmen und Arbeitsplätze hat</w:t>
      </w:r>
      <w:r w:rsidR="00ED5FB9">
        <w:rPr>
          <w:rFonts w:ascii="Arial" w:hAnsi="Arial" w:cs="Arial"/>
        </w:rPr>
        <w:t>. B</w:t>
      </w:r>
      <w:r w:rsidR="001931C0">
        <w:rPr>
          <w:rFonts w:ascii="Arial" w:hAnsi="Arial" w:cs="Arial"/>
        </w:rPr>
        <w:t xml:space="preserve">eispielsweise waren nach einer Veröffentlichung des </w:t>
      </w:r>
      <w:r w:rsidR="001931C0" w:rsidRPr="001931C0">
        <w:rPr>
          <w:rFonts w:ascii="Arial" w:hAnsi="Arial" w:cs="Arial"/>
        </w:rPr>
        <w:t>Fraunhofer-Institut</w:t>
      </w:r>
      <w:r w:rsidR="001931C0">
        <w:rPr>
          <w:rFonts w:ascii="Arial" w:hAnsi="Arial" w:cs="Arial"/>
        </w:rPr>
        <w:t>s</w:t>
      </w:r>
      <w:r w:rsidR="001931C0" w:rsidRPr="001931C0">
        <w:rPr>
          <w:rFonts w:ascii="Arial" w:hAnsi="Arial" w:cs="Arial"/>
        </w:rPr>
        <w:t xml:space="preserve"> für System- und Innovationsforschung </w:t>
      </w:r>
      <w:r w:rsidR="001931C0">
        <w:rPr>
          <w:rFonts w:ascii="Arial" w:hAnsi="Arial" w:cs="Arial"/>
        </w:rPr>
        <w:t>(</w:t>
      </w:r>
      <w:r w:rsidR="001931C0" w:rsidRPr="001931C0">
        <w:rPr>
          <w:rFonts w:ascii="Arial" w:hAnsi="Arial" w:cs="Arial"/>
        </w:rPr>
        <w:t>ISI</w:t>
      </w:r>
      <w:r w:rsidR="001931C0">
        <w:rPr>
          <w:rFonts w:ascii="Arial" w:hAnsi="Arial" w:cs="Arial"/>
        </w:rPr>
        <w:t>) b</w:t>
      </w:r>
      <w:r w:rsidR="001931C0" w:rsidRPr="001931C0">
        <w:rPr>
          <w:rFonts w:ascii="Arial" w:hAnsi="Arial" w:cs="Arial"/>
        </w:rPr>
        <w:t>ezogen auf das gesamte Verarbeitende Gewerbe</w:t>
      </w:r>
      <w:r w:rsidR="001931C0">
        <w:rPr>
          <w:rFonts w:ascii="Arial" w:hAnsi="Arial" w:cs="Arial"/>
        </w:rPr>
        <w:t xml:space="preserve"> im Jahr</w:t>
      </w:r>
      <w:r w:rsidR="001931C0" w:rsidRPr="001931C0">
        <w:rPr>
          <w:rFonts w:ascii="Arial" w:hAnsi="Arial" w:cs="Arial"/>
        </w:rPr>
        <w:t xml:space="preserve"> </w:t>
      </w:r>
      <w:r w:rsidR="001931C0">
        <w:rPr>
          <w:rFonts w:ascii="Arial" w:hAnsi="Arial" w:cs="Arial"/>
        </w:rPr>
        <w:t xml:space="preserve">2012 </w:t>
      </w:r>
      <w:r w:rsidR="001931C0" w:rsidRPr="001931C0">
        <w:rPr>
          <w:rFonts w:ascii="Arial" w:hAnsi="Arial" w:cs="Arial"/>
        </w:rPr>
        <w:t>rund 21 Prozent der Produktionskapazitäten deutscher Betriebe im Ausland angesiedelt</w:t>
      </w:r>
      <w:r w:rsidR="00ED5FB9">
        <w:rPr>
          <w:rFonts w:ascii="Arial" w:hAnsi="Arial" w:cs="Arial"/>
        </w:rPr>
        <w:t>. D</w:t>
      </w:r>
      <w:r w:rsidR="00282F4C" w:rsidRPr="004946A2">
        <w:rPr>
          <w:rFonts w:ascii="Arial" w:hAnsi="Arial" w:cs="Arial"/>
        </w:rPr>
        <w:t xml:space="preserve">as </w:t>
      </w:r>
      <w:r w:rsidRPr="004946A2">
        <w:rPr>
          <w:rFonts w:ascii="Arial" w:hAnsi="Arial" w:cs="Arial"/>
        </w:rPr>
        <w:t>wichtigste Verlagerungsmotiv</w:t>
      </w:r>
      <w:r w:rsidR="00282F4C" w:rsidRPr="004946A2">
        <w:rPr>
          <w:rFonts w:ascii="Arial" w:hAnsi="Arial" w:cs="Arial"/>
        </w:rPr>
        <w:t xml:space="preserve"> war 2012 wie in den Vorjahren die </w:t>
      </w:r>
      <w:r w:rsidR="004946A2" w:rsidRPr="004946A2">
        <w:rPr>
          <w:rFonts w:ascii="Arial" w:hAnsi="Arial" w:cs="Arial"/>
        </w:rPr>
        <w:t xml:space="preserve">Höhe der </w:t>
      </w:r>
      <w:r w:rsidR="00282F4C" w:rsidRPr="004946A2">
        <w:rPr>
          <w:rFonts w:ascii="Arial" w:hAnsi="Arial" w:cs="Arial"/>
        </w:rPr>
        <w:t>Personalkosten (71 Prozent). Darauf folgte</w:t>
      </w:r>
      <w:r w:rsidR="004946A2">
        <w:rPr>
          <w:rFonts w:ascii="Arial" w:hAnsi="Arial" w:cs="Arial"/>
        </w:rPr>
        <w:t>n</w:t>
      </w:r>
      <w:r w:rsidR="00282F4C" w:rsidRPr="004946A2">
        <w:rPr>
          <w:rFonts w:ascii="Arial" w:hAnsi="Arial" w:cs="Arial"/>
        </w:rPr>
        <w:t xml:space="preserve"> die Markterschließung (28 Prozent), die Kundennähe (26 Prozent), die Nähe zu bereits verlagerter Produktion (23 Prozent) sowie der Zugang zu Rohstoffen (15 Prozent)</w:t>
      </w:r>
      <w:r w:rsidR="00ED5FB9">
        <w:rPr>
          <w:rFonts w:ascii="Arial" w:hAnsi="Arial" w:cs="Arial"/>
        </w:rPr>
        <w:t>.</w:t>
      </w:r>
    </w:p>
    <w:p w:rsidR="00ED5FB9" w:rsidRDefault="00ED5FB9" w:rsidP="001931C0">
      <w:pPr>
        <w:rPr>
          <w:rFonts w:ascii="Arial" w:hAnsi="Arial" w:cs="Arial"/>
        </w:rPr>
      </w:pPr>
    </w:p>
    <w:p w:rsidR="00ED5FB9" w:rsidRDefault="006172F7" w:rsidP="001931C0">
      <w:pPr>
        <w:rPr>
          <w:rFonts w:ascii="Arial" w:hAnsi="Arial" w:cs="Arial"/>
        </w:rPr>
      </w:pPr>
      <w:r w:rsidRPr="006172F7">
        <w:rPr>
          <w:rFonts w:ascii="Arial" w:hAnsi="Arial" w:cs="Arial"/>
        </w:rPr>
        <w:lastRenderedPageBreak/>
        <w:t>Bei einer Bewertung der Lohnkosten sollten allerdings nicht allein die Bruttolöhne der Arbeitnehmer sondern die Lohnstückkosten verglichen werden. Zur Ermittlung der Lohnstückkosten werden die Lohnkosten ins Verhältnis zur Arbeitsproduktivität gesetzt. Die Höhe der Lohnstückkosten ist damit sowohl von der Produktivität als auch von der Höhe der gezahlten Löhne abhängig. Beispielsweise können die Lohnstückkosten eines Standortes mit niedrigen Löhnen und einer geringen Produktivität höher sein als die Lohnstückkosten eines Standortes mit hohen Löhnen und einer hohen Produktivität. Durch den Einsatz neuer Technologien, die effiziente Arbeitsorganisation, eine ausgebaute Infrastruktur und ein hohes Qualifikationsniveau der Beschäftigten wird die Arbeitsproduktivität gesteigert und somit ein Teil der höheren Lohnkosten ausgeglichen</w:t>
      </w:r>
      <w:r w:rsidR="00ED5FB9">
        <w:rPr>
          <w:rFonts w:ascii="Arial" w:hAnsi="Arial" w:cs="Arial"/>
        </w:rPr>
        <w:t>.</w:t>
      </w:r>
    </w:p>
    <w:p w:rsidR="00ED5FB9" w:rsidRDefault="00ED5FB9" w:rsidP="001931C0">
      <w:pPr>
        <w:rPr>
          <w:rFonts w:ascii="Arial" w:hAnsi="Arial" w:cs="Arial"/>
        </w:rPr>
      </w:pPr>
    </w:p>
    <w:p w:rsidR="00F72CD7" w:rsidRDefault="007D65F1" w:rsidP="009915BA">
      <w:pPr>
        <w:rPr>
          <w:rFonts w:ascii="Arial" w:hAnsi="Arial" w:cs="Arial"/>
        </w:rPr>
      </w:pPr>
      <w:r>
        <w:rPr>
          <w:rFonts w:ascii="Arial" w:hAnsi="Arial" w:cs="Arial"/>
        </w:rPr>
        <w:t xml:space="preserve">In den </w:t>
      </w:r>
      <w:r w:rsidR="00F72CD7" w:rsidRPr="00405DCB">
        <w:rPr>
          <w:rFonts w:ascii="Arial" w:hAnsi="Arial" w:cs="Arial"/>
        </w:rPr>
        <w:t>Zeiträume</w:t>
      </w:r>
      <w:r>
        <w:rPr>
          <w:rFonts w:ascii="Arial" w:hAnsi="Arial" w:cs="Arial"/>
        </w:rPr>
        <w:t>n</w:t>
      </w:r>
      <w:r w:rsidR="00F72CD7" w:rsidRPr="00405DCB">
        <w:rPr>
          <w:rFonts w:ascii="Arial" w:hAnsi="Arial" w:cs="Arial"/>
        </w:rPr>
        <w:t xml:space="preserve"> 1990 bis 2002, 2002 bis 2010 sowie 2010 bis 2016 </w:t>
      </w:r>
      <w:r>
        <w:rPr>
          <w:rFonts w:ascii="Arial" w:hAnsi="Arial" w:cs="Arial"/>
        </w:rPr>
        <w:t xml:space="preserve">gab </w:t>
      </w:r>
      <w:r w:rsidR="00F72CD7" w:rsidRPr="00405DCB">
        <w:rPr>
          <w:rFonts w:ascii="Arial" w:hAnsi="Arial" w:cs="Arial"/>
        </w:rPr>
        <w:t>es in</w:t>
      </w:r>
      <w:r w:rsidR="004765D4" w:rsidRPr="00405DCB">
        <w:rPr>
          <w:rFonts w:ascii="Arial" w:hAnsi="Arial" w:cs="Arial"/>
        </w:rPr>
        <w:t xml:space="preserve"> der Gruppe der hier betrachteten Staaten </w:t>
      </w:r>
      <w:r w:rsidR="00F72CD7" w:rsidRPr="00405DCB">
        <w:rPr>
          <w:rFonts w:ascii="Arial" w:hAnsi="Arial" w:cs="Arial"/>
        </w:rPr>
        <w:t xml:space="preserve">drei Staaten, deren </w:t>
      </w:r>
      <w:r w:rsidR="004765D4" w:rsidRPr="00405DCB">
        <w:rPr>
          <w:rFonts w:ascii="Arial" w:hAnsi="Arial" w:cs="Arial"/>
        </w:rPr>
        <w:t>Lohnstückkosten</w:t>
      </w:r>
      <w:r w:rsidR="001F14F1">
        <w:rPr>
          <w:rFonts w:ascii="Arial" w:hAnsi="Arial" w:cs="Arial"/>
        </w:rPr>
        <w:t xml:space="preserve"> (</w:t>
      </w:r>
      <w:r w:rsidR="001F14F1" w:rsidRPr="001F14F1">
        <w:rPr>
          <w:rFonts w:ascii="Arial" w:hAnsi="Arial" w:cs="Arial"/>
        </w:rPr>
        <w:t>auf Basis der jeweiligen Währung</w:t>
      </w:r>
      <w:r w:rsidR="001F14F1">
        <w:rPr>
          <w:rFonts w:ascii="Arial" w:hAnsi="Arial" w:cs="Arial"/>
        </w:rPr>
        <w:t>)</w:t>
      </w:r>
      <w:r w:rsidR="004765D4" w:rsidRPr="00405DCB">
        <w:rPr>
          <w:rFonts w:ascii="Arial" w:hAnsi="Arial" w:cs="Arial"/>
        </w:rPr>
        <w:t xml:space="preserve"> </w:t>
      </w:r>
      <w:r w:rsidR="00F72CD7" w:rsidRPr="00405DCB">
        <w:rPr>
          <w:rFonts w:ascii="Arial" w:hAnsi="Arial" w:cs="Arial"/>
        </w:rPr>
        <w:t xml:space="preserve">in zwei der drei Zeiträume zweistellig zurückgingen: Taiwan (minus 17,7/31,3 Prozent), Schweden (minus 18,4/15,2 Prozent) und Japan (minus 16,2/22,9 Prozent). Während sich die Lohnstückkosten Taiwans im Zeitraum 2010 bis 2016 moderat erhöhten (plus 2,5 Prozent), stiegen die Lohnstückkosten Schwedens um 9,4 Prozent. Lediglich in Japan reduzierten sich die Lohnstückkosten </w:t>
      </w:r>
      <w:r w:rsidR="00405DCB">
        <w:rPr>
          <w:rFonts w:ascii="Arial" w:hAnsi="Arial" w:cs="Arial"/>
        </w:rPr>
        <w:t xml:space="preserve">zwischen 2010 und 2016 </w:t>
      </w:r>
      <w:r w:rsidR="00F72CD7" w:rsidRPr="00405DCB">
        <w:rPr>
          <w:rFonts w:ascii="Arial" w:hAnsi="Arial" w:cs="Arial"/>
        </w:rPr>
        <w:t>weiter – wenn auch sehr moderat (minus 1,3 Prozent).</w:t>
      </w:r>
      <w:r w:rsidR="00F717A3">
        <w:rPr>
          <w:rFonts w:ascii="Arial" w:hAnsi="Arial" w:cs="Arial"/>
        </w:rPr>
        <w:t xml:space="preserve"> Daneben gab es mit Belgien einen weiteren Staat, in dem sich die </w:t>
      </w:r>
      <w:r w:rsidR="00F717A3" w:rsidRPr="00405DCB">
        <w:rPr>
          <w:rFonts w:ascii="Arial" w:hAnsi="Arial" w:cs="Arial"/>
        </w:rPr>
        <w:t>Lohnstückkosten</w:t>
      </w:r>
      <w:r w:rsidR="00F717A3">
        <w:rPr>
          <w:rFonts w:ascii="Arial" w:hAnsi="Arial" w:cs="Arial"/>
        </w:rPr>
        <w:t xml:space="preserve"> in allen drei Zeiträumen reduzierten (minus 1,9/7,1/7,1 Prozent)</w:t>
      </w:r>
      <w:r w:rsidR="00ED5FB9">
        <w:rPr>
          <w:rFonts w:ascii="Arial" w:hAnsi="Arial" w:cs="Arial"/>
        </w:rPr>
        <w:t>.</w:t>
      </w:r>
    </w:p>
    <w:p w:rsidR="00ED5FB9" w:rsidRDefault="00ED5FB9" w:rsidP="009915BA">
      <w:pPr>
        <w:rPr>
          <w:rFonts w:ascii="Arial" w:hAnsi="Arial" w:cs="Arial"/>
        </w:rPr>
      </w:pPr>
    </w:p>
    <w:p w:rsidR="00ED5FB9" w:rsidRDefault="00F717A3" w:rsidP="00F717A3">
      <w:pPr>
        <w:rPr>
          <w:rFonts w:ascii="Arial" w:hAnsi="Arial" w:cs="Arial"/>
        </w:rPr>
      </w:pPr>
      <w:r w:rsidRPr="00F717A3">
        <w:rPr>
          <w:rFonts w:ascii="Arial" w:hAnsi="Arial" w:cs="Arial"/>
        </w:rPr>
        <w:t>Auf der anderen Seite gab es drei Staaten</w:t>
      </w:r>
      <w:r w:rsidRPr="00405DCB">
        <w:rPr>
          <w:rFonts w:ascii="Arial" w:hAnsi="Arial" w:cs="Arial"/>
        </w:rPr>
        <w:t xml:space="preserve">, deren Lohnstückkosten in </w:t>
      </w:r>
      <w:r>
        <w:rPr>
          <w:rFonts w:ascii="Arial" w:hAnsi="Arial" w:cs="Arial"/>
        </w:rPr>
        <w:t xml:space="preserve">allen </w:t>
      </w:r>
      <w:r w:rsidRPr="00405DCB">
        <w:rPr>
          <w:rFonts w:ascii="Arial" w:hAnsi="Arial" w:cs="Arial"/>
        </w:rPr>
        <w:t>drei Zeiträume</w:t>
      </w:r>
      <w:r>
        <w:rPr>
          <w:rFonts w:ascii="Arial" w:hAnsi="Arial" w:cs="Arial"/>
        </w:rPr>
        <w:t xml:space="preserve">n </w:t>
      </w:r>
      <w:r w:rsidRPr="00405DCB">
        <w:rPr>
          <w:rFonts w:ascii="Arial" w:hAnsi="Arial" w:cs="Arial"/>
        </w:rPr>
        <w:t xml:space="preserve">zweistellig </w:t>
      </w:r>
      <w:r>
        <w:rPr>
          <w:rFonts w:ascii="Arial" w:hAnsi="Arial" w:cs="Arial"/>
        </w:rPr>
        <w:t>zunahmen</w:t>
      </w:r>
      <w:r w:rsidRPr="00405DCB">
        <w:rPr>
          <w:rFonts w:ascii="Arial" w:hAnsi="Arial" w:cs="Arial"/>
        </w:rPr>
        <w:t xml:space="preserve">: </w:t>
      </w:r>
      <w:r w:rsidRPr="00F717A3">
        <w:rPr>
          <w:rFonts w:ascii="Arial" w:hAnsi="Arial" w:cs="Arial"/>
        </w:rPr>
        <w:t>Norwegen (plus 48,4/14,1/13,3 Prozent), Australien (plus 19,6/24,1/15,6 Prozent) und das Vereinigte Königreich (plus 31,9/10,2/14,3 Prozent). In drei weiteren Staaten</w:t>
      </w:r>
      <w:r>
        <w:rPr>
          <w:rFonts w:ascii="Arial" w:hAnsi="Arial" w:cs="Arial"/>
        </w:rPr>
        <w:t xml:space="preserve"> erhöhten sich die </w:t>
      </w:r>
      <w:r w:rsidRPr="00405DCB">
        <w:rPr>
          <w:rFonts w:ascii="Arial" w:hAnsi="Arial" w:cs="Arial"/>
        </w:rPr>
        <w:t xml:space="preserve">Lohnstückkosten </w:t>
      </w:r>
      <w:r>
        <w:rPr>
          <w:rFonts w:ascii="Arial" w:hAnsi="Arial" w:cs="Arial"/>
        </w:rPr>
        <w:t xml:space="preserve">ebenfalls </w:t>
      </w:r>
      <w:r w:rsidRPr="00405DCB">
        <w:rPr>
          <w:rFonts w:ascii="Arial" w:hAnsi="Arial" w:cs="Arial"/>
        </w:rPr>
        <w:t xml:space="preserve">in </w:t>
      </w:r>
      <w:r>
        <w:rPr>
          <w:rFonts w:ascii="Arial" w:hAnsi="Arial" w:cs="Arial"/>
        </w:rPr>
        <w:t xml:space="preserve">allen </w:t>
      </w:r>
      <w:r w:rsidRPr="00405DCB">
        <w:rPr>
          <w:rFonts w:ascii="Arial" w:hAnsi="Arial" w:cs="Arial"/>
        </w:rPr>
        <w:t>drei Zeiträume</w:t>
      </w:r>
      <w:r>
        <w:rPr>
          <w:rFonts w:ascii="Arial" w:hAnsi="Arial" w:cs="Arial"/>
        </w:rPr>
        <w:t xml:space="preserve">n – jedoch nicht durchgehend </w:t>
      </w:r>
      <w:r w:rsidRPr="00405DCB">
        <w:rPr>
          <w:rFonts w:ascii="Arial" w:hAnsi="Arial" w:cs="Arial"/>
        </w:rPr>
        <w:t>zweistellig</w:t>
      </w:r>
      <w:r>
        <w:rPr>
          <w:rFonts w:ascii="Arial" w:hAnsi="Arial" w:cs="Arial"/>
        </w:rPr>
        <w:t xml:space="preserve">: </w:t>
      </w:r>
      <w:r w:rsidRPr="00F717A3">
        <w:rPr>
          <w:rFonts w:ascii="Arial" w:hAnsi="Arial" w:cs="Arial"/>
        </w:rPr>
        <w:t>Italien (plus 30,2/18,3/1,9 Prozent), Südkorea (plus 27,1/6,9/9,6 Prozent) und Kanada (plus 2,2/18,4/7,3 Prozent)</w:t>
      </w:r>
      <w:r w:rsidR="00ED5FB9">
        <w:rPr>
          <w:rFonts w:ascii="Arial" w:hAnsi="Arial" w:cs="Arial"/>
        </w:rPr>
        <w:t>.</w:t>
      </w:r>
    </w:p>
    <w:p w:rsidR="00ED5FB9" w:rsidRDefault="00ED5FB9" w:rsidP="00F717A3">
      <w:pPr>
        <w:rPr>
          <w:rFonts w:ascii="Arial" w:hAnsi="Arial" w:cs="Arial"/>
        </w:rPr>
      </w:pPr>
    </w:p>
    <w:p w:rsidR="00ED5FB9" w:rsidRDefault="00F00A69" w:rsidP="00F00A69">
      <w:pPr>
        <w:rPr>
          <w:rFonts w:ascii="Arial" w:hAnsi="Arial" w:cs="Arial"/>
        </w:rPr>
      </w:pPr>
      <w:r w:rsidRPr="00FB38E7">
        <w:rPr>
          <w:rFonts w:ascii="Arial" w:hAnsi="Arial" w:cs="Arial"/>
        </w:rPr>
        <w:t xml:space="preserve">Auffällig war noch die Entwicklung in Finnland und Spanien. In Finnland gingen die </w:t>
      </w:r>
      <w:r w:rsidRPr="00405DCB">
        <w:rPr>
          <w:rFonts w:ascii="Arial" w:hAnsi="Arial" w:cs="Arial"/>
        </w:rPr>
        <w:t>Lohnstückkosten</w:t>
      </w:r>
      <w:r>
        <w:rPr>
          <w:rFonts w:ascii="Arial" w:hAnsi="Arial" w:cs="Arial"/>
        </w:rPr>
        <w:t xml:space="preserve"> zwischen 1990 und 2002 sowie zwischen 2002 und 2010 deutlich zurück (minus </w:t>
      </w:r>
      <w:r w:rsidRPr="00FB38E7">
        <w:rPr>
          <w:rFonts w:ascii="Arial" w:hAnsi="Arial" w:cs="Arial"/>
        </w:rPr>
        <w:t xml:space="preserve">20,8/7,4 Prozent) und nahmen zwischen 2010 und 2016 ebenso deutlich zu – mit einem Plus von 16,8 Prozent stärker als in jedem anderen der hier betrachteten Staaten. In Spanien verlief die Entwicklung genau entgegengesetzt: In den ersten beiden Zeiträumen stiegen die </w:t>
      </w:r>
      <w:r w:rsidRPr="00405DCB">
        <w:rPr>
          <w:rFonts w:ascii="Arial" w:hAnsi="Arial" w:cs="Arial"/>
        </w:rPr>
        <w:t>Lohnstückkosten</w:t>
      </w:r>
      <w:r>
        <w:rPr>
          <w:rFonts w:ascii="Arial" w:hAnsi="Arial" w:cs="Arial"/>
        </w:rPr>
        <w:t xml:space="preserve"> </w:t>
      </w:r>
      <w:r w:rsidR="00FB38E7">
        <w:rPr>
          <w:rFonts w:ascii="Arial" w:hAnsi="Arial" w:cs="Arial"/>
        </w:rPr>
        <w:t xml:space="preserve">auffällig stark </w:t>
      </w:r>
      <w:r>
        <w:rPr>
          <w:rFonts w:ascii="Arial" w:hAnsi="Arial" w:cs="Arial"/>
        </w:rPr>
        <w:t xml:space="preserve">(plus </w:t>
      </w:r>
      <w:r w:rsidRPr="00FB38E7">
        <w:rPr>
          <w:rFonts w:ascii="Arial" w:hAnsi="Arial" w:cs="Arial"/>
        </w:rPr>
        <w:t>32,8/18,5 Prozent) und zwischen 2010 und 2016 waren sie rückläufig – der Rückgang fiel dabei mit 12,8 Prozent stärker aus als in jedem anderen der hier betrachteten Staaten</w:t>
      </w:r>
      <w:r w:rsidR="00ED5FB9">
        <w:rPr>
          <w:rFonts w:ascii="Arial" w:hAnsi="Arial" w:cs="Arial"/>
        </w:rPr>
        <w:t>.</w:t>
      </w:r>
    </w:p>
    <w:p w:rsidR="00ED5FB9" w:rsidRDefault="00ED5FB9" w:rsidP="00F00A69">
      <w:pPr>
        <w:rPr>
          <w:rFonts w:ascii="Arial" w:hAnsi="Arial" w:cs="Arial"/>
        </w:rPr>
      </w:pPr>
    </w:p>
    <w:p w:rsidR="00954B9E" w:rsidRDefault="00D833AB" w:rsidP="009915BA">
      <w:pPr>
        <w:rPr>
          <w:rFonts w:ascii="Arial" w:hAnsi="Arial" w:cs="Arial"/>
        </w:rPr>
      </w:pPr>
      <w:r>
        <w:rPr>
          <w:rFonts w:ascii="Arial" w:hAnsi="Arial" w:cs="Arial"/>
        </w:rPr>
        <w:t>D</w:t>
      </w:r>
      <w:r w:rsidR="004765D4" w:rsidRPr="00E7573E">
        <w:rPr>
          <w:rFonts w:ascii="Arial" w:hAnsi="Arial" w:cs="Arial"/>
        </w:rPr>
        <w:t xml:space="preserve">ie internationale Wettbewerbsfähigkeit </w:t>
      </w:r>
      <w:r>
        <w:rPr>
          <w:rFonts w:ascii="Arial" w:hAnsi="Arial" w:cs="Arial"/>
        </w:rPr>
        <w:t xml:space="preserve">hängt auch </w:t>
      </w:r>
      <w:r w:rsidR="004765D4" w:rsidRPr="00E7573E">
        <w:rPr>
          <w:rFonts w:ascii="Arial" w:hAnsi="Arial" w:cs="Arial"/>
        </w:rPr>
        <w:t>stark von Wechselkursänderungen ab. Um die Wechselkurse mit einzubeziehen, muss die Entwicklung der Lohnstückkosten in einer einheitlichen Währung abgebildet werden</w:t>
      </w:r>
      <w:r w:rsidR="00E7573E">
        <w:rPr>
          <w:rFonts w:ascii="Arial" w:hAnsi="Arial" w:cs="Arial"/>
        </w:rPr>
        <w:t xml:space="preserve"> (und nicht </w:t>
      </w:r>
      <w:r w:rsidR="00E7573E" w:rsidRPr="001F14F1">
        <w:rPr>
          <w:rFonts w:ascii="Arial" w:hAnsi="Arial" w:cs="Arial"/>
        </w:rPr>
        <w:t>auf Basis der jeweiligen Währung</w:t>
      </w:r>
      <w:r w:rsidR="00E7573E">
        <w:rPr>
          <w:rFonts w:ascii="Arial" w:hAnsi="Arial" w:cs="Arial"/>
        </w:rPr>
        <w:t>)</w:t>
      </w:r>
      <w:r w:rsidR="004765D4" w:rsidRPr="00E7573E">
        <w:rPr>
          <w:rFonts w:ascii="Arial" w:hAnsi="Arial" w:cs="Arial"/>
        </w:rPr>
        <w:t>. Allerdings geht diese Darstellungsform zu Lasten der Faktoren, die die Lohnstückkosten in den einzelnen Staaten abseits der Wechselkurse beeinflussen (</w:t>
      </w:r>
      <w:r w:rsidR="007D65F1">
        <w:rPr>
          <w:rFonts w:ascii="Arial" w:hAnsi="Arial" w:cs="Arial"/>
        </w:rPr>
        <w:t xml:space="preserve">z.B. die </w:t>
      </w:r>
      <w:r w:rsidR="004765D4" w:rsidRPr="00E7573E">
        <w:rPr>
          <w:rFonts w:ascii="Arial" w:hAnsi="Arial" w:cs="Arial"/>
        </w:rPr>
        <w:t>Entwicklung der Produktivität)</w:t>
      </w:r>
      <w:r w:rsidR="00954B9E">
        <w:rPr>
          <w:rFonts w:ascii="Arial" w:hAnsi="Arial" w:cs="Arial"/>
        </w:rPr>
        <w:t>.</w:t>
      </w:r>
    </w:p>
    <w:p w:rsidR="00954B9E" w:rsidRDefault="00954B9E" w:rsidP="009915BA">
      <w:pPr>
        <w:rPr>
          <w:rFonts w:ascii="Arial" w:hAnsi="Arial" w:cs="Arial"/>
        </w:rPr>
      </w:pPr>
    </w:p>
    <w:p w:rsidR="00ED5FB9" w:rsidRDefault="00D3391F" w:rsidP="009915BA">
      <w:pPr>
        <w:rPr>
          <w:rFonts w:ascii="Arial" w:hAnsi="Arial" w:cs="Arial"/>
        </w:rPr>
      </w:pPr>
      <w:r>
        <w:rPr>
          <w:rFonts w:ascii="Arial" w:hAnsi="Arial" w:cs="Arial"/>
        </w:rPr>
        <w:t xml:space="preserve">Auf Euro-Basis </w:t>
      </w:r>
      <w:r w:rsidRPr="001F14F1">
        <w:rPr>
          <w:rFonts w:ascii="Arial" w:hAnsi="Arial" w:cs="Arial"/>
        </w:rPr>
        <w:t xml:space="preserve">stiegen </w:t>
      </w:r>
      <w:r w:rsidR="00954B9E">
        <w:rPr>
          <w:rFonts w:ascii="Arial" w:hAnsi="Arial" w:cs="Arial"/>
        </w:rPr>
        <w:t xml:space="preserve">beispielsweise </w:t>
      </w:r>
      <w:r>
        <w:rPr>
          <w:rFonts w:ascii="Arial" w:hAnsi="Arial" w:cs="Arial"/>
        </w:rPr>
        <w:t>i</w:t>
      </w:r>
      <w:r w:rsidRPr="001F14F1">
        <w:rPr>
          <w:rFonts w:ascii="Arial" w:hAnsi="Arial" w:cs="Arial"/>
        </w:rPr>
        <w:t xml:space="preserve">n Deutschland die </w:t>
      </w:r>
      <w:r w:rsidRPr="00405DCB">
        <w:rPr>
          <w:rFonts w:ascii="Arial" w:hAnsi="Arial" w:cs="Arial"/>
        </w:rPr>
        <w:t>Lohnstückkosten</w:t>
      </w:r>
      <w:r>
        <w:rPr>
          <w:rFonts w:ascii="Arial" w:hAnsi="Arial" w:cs="Arial"/>
        </w:rPr>
        <w:t xml:space="preserve"> zwischen 1990 und 2002 um </w:t>
      </w:r>
      <w:r w:rsidRPr="001F14F1">
        <w:rPr>
          <w:rFonts w:ascii="Arial" w:hAnsi="Arial" w:cs="Arial"/>
        </w:rPr>
        <w:t xml:space="preserve">18,2 Prozent, zwischen 2002 und 2010 gingen sie um 5,5 Prozent zurück und zwischen 2010 und 2016 nahmen sie </w:t>
      </w:r>
      <w:r>
        <w:rPr>
          <w:rFonts w:ascii="Arial" w:hAnsi="Arial" w:cs="Arial"/>
        </w:rPr>
        <w:t xml:space="preserve">wiederum </w:t>
      </w:r>
      <w:r w:rsidRPr="001F14F1">
        <w:rPr>
          <w:rFonts w:ascii="Arial" w:hAnsi="Arial" w:cs="Arial"/>
        </w:rPr>
        <w:t xml:space="preserve">um 4,2 Prozent </w:t>
      </w:r>
      <w:r w:rsidRPr="001F14F1">
        <w:rPr>
          <w:rFonts w:ascii="Arial" w:hAnsi="Arial" w:cs="Arial"/>
        </w:rPr>
        <w:lastRenderedPageBreak/>
        <w:t>zu</w:t>
      </w:r>
      <w:r w:rsidR="00ED5FB9">
        <w:rPr>
          <w:rFonts w:ascii="Arial" w:hAnsi="Arial" w:cs="Arial"/>
        </w:rPr>
        <w:t>. B</w:t>
      </w:r>
      <w:r w:rsidR="004765D4" w:rsidRPr="00D833AB">
        <w:rPr>
          <w:rFonts w:ascii="Arial" w:hAnsi="Arial" w:cs="Arial"/>
        </w:rPr>
        <w:t>ei einem Vergleich der Lohnstückkosten auf US-Dollar</w:t>
      </w:r>
      <w:r>
        <w:rPr>
          <w:rFonts w:ascii="Arial" w:hAnsi="Arial" w:cs="Arial"/>
        </w:rPr>
        <w:t>-</w:t>
      </w:r>
      <w:r w:rsidR="004765D4" w:rsidRPr="00D833AB">
        <w:rPr>
          <w:rFonts w:ascii="Arial" w:hAnsi="Arial" w:cs="Arial"/>
        </w:rPr>
        <w:t xml:space="preserve">Basis hat sich die Wettbewerbsposition Deutschlands </w:t>
      </w:r>
      <w:r>
        <w:rPr>
          <w:rFonts w:ascii="Arial" w:hAnsi="Arial" w:cs="Arial"/>
        </w:rPr>
        <w:t>in allen drei Zeiträumen genau entgegengesetzt entwickelt: Zwischen 1990 und 2002 reduzierten sich die</w:t>
      </w:r>
      <w:r w:rsidRPr="00D3391F">
        <w:rPr>
          <w:rFonts w:ascii="Arial" w:hAnsi="Arial" w:cs="Arial"/>
        </w:rPr>
        <w:t xml:space="preserve"> </w:t>
      </w:r>
      <w:r w:rsidRPr="00D833AB">
        <w:rPr>
          <w:rFonts w:ascii="Arial" w:hAnsi="Arial" w:cs="Arial"/>
        </w:rPr>
        <w:t>Lohnstückkosten auf US-Dollar</w:t>
      </w:r>
      <w:r>
        <w:rPr>
          <w:rFonts w:ascii="Arial" w:hAnsi="Arial" w:cs="Arial"/>
        </w:rPr>
        <w:t>-</w:t>
      </w:r>
      <w:r w:rsidRPr="00D833AB">
        <w:rPr>
          <w:rFonts w:ascii="Arial" w:hAnsi="Arial" w:cs="Arial"/>
        </w:rPr>
        <w:t>Basis</w:t>
      </w:r>
      <w:r>
        <w:rPr>
          <w:rFonts w:ascii="Arial" w:hAnsi="Arial" w:cs="Arial"/>
        </w:rPr>
        <w:t xml:space="preserve"> um 8</w:t>
      </w:r>
      <w:r w:rsidRPr="00D3391F">
        <w:rPr>
          <w:rFonts w:ascii="Arial" w:hAnsi="Arial" w:cs="Arial"/>
        </w:rPr>
        <w:t>,1</w:t>
      </w:r>
      <w:r>
        <w:rPr>
          <w:rFonts w:ascii="Arial" w:hAnsi="Arial" w:cs="Arial"/>
        </w:rPr>
        <w:t xml:space="preserve"> Prozent und zwischen 2002 und 2010 stiegen sie um 32,9 Prozent. Schließlich gingen sie zwischen 2010 um 2016 um </w:t>
      </w:r>
      <w:r w:rsidRPr="00D3391F">
        <w:rPr>
          <w:rFonts w:ascii="Arial" w:hAnsi="Arial" w:cs="Arial"/>
        </w:rPr>
        <w:t>12,9</w:t>
      </w:r>
      <w:r>
        <w:rPr>
          <w:rFonts w:ascii="Arial" w:hAnsi="Arial" w:cs="Arial"/>
        </w:rPr>
        <w:t xml:space="preserve"> Prozent zurück</w:t>
      </w:r>
      <w:r w:rsidR="00ED5FB9">
        <w:rPr>
          <w:rFonts w:ascii="Arial" w:hAnsi="Arial" w:cs="Arial"/>
        </w:rPr>
        <w:t>. D</w:t>
      </w:r>
      <w:r w:rsidR="004765D4" w:rsidRPr="00D3391F">
        <w:rPr>
          <w:rFonts w:ascii="Arial" w:hAnsi="Arial" w:cs="Arial"/>
        </w:rPr>
        <w:t xml:space="preserve">er Grund dafür </w:t>
      </w:r>
      <w:r w:rsidRPr="00D3391F">
        <w:rPr>
          <w:rFonts w:ascii="Arial" w:hAnsi="Arial" w:cs="Arial"/>
        </w:rPr>
        <w:t xml:space="preserve">sind </w:t>
      </w:r>
      <w:r w:rsidR="004765D4" w:rsidRPr="00D3391F">
        <w:rPr>
          <w:rFonts w:ascii="Arial" w:hAnsi="Arial" w:cs="Arial"/>
        </w:rPr>
        <w:t xml:space="preserve">die </w:t>
      </w:r>
      <w:r w:rsidRPr="00D3391F">
        <w:rPr>
          <w:rFonts w:ascii="Arial" w:hAnsi="Arial" w:cs="Arial"/>
        </w:rPr>
        <w:t xml:space="preserve">Ab- bzw. </w:t>
      </w:r>
      <w:r w:rsidR="004765D4" w:rsidRPr="00D3391F">
        <w:rPr>
          <w:rFonts w:ascii="Arial" w:hAnsi="Arial" w:cs="Arial"/>
        </w:rPr>
        <w:t>Aufwertung</w:t>
      </w:r>
      <w:r w:rsidRPr="00D3391F">
        <w:rPr>
          <w:rFonts w:ascii="Arial" w:hAnsi="Arial" w:cs="Arial"/>
        </w:rPr>
        <w:t>en</w:t>
      </w:r>
      <w:r w:rsidR="004765D4" w:rsidRPr="00D3391F">
        <w:rPr>
          <w:rFonts w:ascii="Arial" w:hAnsi="Arial" w:cs="Arial"/>
        </w:rPr>
        <w:t xml:space="preserve"> des Euro gegenüber dem US-Dollar</w:t>
      </w:r>
      <w:r w:rsidRPr="00D3391F">
        <w:rPr>
          <w:rFonts w:ascii="Arial" w:hAnsi="Arial" w:cs="Arial"/>
        </w:rPr>
        <w:t xml:space="preserve"> in den jeweiligen </w:t>
      </w:r>
      <w:r w:rsidR="004765D4" w:rsidRPr="00D3391F">
        <w:rPr>
          <w:rFonts w:ascii="Arial" w:hAnsi="Arial" w:cs="Arial"/>
        </w:rPr>
        <w:t>Zeitr</w:t>
      </w:r>
      <w:r w:rsidRPr="00D3391F">
        <w:rPr>
          <w:rFonts w:ascii="Arial" w:hAnsi="Arial" w:cs="Arial"/>
        </w:rPr>
        <w:t>ä</w:t>
      </w:r>
      <w:r w:rsidR="004765D4" w:rsidRPr="00D3391F">
        <w:rPr>
          <w:rFonts w:ascii="Arial" w:hAnsi="Arial" w:cs="Arial"/>
        </w:rPr>
        <w:t>um</w:t>
      </w:r>
      <w:r w:rsidRPr="00D3391F">
        <w:rPr>
          <w:rFonts w:ascii="Arial" w:hAnsi="Arial" w:cs="Arial"/>
        </w:rPr>
        <w:t>en</w:t>
      </w:r>
      <w:r w:rsidR="00ED5FB9">
        <w:rPr>
          <w:rFonts w:ascii="Arial" w:hAnsi="Arial" w:cs="Arial"/>
        </w:rPr>
        <w:t>.</w:t>
      </w:r>
    </w:p>
    <w:p w:rsidR="00ED5FB9" w:rsidRDefault="00ED5FB9" w:rsidP="009915BA">
      <w:pPr>
        <w:rPr>
          <w:rFonts w:ascii="Arial" w:hAnsi="Arial" w:cs="Arial"/>
        </w:rPr>
      </w:pPr>
    </w:p>
    <w:p w:rsidR="00ED5FB9" w:rsidRDefault="008D4C5B" w:rsidP="009915BA">
      <w:pPr>
        <w:rPr>
          <w:rFonts w:ascii="Arial" w:hAnsi="Arial" w:cs="Arial"/>
        </w:rPr>
      </w:pPr>
      <w:r w:rsidRPr="008D4C5B">
        <w:rPr>
          <w:rFonts w:ascii="Arial" w:hAnsi="Arial" w:cs="Arial"/>
        </w:rPr>
        <w:t xml:space="preserve">Abseits der zahlreichen Faktoren, die die Kosten eines Produkts beeinflussen, ist zu bedenken, dass bei vielen Produkten die Löhne der Arbeitnehmer einen immer geringer werdenden Anteil haben und sich unternehmerischer Erfolg </w:t>
      </w:r>
      <w:r>
        <w:rPr>
          <w:rFonts w:ascii="Arial" w:hAnsi="Arial" w:cs="Arial"/>
        </w:rPr>
        <w:t xml:space="preserve">zunehmend </w:t>
      </w:r>
      <w:r w:rsidRPr="008D4C5B">
        <w:rPr>
          <w:rFonts w:ascii="Arial" w:hAnsi="Arial" w:cs="Arial"/>
        </w:rPr>
        <w:t>auf Produktimage, Produktqualität, Kundenservice, Lieferpünktlichkeit und Innovationsfähigkeit gründet</w:t>
      </w:r>
      <w:r w:rsidR="00ED5FB9">
        <w:rPr>
          <w:rFonts w:ascii="Arial" w:hAnsi="Arial" w:cs="Arial"/>
        </w:rPr>
        <w:t>.</w:t>
      </w:r>
    </w:p>
    <w:p w:rsidR="00ED5FB9" w:rsidRDefault="00ED5FB9" w:rsidP="009915BA">
      <w:pPr>
        <w:rPr>
          <w:rFonts w:ascii="Arial" w:hAnsi="Arial" w:cs="Arial"/>
        </w:rPr>
      </w:pPr>
    </w:p>
    <w:p w:rsidR="00ED5FB9" w:rsidRDefault="004E773F" w:rsidP="00793FBE">
      <w:pPr>
        <w:rPr>
          <w:rFonts w:ascii="Arial" w:hAnsi="Arial" w:cs="Arial"/>
        </w:rPr>
      </w:pPr>
      <w:r w:rsidRPr="004E773F">
        <w:rPr>
          <w:rFonts w:ascii="Arial" w:hAnsi="Arial" w:cs="Arial"/>
        </w:rPr>
        <w:t xml:space="preserve">Dazu passen die Forschungsergebnisse, auf die das ISI hinweist, nach denen "jede vierte </w:t>
      </w:r>
      <w:r w:rsidR="00950B89" w:rsidRPr="004E773F">
        <w:rPr>
          <w:rFonts w:ascii="Arial" w:hAnsi="Arial" w:cs="Arial"/>
        </w:rPr>
        <w:t>Produktion</w:t>
      </w:r>
      <w:r w:rsidR="00954B9E">
        <w:rPr>
          <w:rFonts w:ascii="Arial" w:hAnsi="Arial" w:cs="Arial"/>
        </w:rPr>
        <w:t>s</w:t>
      </w:r>
      <w:r w:rsidR="00950B89">
        <w:rPr>
          <w:rFonts w:ascii="Arial" w:hAnsi="Arial" w:cs="Arial"/>
        </w:rPr>
        <w:t>v</w:t>
      </w:r>
      <w:r w:rsidRPr="004E773F">
        <w:rPr>
          <w:rFonts w:ascii="Arial" w:hAnsi="Arial" w:cs="Arial"/>
        </w:rPr>
        <w:t>erlagerung innerhalb von drei bis fünf Jahren wieder rückgängig gemacht wurde."</w:t>
      </w:r>
      <w:r w:rsidR="00ED5FB9">
        <w:rPr>
          <w:rFonts w:ascii="Arial" w:hAnsi="Arial" w:cs="Arial"/>
        </w:rPr>
        <w:t xml:space="preserve"> 2</w:t>
      </w:r>
      <w:r w:rsidR="00950B89" w:rsidRPr="00950B89">
        <w:rPr>
          <w:rFonts w:ascii="Arial" w:hAnsi="Arial" w:cs="Arial"/>
        </w:rPr>
        <w:t xml:space="preserve">012 nannten die Unternehmen Flexibilitätseinbußen am häufigsten als Grund für die Rückverlagerung (59 Prozent). Darauf folgten Qualitätsprobleme 53 Prozent), Kapazitätsauslastung (28 Prozent), zu </w:t>
      </w:r>
      <w:r w:rsidR="00950B89">
        <w:rPr>
          <w:rFonts w:ascii="Arial" w:hAnsi="Arial" w:cs="Arial"/>
        </w:rPr>
        <w:t>h</w:t>
      </w:r>
      <w:r w:rsidR="00950B89" w:rsidRPr="00950B89">
        <w:rPr>
          <w:rFonts w:ascii="Arial" w:hAnsi="Arial" w:cs="Arial"/>
        </w:rPr>
        <w:t>ohe Transportkosten (25 Prozent), Probleme bei der Koordination und mit der Infrastruktur (21 und 13 Prozent) sowie Fachkräftemangel und Know-how-Verluste (13 und 11 Prozent)</w:t>
      </w:r>
      <w:r w:rsidR="00ED5FB9">
        <w:rPr>
          <w:rFonts w:ascii="Arial" w:hAnsi="Arial" w:cs="Arial"/>
        </w:rPr>
        <w:t>.</w:t>
      </w:r>
    </w:p>
    <w:p w:rsidR="00ED5FB9" w:rsidRDefault="00ED5FB9" w:rsidP="00793FBE">
      <w:pPr>
        <w:rPr>
          <w:rFonts w:ascii="Arial" w:hAnsi="Arial" w:cs="Arial"/>
        </w:rPr>
      </w:pPr>
    </w:p>
    <w:p w:rsidR="00DF68DE" w:rsidRPr="00FB337C" w:rsidRDefault="00DF68DE">
      <w:pPr>
        <w:rPr>
          <w:rFonts w:ascii="Arial" w:hAnsi="Arial"/>
          <w:color w:val="FF0000"/>
        </w:rPr>
      </w:pPr>
      <w:r w:rsidRPr="00FB337C">
        <w:rPr>
          <w:rFonts w:ascii="Arial" w:hAnsi="Arial"/>
          <w:color w:val="FF0000"/>
        </w:rPr>
        <w:t>Datenquelle</w:t>
      </w:r>
    </w:p>
    <w:p w:rsidR="00DF68DE" w:rsidRPr="00FB337C" w:rsidRDefault="00DF68DE">
      <w:pPr>
        <w:rPr>
          <w:rFonts w:ascii="Arial" w:hAnsi="Arial" w:cs="Arial"/>
        </w:rPr>
      </w:pPr>
    </w:p>
    <w:p w:rsidR="00B82C4A" w:rsidRDefault="00B37B46">
      <w:pPr>
        <w:rPr>
          <w:rFonts w:ascii="Arial" w:hAnsi="Arial" w:cs="Arial"/>
        </w:rPr>
      </w:pPr>
      <w:r>
        <w:rPr>
          <w:rFonts w:ascii="Arial" w:hAnsi="Arial" w:cs="Arial"/>
        </w:rPr>
        <w:t xml:space="preserve">© </w:t>
      </w:r>
      <w:r w:rsidR="001931C0" w:rsidRPr="00DD40C5">
        <w:rPr>
          <w:rFonts w:ascii="Arial" w:hAnsi="Arial" w:cs="Arial"/>
        </w:rPr>
        <w:t>The Conference Board</w:t>
      </w:r>
      <w:r w:rsidR="00DD40C5" w:rsidRPr="00DD40C5">
        <w:rPr>
          <w:rFonts w:ascii="Arial" w:hAnsi="Arial" w:cs="Arial"/>
        </w:rPr>
        <w:t>:</w:t>
      </w:r>
      <w:r w:rsidR="001931C0" w:rsidRPr="00DD40C5">
        <w:rPr>
          <w:rFonts w:ascii="Arial" w:hAnsi="Arial" w:cs="Arial"/>
        </w:rPr>
        <w:t xml:space="preserve"> International Labor </w:t>
      </w:r>
      <w:proofErr w:type="spellStart"/>
      <w:r w:rsidR="001931C0" w:rsidRPr="00DD40C5">
        <w:rPr>
          <w:rFonts w:ascii="Arial" w:hAnsi="Arial" w:cs="Arial"/>
        </w:rPr>
        <w:t>Comparisons</w:t>
      </w:r>
      <w:proofErr w:type="spellEnd"/>
      <w:r w:rsidR="001931C0" w:rsidRPr="00DD40C5">
        <w:rPr>
          <w:rFonts w:ascii="Arial" w:hAnsi="Arial" w:cs="Arial"/>
        </w:rPr>
        <w:t xml:space="preserve">: www.conference-board.org; </w:t>
      </w:r>
      <w:r w:rsidR="001931C0" w:rsidRPr="001931C0">
        <w:rPr>
          <w:rFonts w:ascii="Arial" w:hAnsi="Arial" w:cs="Arial"/>
        </w:rPr>
        <w:t>Fraunhofer-Institut für System- und Innovationsforschung ISI: Mitteilung Nr. 63/2013: Globale Produktion von einer starken Heimatbasis aus</w:t>
      </w:r>
    </w:p>
    <w:p w:rsidR="00B82C4A" w:rsidRDefault="00B82C4A">
      <w:pPr>
        <w:rPr>
          <w:rFonts w:ascii="Arial" w:hAnsi="Arial" w:cs="Arial"/>
        </w:rPr>
      </w:pPr>
    </w:p>
    <w:p w:rsidR="00DF68DE" w:rsidRDefault="00DF68DE">
      <w:pPr>
        <w:rPr>
          <w:rFonts w:ascii="Arial" w:hAnsi="Arial"/>
          <w:color w:val="FF0000"/>
        </w:rPr>
      </w:pPr>
      <w:r>
        <w:rPr>
          <w:rFonts w:ascii="Arial" w:hAnsi="Arial"/>
          <w:color w:val="FF0000"/>
        </w:rPr>
        <w:t>Begriffe, methodische Anmerkungen oder Lesehilfen</w:t>
      </w:r>
    </w:p>
    <w:p w:rsidR="00DF68DE" w:rsidRPr="004765D4" w:rsidRDefault="00DF68DE">
      <w:pPr>
        <w:rPr>
          <w:rFonts w:ascii="Arial" w:hAnsi="Arial" w:cs="Arial"/>
          <w:color w:val="000000"/>
        </w:rPr>
      </w:pPr>
    </w:p>
    <w:p w:rsidR="00544DF7" w:rsidRPr="004765D4" w:rsidRDefault="004765D4" w:rsidP="00F42D1D">
      <w:pPr>
        <w:rPr>
          <w:rFonts w:ascii="Arial" w:hAnsi="Arial" w:cs="Arial"/>
        </w:rPr>
      </w:pPr>
      <w:r w:rsidRPr="004765D4">
        <w:rPr>
          <w:rFonts w:ascii="Arial" w:hAnsi="Arial" w:cs="Arial"/>
        </w:rPr>
        <w:t xml:space="preserve">Zur Bestimmung der </w:t>
      </w:r>
      <w:r w:rsidRPr="004765D4">
        <w:rPr>
          <w:rStyle w:val="Fett"/>
          <w:rFonts w:ascii="Arial" w:hAnsi="Arial" w:cs="Arial"/>
        </w:rPr>
        <w:t>Lohnstückkosten</w:t>
      </w:r>
      <w:r w:rsidRPr="004765D4">
        <w:rPr>
          <w:rFonts w:ascii="Arial" w:hAnsi="Arial" w:cs="Arial"/>
        </w:rPr>
        <w:t xml:space="preserve"> werden die Lohnkosten je Arbeitnehmer beziehungsweise je Arbeitnehmerstunde ins Verhältnis zur Arbeitsproduktivität je Erwerbstätigen (Personenkonzept) beziehungsweise je Erwerbstätigenstunde (Stundenkonzept) gesetzt. Die Lohnkosten setzen sich aus den Bruttolöhnen und -gehältern der Arbeitnehmer sowie den Sozialbeiträgen der Arbeitgeber zusammen.</w:t>
      </w:r>
    </w:p>
    <w:p w:rsidR="004765D4" w:rsidRPr="004765D4" w:rsidRDefault="004765D4" w:rsidP="00F42D1D">
      <w:pPr>
        <w:rPr>
          <w:rFonts w:ascii="Arial" w:hAnsi="Arial" w:cs="Arial"/>
          <w:color w:val="000000"/>
        </w:rPr>
      </w:pPr>
    </w:p>
    <w:p w:rsidR="00F42D1D" w:rsidRDefault="00F42D1D">
      <w:pPr>
        <w:rPr>
          <w:rFonts w:ascii="Arial" w:hAnsi="Arial"/>
          <w:sz w:val="20"/>
          <w:szCs w:val="20"/>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F42D1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tterich, Martin">
    <w15:presenceInfo w15:providerId="None" w15:userId="Hetterich, Mart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8C2"/>
    <w:rsid w:val="000303F2"/>
    <w:rsid w:val="00051AE9"/>
    <w:rsid w:val="00063346"/>
    <w:rsid w:val="00071E38"/>
    <w:rsid w:val="000730B7"/>
    <w:rsid w:val="00087676"/>
    <w:rsid w:val="000B1468"/>
    <w:rsid w:val="00103644"/>
    <w:rsid w:val="00164D22"/>
    <w:rsid w:val="001751B2"/>
    <w:rsid w:val="00180EC2"/>
    <w:rsid w:val="001931C0"/>
    <w:rsid w:val="001A3861"/>
    <w:rsid w:val="001D3129"/>
    <w:rsid w:val="001F14F1"/>
    <w:rsid w:val="00227AC5"/>
    <w:rsid w:val="00230C60"/>
    <w:rsid w:val="00233C3A"/>
    <w:rsid w:val="00242CDA"/>
    <w:rsid w:val="00282F4C"/>
    <w:rsid w:val="002A6E05"/>
    <w:rsid w:val="002B6403"/>
    <w:rsid w:val="002B7A61"/>
    <w:rsid w:val="002E5CCF"/>
    <w:rsid w:val="00355504"/>
    <w:rsid w:val="003801B3"/>
    <w:rsid w:val="003803D2"/>
    <w:rsid w:val="003D0502"/>
    <w:rsid w:val="003D3891"/>
    <w:rsid w:val="003F62EC"/>
    <w:rsid w:val="00405DCB"/>
    <w:rsid w:val="00445CDF"/>
    <w:rsid w:val="004612A3"/>
    <w:rsid w:val="00467B29"/>
    <w:rsid w:val="004765D4"/>
    <w:rsid w:val="004946A2"/>
    <w:rsid w:val="004A4088"/>
    <w:rsid w:val="004E773F"/>
    <w:rsid w:val="0050578C"/>
    <w:rsid w:val="00544DF7"/>
    <w:rsid w:val="00557B15"/>
    <w:rsid w:val="005911C9"/>
    <w:rsid w:val="006172F7"/>
    <w:rsid w:val="00622E14"/>
    <w:rsid w:val="0063793F"/>
    <w:rsid w:val="006D0B0C"/>
    <w:rsid w:val="006F3044"/>
    <w:rsid w:val="007004C5"/>
    <w:rsid w:val="00705D62"/>
    <w:rsid w:val="007125C4"/>
    <w:rsid w:val="00721A30"/>
    <w:rsid w:val="00742CDF"/>
    <w:rsid w:val="0074731E"/>
    <w:rsid w:val="007717EA"/>
    <w:rsid w:val="007855D1"/>
    <w:rsid w:val="00785EA5"/>
    <w:rsid w:val="00793FBE"/>
    <w:rsid w:val="0079744B"/>
    <w:rsid w:val="007975AE"/>
    <w:rsid w:val="007C0ACF"/>
    <w:rsid w:val="007C2F5F"/>
    <w:rsid w:val="007D65F1"/>
    <w:rsid w:val="007D6E3F"/>
    <w:rsid w:val="00810EDB"/>
    <w:rsid w:val="00834020"/>
    <w:rsid w:val="00860BC1"/>
    <w:rsid w:val="008613C6"/>
    <w:rsid w:val="008B552F"/>
    <w:rsid w:val="008C7893"/>
    <w:rsid w:val="008D4C5B"/>
    <w:rsid w:val="009063F2"/>
    <w:rsid w:val="00945BCF"/>
    <w:rsid w:val="00950B89"/>
    <w:rsid w:val="00954B9E"/>
    <w:rsid w:val="00972745"/>
    <w:rsid w:val="00987954"/>
    <w:rsid w:val="009915BA"/>
    <w:rsid w:val="009F2CC5"/>
    <w:rsid w:val="00A33366"/>
    <w:rsid w:val="00A45344"/>
    <w:rsid w:val="00A52628"/>
    <w:rsid w:val="00A92A57"/>
    <w:rsid w:val="00A96999"/>
    <w:rsid w:val="00AB6ACF"/>
    <w:rsid w:val="00AE5928"/>
    <w:rsid w:val="00AF4BFC"/>
    <w:rsid w:val="00B118F7"/>
    <w:rsid w:val="00B30562"/>
    <w:rsid w:val="00B31328"/>
    <w:rsid w:val="00B37B46"/>
    <w:rsid w:val="00B5110B"/>
    <w:rsid w:val="00B82C4A"/>
    <w:rsid w:val="00B8654E"/>
    <w:rsid w:val="00BA6CC3"/>
    <w:rsid w:val="00BC3145"/>
    <w:rsid w:val="00BE0F5E"/>
    <w:rsid w:val="00BE7A91"/>
    <w:rsid w:val="00BF053B"/>
    <w:rsid w:val="00C02F1E"/>
    <w:rsid w:val="00C32DE9"/>
    <w:rsid w:val="00C5392F"/>
    <w:rsid w:val="00C76C2F"/>
    <w:rsid w:val="00CD77F2"/>
    <w:rsid w:val="00D001BF"/>
    <w:rsid w:val="00D04F87"/>
    <w:rsid w:val="00D3391F"/>
    <w:rsid w:val="00D35BAF"/>
    <w:rsid w:val="00D833AB"/>
    <w:rsid w:val="00DD40C5"/>
    <w:rsid w:val="00DD5972"/>
    <w:rsid w:val="00DF68DE"/>
    <w:rsid w:val="00E7573E"/>
    <w:rsid w:val="00EA28C2"/>
    <w:rsid w:val="00ED5FB9"/>
    <w:rsid w:val="00F00A69"/>
    <w:rsid w:val="00F03C53"/>
    <w:rsid w:val="00F42D1D"/>
    <w:rsid w:val="00F717A3"/>
    <w:rsid w:val="00F71B03"/>
    <w:rsid w:val="00F72CD7"/>
    <w:rsid w:val="00FB337C"/>
    <w:rsid w:val="00FB38E7"/>
    <w:rsid w:val="00FC4331"/>
    <w:rsid w:val="00FD69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544DF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qFormat/>
    <w:pPr>
      <w:spacing w:before="100" w:beforeAutospacing="1" w:after="100" w:afterAutospacing="1"/>
      <w:outlineLvl w:val="0"/>
    </w:pPr>
    <w:rPr>
      <w:b/>
      <w:bCs/>
      <w:kern w:val="36"/>
      <w:sz w:val="48"/>
      <w:szCs w:val="48"/>
    </w:rPr>
  </w:style>
  <w:style w:type="paragraph" w:styleId="berschrift2">
    <w:name w:val="heading 2"/>
    <w:basedOn w:val="Standard"/>
    <w:qFormat/>
    <w:pPr>
      <w:spacing w:before="100" w:beforeAutospacing="1" w:after="100" w:afterAutospacing="1"/>
      <w:outlineLvl w:val="1"/>
    </w:pPr>
    <w:rPr>
      <w:b/>
      <w:bCs/>
      <w:sz w:val="36"/>
      <w:szCs w:val="36"/>
    </w:rPr>
  </w:style>
  <w:style w:type="paragraph" w:styleId="berschrift4">
    <w:name w:val="heading 4"/>
    <w:basedOn w:val="Standard"/>
    <w:qFormat/>
    <w:pPr>
      <w:spacing w:before="100" w:beforeAutospacing="1" w:after="100" w:afterAutospacing="1"/>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pPr>
      <w:spacing w:before="100" w:beforeAutospacing="1" w:after="100" w:afterAutospacing="1"/>
    </w:pPr>
  </w:style>
  <w:style w:type="character" w:styleId="Hyperlink">
    <w:name w:val="Hyperlink"/>
    <w:basedOn w:val="Absatz-Standardschriftart"/>
    <w:rPr>
      <w:color w:val="0000FF"/>
      <w:u w:val="single"/>
    </w:rPr>
  </w:style>
  <w:style w:type="character" w:styleId="HTMLAkronym">
    <w:name w:val="HTML Acronym"/>
    <w:basedOn w:val="Absatz-Standardschriftart"/>
  </w:style>
  <w:style w:type="character" w:styleId="Kommentarzeichen">
    <w:name w:val="annotation reference"/>
    <w:basedOn w:val="Absatz-Standardschriftart"/>
    <w:semiHidden/>
    <w:rPr>
      <w:sz w:val="16"/>
    </w:rPr>
  </w:style>
  <w:style w:type="paragraph" w:styleId="Kommentartext">
    <w:name w:val="annotation text"/>
    <w:basedOn w:val="Standard"/>
    <w:semiHidden/>
    <w:rPr>
      <w:sz w:val="20"/>
    </w:rPr>
  </w:style>
  <w:style w:type="paragraph" w:styleId="Sprechblasentext">
    <w:name w:val="Balloon Text"/>
    <w:basedOn w:val="Standard"/>
    <w:semiHidden/>
    <w:rsid w:val="00EA28C2"/>
    <w:rPr>
      <w:rFonts w:ascii="Tahoma" w:hAnsi="Tahoma" w:cs="Tahoma"/>
      <w:sz w:val="16"/>
      <w:szCs w:val="16"/>
    </w:rPr>
  </w:style>
  <w:style w:type="character" w:styleId="Fett">
    <w:name w:val="Strong"/>
    <w:basedOn w:val="Absatz-Standardschriftart"/>
    <w:uiPriority w:val="22"/>
    <w:qFormat/>
    <w:rsid w:val="00544D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2397">
      <w:bodyDiv w:val="1"/>
      <w:marLeft w:val="0"/>
      <w:marRight w:val="0"/>
      <w:marTop w:val="0"/>
      <w:marBottom w:val="0"/>
      <w:divBdr>
        <w:top w:val="none" w:sz="0" w:space="0" w:color="auto"/>
        <w:left w:val="none" w:sz="0" w:space="0" w:color="auto"/>
        <w:bottom w:val="none" w:sz="0" w:space="0" w:color="auto"/>
        <w:right w:val="none" w:sz="0" w:space="0" w:color="auto"/>
      </w:divBdr>
    </w:div>
    <w:div w:id="12168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pb.de" TargetMode="Externa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CFC00-72F3-49CF-B7F6-AAD4DCCDE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1221</Words>
  <Characters>7694</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8898</CharactersWithSpaces>
  <SharedDoc>false</SharedDoc>
  <HLinks>
    <vt:vector size="6" baseType="variant">
      <vt:variant>
        <vt:i4>5</vt:i4>
      </vt:variant>
      <vt:variant>
        <vt:i4>0</vt:i4>
      </vt:variant>
      <vt:variant>
        <vt:i4>0</vt:i4>
      </vt:variant>
      <vt:variant>
        <vt:i4>5</vt:i4>
      </vt:variant>
      <vt:variant>
        <vt:lpwstr>http://www.ecb.int/stats/exchange/eurofxref/html/eurofxref-graph-gbp.en.html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4</cp:revision>
  <dcterms:created xsi:type="dcterms:W3CDTF">2017-09-11T11:27:00Z</dcterms:created>
  <dcterms:modified xsi:type="dcterms:W3CDTF">2017-09-18T12:49:00Z</dcterms:modified>
</cp:coreProperties>
</file>