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AFF5" w14:textId="406F9A99" w:rsidR="005E394A" w:rsidRPr="00155D0F" w:rsidRDefault="00810EDB" w:rsidP="00155D0F">
      <w:pPr>
        <w:pStyle w:val="Listenabsatz"/>
        <w:numPr>
          <w:ilvl w:val="0"/>
          <w:numId w:val="1"/>
        </w:numPr>
        <w:rPr>
          <w:rFonts w:ascii="Arial" w:hAnsi="Arial"/>
          <w:b/>
        </w:rPr>
      </w:pPr>
      <w:r w:rsidRPr="00155D0F">
        <w:rPr>
          <w:rFonts w:ascii="Arial" w:hAnsi="Arial"/>
          <w:b/>
        </w:rPr>
        <w:t>Die Wettbewerbsfähigkeit eines Standortes setzt sich aus</w:t>
      </w:r>
      <w:r w:rsidR="005E394A" w:rsidRPr="00155D0F">
        <w:rPr>
          <w:rFonts w:ascii="Arial" w:hAnsi="Arial"/>
          <w:b/>
        </w:rPr>
        <w:t xml:space="preserve"> sehr </w:t>
      </w:r>
      <w:r w:rsidRPr="00155D0F">
        <w:rPr>
          <w:rFonts w:ascii="Arial" w:hAnsi="Arial"/>
          <w:b/>
        </w:rPr>
        <w:t>vielen Faktoren zusammen</w:t>
      </w:r>
      <w:r w:rsidR="00B30562" w:rsidRPr="00155D0F">
        <w:rPr>
          <w:rFonts w:ascii="Arial" w:hAnsi="Arial"/>
          <w:b/>
        </w:rPr>
        <w:t xml:space="preserve"> – </w:t>
      </w:r>
      <w:r w:rsidR="00736359" w:rsidRPr="00155D0F">
        <w:rPr>
          <w:rFonts w:ascii="Arial" w:hAnsi="Arial"/>
          <w:b/>
        </w:rPr>
        <w:t>darunter die</w:t>
      </w:r>
      <w:r w:rsidR="00BA6CC3" w:rsidRPr="00155D0F">
        <w:rPr>
          <w:rFonts w:ascii="Arial" w:hAnsi="Arial"/>
          <w:b/>
        </w:rPr>
        <w:t xml:space="preserve"> </w:t>
      </w:r>
      <w:r w:rsidRPr="00155D0F">
        <w:rPr>
          <w:rFonts w:ascii="Arial" w:hAnsi="Arial"/>
          <w:b/>
        </w:rPr>
        <w:t xml:space="preserve">Infrastruktur, </w:t>
      </w:r>
      <w:r w:rsidR="008B552F" w:rsidRPr="00155D0F">
        <w:rPr>
          <w:rFonts w:ascii="Arial" w:hAnsi="Arial"/>
          <w:b/>
        </w:rPr>
        <w:t>staatliche Förderungen</w:t>
      </w:r>
      <w:r w:rsidR="00736359" w:rsidRPr="00155D0F">
        <w:rPr>
          <w:rFonts w:ascii="Arial" w:hAnsi="Arial"/>
          <w:b/>
        </w:rPr>
        <w:t xml:space="preserve"> und Auflagen</w:t>
      </w:r>
      <w:r w:rsidR="000730B7" w:rsidRPr="00155D0F">
        <w:rPr>
          <w:rFonts w:ascii="Arial" w:hAnsi="Arial"/>
          <w:b/>
        </w:rPr>
        <w:t>,</w:t>
      </w:r>
      <w:r w:rsidR="00B30562" w:rsidRPr="00155D0F">
        <w:rPr>
          <w:rFonts w:ascii="Arial" w:hAnsi="Arial"/>
          <w:b/>
        </w:rPr>
        <w:t xml:space="preserve"> </w:t>
      </w:r>
      <w:r w:rsidR="00736359" w:rsidRPr="00155D0F">
        <w:rPr>
          <w:rFonts w:ascii="Arial" w:hAnsi="Arial"/>
          <w:b/>
        </w:rPr>
        <w:t xml:space="preserve">die </w:t>
      </w:r>
      <w:r w:rsidR="00B30562" w:rsidRPr="00155D0F">
        <w:rPr>
          <w:rFonts w:ascii="Arial" w:hAnsi="Arial"/>
          <w:b/>
        </w:rPr>
        <w:t>V</w:t>
      </w:r>
      <w:r w:rsidR="00BA6CC3" w:rsidRPr="00155D0F">
        <w:rPr>
          <w:rFonts w:ascii="Arial" w:hAnsi="Arial"/>
          <w:b/>
        </w:rPr>
        <w:t>erfügbarkeit von</w:t>
      </w:r>
      <w:r w:rsidR="00DD40C5" w:rsidRPr="00155D0F">
        <w:rPr>
          <w:rFonts w:ascii="Arial" w:hAnsi="Arial"/>
          <w:b/>
        </w:rPr>
        <w:t xml:space="preserve"> </w:t>
      </w:r>
      <w:r w:rsidR="000730B7" w:rsidRPr="00155D0F">
        <w:rPr>
          <w:rFonts w:ascii="Arial" w:hAnsi="Arial"/>
          <w:b/>
        </w:rPr>
        <w:t>Fachkräften</w:t>
      </w:r>
      <w:r w:rsidR="00B30562" w:rsidRPr="00155D0F">
        <w:rPr>
          <w:rFonts w:ascii="Arial" w:hAnsi="Arial"/>
          <w:b/>
        </w:rPr>
        <w:t xml:space="preserve">, </w:t>
      </w:r>
      <w:r w:rsidR="00736359" w:rsidRPr="00155D0F">
        <w:rPr>
          <w:rFonts w:ascii="Arial" w:hAnsi="Arial"/>
          <w:b/>
        </w:rPr>
        <w:t xml:space="preserve">die </w:t>
      </w:r>
      <w:r w:rsidR="00B30562" w:rsidRPr="00155D0F">
        <w:rPr>
          <w:rFonts w:ascii="Arial" w:hAnsi="Arial"/>
          <w:b/>
        </w:rPr>
        <w:t>Nähe zu spezialisierten Unternehmen</w:t>
      </w:r>
      <w:r w:rsidR="005E394A" w:rsidRPr="00155D0F">
        <w:rPr>
          <w:rFonts w:ascii="Arial" w:hAnsi="Arial"/>
          <w:b/>
        </w:rPr>
        <w:t>, Forschungse</w:t>
      </w:r>
      <w:r w:rsidR="00B30562" w:rsidRPr="00155D0F">
        <w:rPr>
          <w:rFonts w:ascii="Arial" w:hAnsi="Arial"/>
          <w:b/>
        </w:rPr>
        <w:t>inrichtungen</w:t>
      </w:r>
      <w:r w:rsidR="005E394A" w:rsidRPr="00155D0F">
        <w:rPr>
          <w:rFonts w:ascii="Arial" w:hAnsi="Arial"/>
          <w:b/>
        </w:rPr>
        <w:t xml:space="preserve"> und </w:t>
      </w:r>
      <w:r w:rsidR="008B552F" w:rsidRPr="00155D0F">
        <w:rPr>
          <w:rFonts w:ascii="Arial" w:hAnsi="Arial"/>
          <w:b/>
        </w:rPr>
        <w:t>M</w:t>
      </w:r>
      <w:r w:rsidR="005E394A" w:rsidRPr="00155D0F">
        <w:rPr>
          <w:rFonts w:ascii="Arial" w:hAnsi="Arial"/>
          <w:b/>
        </w:rPr>
        <w:t>ä</w:t>
      </w:r>
      <w:r w:rsidR="008B552F" w:rsidRPr="00155D0F">
        <w:rPr>
          <w:rFonts w:ascii="Arial" w:hAnsi="Arial"/>
          <w:b/>
        </w:rPr>
        <w:t>rkten</w:t>
      </w:r>
      <w:r w:rsidR="000730B7" w:rsidRPr="00155D0F">
        <w:rPr>
          <w:rFonts w:ascii="Arial" w:hAnsi="Arial"/>
          <w:b/>
        </w:rPr>
        <w:t xml:space="preserve"> </w:t>
      </w:r>
      <w:r w:rsidR="008B552F" w:rsidRPr="00155D0F">
        <w:rPr>
          <w:rFonts w:ascii="Arial" w:hAnsi="Arial"/>
          <w:b/>
        </w:rPr>
        <w:t xml:space="preserve">oder </w:t>
      </w:r>
      <w:r w:rsidR="00B30562" w:rsidRPr="00155D0F">
        <w:rPr>
          <w:rFonts w:ascii="Arial" w:hAnsi="Arial"/>
          <w:b/>
        </w:rPr>
        <w:t xml:space="preserve">auch </w:t>
      </w:r>
      <w:r w:rsidR="000730B7" w:rsidRPr="00155D0F">
        <w:rPr>
          <w:rFonts w:ascii="Arial" w:hAnsi="Arial"/>
          <w:b/>
        </w:rPr>
        <w:t xml:space="preserve">das </w:t>
      </w:r>
      <w:r w:rsidR="00736359" w:rsidRPr="00155D0F">
        <w:rPr>
          <w:rFonts w:ascii="Arial" w:hAnsi="Arial"/>
          <w:b/>
        </w:rPr>
        <w:t>Lohnniveau</w:t>
      </w:r>
      <w:r w:rsidRPr="00155D0F">
        <w:rPr>
          <w:rFonts w:ascii="Arial" w:hAnsi="Arial"/>
          <w:b/>
        </w:rPr>
        <w:t>.</w:t>
      </w:r>
    </w:p>
    <w:p w14:paraId="486EED68" w14:textId="77777777" w:rsidR="005E394A" w:rsidRDefault="005E394A" w:rsidP="00026BF0">
      <w:pPr>
        <w:rPr>
          <w:rFonts w:ascii="Arial" w:hAnsi="Arial"/>
          <w:b/>
        </w:rPr>
      </w:pPr>
    </w:p>
    <w:p w14:paraId="2743B9D1" w14:textId="77777777" w:rsidR="00736359" w:rsidRPr="00155D0F" w:rsidRDefault="00810EDB" w:rsidP="00155D0F">
      <w:pPr>
        <w:pStyle w:val="Listenabsatz"/>
        <w:numPr>
          <w:ilvl w:val="0"/>
          <w:numId w:val="1"/>
        </w:numPr>
        <w:rPr>
          <w:rFonts w:ascii="Arial" w:hAnsi="Arial"/>
          <w:b/>
        </w:rPr>
      </w:pPr>
      <w:r w:rsidRPr="00155D0F">
        <w:rPr>
          <w:rFonts w:ascii="Arial" w:hAnsi="Arial"/>
          <w:b/>
        </w:rPr>
        <w:t>Bei eine</w:t>
      </w:r>
      <w:r w:rsidR="009063F2" w:rsidRPr="00155D0F">
        <w:rPr>
          <w:rFonts w:ascii="Arial" w:hAnsi="Arial"/>
          <w:b/>
        </w:rPr>
        <w:t xml:space="preserve">m Vergleich </w:t>
      </w:r>
      <w:r w:rsidRPr="00155D0F">
        <w:rPr>
          <w:rFonts w:ascii="Arial" w:hAnsi="Arial"/>
          <w:b/>
        </w:rPr>
        <w:t xml:space="preserve">der Lohnkosten sollten </w:t>
      </w:r>
      <w:r w:rsidR="000730B7" w:rsidRPr="00155D0F">
        <w:rPr>
          <w:rFonts w:ascii="Arial" w:hAnsi="Arial"/>
          <w:b/>
        </w:rPr>
        <w:t xml:space="preserve">die </w:t>
      </w:r>
      <w:r w:rsidRPr="00155D0F">
        <w:rPr>
          <w:rFonts w:ascii="Arial" w:hAnsi="Arial"/>
          <w:b/>
        </w:rPr>
        <w:t>Lohnstückkosten</w:t>
      </w:r>
      <w:r w:rsidR="000730B7" w:rsidRPr="00155D0F">
        <w:rPr>
          <w:rFonts w:ascii="Arial" w:hAnsi="Arial"/>
          <w:b/>
        </w:rPr>
        <w:t xml:space="preserve"> </w:t>
      </w:r>
      <w:r w:rsidR="009063F2" w:rsidRPr="00155D0F">
        <w:rPr>
          <w:rFonts w:ascii="Arial" w:hAnsi="Arial"/>
          <w:b/>
        </w:rPr>
        <w:t>betrachtet</w:t>
      </w:r>
      <w:r w:rsidRPr="00155D0F">
        <w:rPr>
          <w:rFonts w:ascii="Arial" w:hAnsi="Arial"/>
          <w:b/>
        </w:rPr>
        <w:t xml:space="preserve"> werden</w:t>
      </w:r>
      <w:r w:rsidR="000730B7" w:rsidRPr="00155D0F">
        <w:rPr>
          <w:rFonts w:ascii="Arial" w:hAnsi="Arial"/>
          <w:b/>
        </w:rPr>
        <w:t xml:space="preserve">, da </w:t>
      </w:r>
      <w:r w:rsidR="00736359" w:rsidRPr="00155D0F">
        <w:rPr>
          <w:rFonts w:ascii="Arial" w:hAnsi="Arial"/>
          <w:b/>
        </w:rPr>
        <w:t xml:space="preserve">hier </w:t>
      </w:r>
      <w:r w:rsidRPr="00155D0F">
        <w:rPr>
          <w:rFonts w:ascii="Arial" w:hAnsi="Arial"/>
          <w:b/>
        </w:rPr>
        <w:t xml:space="preserve">die Lohnkosten ins Verhältnis zur Arbeitsproduktivität </w:t>
      </w:r>
      <w:r w:rsidR="000730B7" w:rsidRPr="00155D0F">
        <w:rPr>
          <w:rFonts w:ascii="Arial" w:hAnsi="Arial"/>
          <w:b/>
        </w:rPr>
        <w:t>ge</w:t>
      </w:r>
      <w:r w:rsidRPr="00155D0F">
        <w:rPr>
          <w:rFonts w:ascii="Arial" w:hAnsi="Arial"/>
          <w:b/>
        </w:rPr>
        <w:t>setzt</w:t>
      </w:r>
      <w:r w:rsidR="000730B7" w:rsidRPr="00155D0F">
        <w:rPr>
          <w:rFonts w:ascii="Arial" w:hAnsi="Arial"/>
          <w:b/>
        </w:rPr>
        <w:t xml:space="preserve"> werden</w:t>
      </w:r>
      <w:r w:rsidR="00DD40C5" w:rsidRPr="00155D0F">
        <w:rPr>
          <w:rFonts w:ascii="Arial" w:hAnsi="Arial"/>
          <w:b/>
        </w:rPr>
        <w:t xml:space="preserve"> – hohe Lohnkosten können dabei durch hohe P</w:t>
      </w:r>
      <w:r w:rsidRPr="00155D0F">
        <w:rPr>
          <w:rFonts w:ascii="Arial" w:hAnsi="Arial"/>
          <w:b/>
        </w:rPr>
        <w:t xml:space="preserve">roduktivität </w:t>
      </w:r>
      <w:r w:rsidR="00DD40C5" w:rsidRPr="00155D0F">
        <w:rPr>
          <w:rFonts w:ascii="Arial" w:hAnsi="Arial"/>
          <w:b/>
        </w:rPr>
        <w:t>ausgeglichen werden</w:t>
      </w:r>
      <w:r w:rsidRPr="00155D0F">
        <w:rPr>
          <w:rFonts w:ascii="Arial" w:hAnsi="Arial"/>
          <w:b/>
        </w:rPr>
        <w:t>.</w:t>
      </w:r>
    </w:p>
    <w:p w14:paraId="620E7FBF" w14:textId="77777777" w:rsidR="00736359" w:rsidRDefault="00736359" w:rsidP="00026BF0">
      <w:pPr>
        <w:rPr>
          <w:rFonts w:ascii="Arial" w:hAnsi="Arial"/>
          <w:b/>
        </w:rPr>
      </w:pPr>
    </w:p>
    <w:p w14:paraId="1A598904" w14:textId="7BC62395" w:rsidR="00736359" w:rsidRDefault="00736359" w:rsidP="00155D0F">
      <w:pPr>
        <w:pStyle w:val="Listenabsatz"/>
        <w:numPr>
          <w:ilvl w:val="0"/>
          <w:numId w:val="1"/>
        </w:numPr>
        <w:rPr>
          <w:rFonts w:ascii="Arial" w:hAnsi="Arial" w:cs="Arial"/>
          <w:b/>
          <w:bCs/>
        </w:rPr>
      </w:pPr>
      <w:r w:rsidRPr="00155D0F">
        <w:rPr>
          <w:rFonts w:ascii="Arial" w:hAnsi="Arial" w:cs="Arial"/>
          <w:b/>
          <w:bCs/>
        </w:rPr>
        <w:t>Laut OECD sind die Lohnstückkosten Deutschlands zwischen dem Jahr 2015 und 2024 um etwa ein Drittel gestiegen – wie auch im Vereinigten Königreich, in den Niederlanden, in Norwegen, Schweden und den USA.</w:t>
      </w:r>
    </w:p>
    <w:p w14:paraId="067C5951" w14:textId="77777777" w:rsidR="009242D6" w:rsidRPr="009242D6" w:rsidRDefault="009242D6" w:rsidP="009242D6">
      <w:pPr>
        <w:pStyle w:val="Listenabsatz"/>
        <w:rPr>
          <w:rFonts w:ascii="Arial" w:hAnsi="Arial" w:cs="Arial"/>
          <w:b/>
          <w:bCs/>
        </w:rPr>
      </w:pPr>
    </w:p>
    <w:p w14:paraId="44A8456E" w14:textId="17312C87" w:rsidR="009242D6" w:rsidRPr="009242D6" w:rsidRDefault="009242D6" w:rsidP="009242D6">
      <w:pPr>
        <w:pStyle w:val="Listenabsatz"/>
        <w:numPr>
          <w:ilvl w:val="0"/>
          <w:numId w:val="1"/>
        </w:numPr>
        <w:rPr>
          <w:rFonts w:ascii="Arial" w:hAnsi="Arial" w:cs="Arial"/>
          <w:b/>
          <w:bCs/>
        </w:rPr>
      </w:pPr>
      <w:r w:rsidRPr="009242D6">
        <w:rPr>
          <w:rFonts w:ascii="Arial" w:hAnsi="Arial" w:cs="Arial"/>
          <w:b/>
          <w:bCs/>
        </w:rPr>
        <w:t xml:space="preserve">Im Jahr 2024 lagen die Lohnstückkosten Deutschlands (Index = 100) deutlich höher als beispielsweise </w:t>
      </w:r>
      <w:r w:rsidR="00204ECB">
        <w:rPr>
          <w:rFonts w:ascii="Arial" w:hAnsi="Arial" w:cs="Arial"/>
          <w:b/>
          <w:bCs/>
        </w:rPr>
        <w:t xml:space="preserve">in </w:t>
      </w:r>
      <w:r w:rsidRPr="009242D6">
        <w:rPr>
          <w:rFonts w:ascii="Arial" w:hAnsi="Arial" w:cs="Arial"/>
          <w:b/>
          <w:bCs/>
        </w:rPr>
        <w:t>den USA (68) oder Japan (76).</w:t>
      </w:r>
    </w:p>
    <w:p w14:paraId="45BE422C" w14:textId="77777777" w:rsidR="00736359" w:rsidRDefault="00736359" w:rsidP="00026BF0">
      <w:pPr>
        <w:rPr>
          <w:rFonts w:ascii="Arial" w:hAnsi="Arial"/>
          <w:b/>
        </w:rPr>
      </w:pPr>
    </w:p>
    <w:p w14:paraId="7140500A" w14:textId="77777777" w:rsidR="00242CDA" w:rsidRDefault="00DF68DE">
      <w:pPr>
        <w:rPr>
          <w:rFonts w:ascii="Arial" w:hAnsi="Arial"/>
          <w:color w:val="FF0000"/>
        </w:rPr>
      </w:pPr>
      <w:r>
        <w:rPr>
          <w:rFonts w:ascii="Arial" w:hAnsi="Arial"/>
          <w:color w:val="FF0000"/>
        </w:rPr>
        <w:t>Fakten</w:t>
      </w:r>
    </w:p>
    <w:p w14:paraId="4B4B8CB0" w14:textId="77777777" w:rsidR="00DF68DE" w:rsidRPr="009F2CC5" w:rsidRDefault="00DF68DE">
      <w:pPr>
        <w:rPr>
          <w:rFonts w:ascii="Arial" w:hAnsi="Arial"/>
        </w:rPr>
      </w:pPr>
    </w:p>
    <w:p w14:paraId="2C611BEC" w14:textId="3357ED74" w:rsidR="00ED5FB9" w:rsidRDefault="004765D4" w:rsidP="00793FBE">
      <w:pPr>
        <w:rPr>
          <w:rFonts w:ascii="Arial" w:hAnsi="Arial" w:cs="Arial"/>
        </w:rPr>
      </w:pPr>
      <w:r w:rsidRPr="005B6F96">
        <w:rPr>
          <w:rFonts w:ascii="Arial" w:hAnsi="Arial" w:cs="Arial"/>
        </w:rPr>
        <w:t>Ein Thema</w:t>
      </w:r>
      <w:r w:rsidR="005B6F96" w:rsidRPr="005B6F96">
        <w:rPr>
          <w:rFonts w:ascii="Arial" w:hAnsi="Arial" w:cs="Arial"/>
        </w:rPr>
        <w:t xml:space="preserve">, das untrennbar mit dem </w:t>
      </w:r>
      <w:r w:rsidRPr="005B6F96">
        <w:rPr>
          <w:rFonts w:ascii="Arial" w:hAnsi="Arial" w:cs="Arial"/>
        </w:rPr>
        <w:t>Globalisierungs</w:t>
      </w:r>
      <w:r w:rsidR="005B6F96" w:rsidRPr="005B6F96">
        <w:rPr>
          <w:rFonts w:ascii="Arial" w:hAnsi="Arial" w:cs="Arial"/>
        </w:rPr>
        <w:t xml:space="preserve">prozess verbunden ist, </w:t>
      </w:r>
      <w:r w:rsidRPr="005B6F96">
        <w:rPr>
          <w:rFonts w:ascii="Arial" w:hAnsi="Arial" w:cs="Arial"/>
        </w:rPr>
        <w:t xml:space="preserve">ist der Standortwettbewerb. Aber schon </w:t>
      </w:r>
      <w:r w:rsidR="007D65F1" w:rsidRPr="005B6F96">
        <w:rPr>
          <w:rFonts w:ascii="Arial" w:hAnsi="Arial" w:cs="Arial"/>
        </w:rPr>
        <w:t xml:space="preserve">auf </w:t>
      </w:r>
      <w:r w:rsidRPr="005B6F96">
        <w:rPr>
          <w:rFonts w:ascii="Arial" w:hAnsi="Arial" w:cs="Arial"/>
        </w:rPr>
        <w:t xml:space="preserve">die Frage, wie die Wettbewerbsfähigkeit eines Standortes zu messen ist, </w:t>
      </w:r>
      <w:r w:rsidR="005B6F96" w:rsidRPr="005B6F96">
        <w:rPr>
          <w:rFonts w:ascii="Arial" w:hAnsi="Arial" w:cs="Arial"/>
        </w:rPr>
        <w:t>besteht keine Einigkeit</w:t>
      </w:r>
      <w:r w:rsidR="008D4C5B" w:rsidRPr="005B6F96">
        <w:rPr>
          <w:rFonts w:ascii="Arial" w:hAnsi="Arial" w:cs="Arial"/>
        </w:rPr>
        <w:t>. Fest steht lediglich, dass bei der Beurteilung der Wettbewerbsfähigkeit mehrere Faktoren berücksichtigt werden müssen</w:t>
      </w:r>
      <w:r w:rsidR="009915BA" w:rsidRPr="005B6F96">
        <w:rPr>
          <w:rFonts w:ascii="Arial" w:hAnsi="Arial" w:cs="Arial"/>
        </w:rPr>
        <w:t>.</w:t>
      </w:r>
      <w:r w:rsidR="00ED5FB9" w:rsidRPr="005B6F96">
        <w:rPr>
          <w:rFonts w:ascii="Arial" w:hAnsi="Arial" w:cs="Arial"/>
        </w:rPr>
        <w:t xml:space="preserve"> Ü</w:t>
      </w:r>
      <w:r w:rsidRPr="005B6F96">
        <w:rPr>
          <w:rFonts w:ascii="Arial" w:hAnsi="Arial" w:cs="Arial"/>
        </w:rPr>
        <w:t xml:space="preserve">ber die Wettbewerbsfähigkeit eines Standortes bestimmen unter anderem die infrastrukturellen Voraussetzungen (Kommunikationsnetze, Verkehrswege, Umschlagplätze, Logistiknetzwerke, Transport- und Energiekosten etc.), die Forschungsbedingungen, das </w:t>
      </w:r>
      <w:r w:rsidR="005B6F96">
        <w:rPr>
          <w:rFonts w:ascii="Arial" w:hAnsi="Arial" w:cs="Arial"/>
        </w:rPr>
        <w:t xml:space="preserve">allgemeine </w:t>
      </w:r>
      <w:r w:rsidRPr="005B6F96">
        <w:rPr>
          <w:rFonts w:ascii="Arial" w:hAnsi="Arial" w:cs="Arial"/>
        </w:rPr>
        <w:t>Ausbildungsniveau, der Aufbau und die Flexibilität der staatlichen Bürokratie, staatliche Förderungen, gesetzliche Auflagen</w:t>
      </w:r>
      <w:r w:rsidR="005B6F96">
        <w:rPr>
          <w:rFonts w:ascii="Arial" w:hAnsi="Arial" w:cs="Arial"/>
        </w:rPr>
        <w:t>,</w:t>
      </w:r>
      <w:r w:rsidRPr="005B6F96">
        <w:rPr>
          <w:rFonts w:ascii="Arial" w:hAnsi="Arial" w:cs="Arial"/>
        </w:rPr>
        <w:t xml:space="preserve"> die </w:t>
      </w:r>
      <w:r w:rsidR="005B6F96" w:rsidRPr="005B6F96">
        <w:rPr>
          <w:rFonts w:ascii="Arial" w:hAnsi="Arial" w:cs="Arial"/>
        </w:rPr>
        <w:t xml:space="preserve">Höhe der </w:t>
      </w:r>
      <w:r w:rsidRPr="005B6F96">
        <w:rPr>
          <w:rFonts w:ascii="Arial" w:hAnsi="Arial" w:cs="Arial"/>
        </w:rPr>
        <w:t>Steuer</w:t>
      </w:r>
      <w:r w:rsidR="005B6F96" w:rsidRPr="005B6F96">
        <w:rPr>
          <w:rFonts w:ascii="Arial" w:hAnsi="Arial" w:cs="Arial"/>
        </w:rPr>
        <w:t xml:space="preserve">n </w:t>
      </w:r>
      <w:r w:rsidRPr="005B6F96">
        <w:rPr>
          <w:rFonts w:ascii="Arial" w:hAnsi="Arial" w:cs="Arial"/>
        </w:rPr>
        <w:t>und Abgaben</w:t>
      </w:r>
      <w:r w:rsidR="005B6F96" w:rsidRPr="005B6F96">
        <w:rPr>
          <w:rFonts w:ascii="Arial" w:hAnsi="Arial" w:cs="Arial"/>
        </w:rPr>
        <w:t xml:space="preserve"> </w:t>
      </w:r>
      <w:r w:rsidRPr="005B6F96">
        <w:rPr>
          <w:rFonts w:ascii="Arial" w:hAnsi="Arial" w:cs="Arial"/>
        </w:rPr>
        <w:t>sowie das Lohnniveau und andere Kostenfaktoren</w:t>
      </w:r>
      <w:r w:rsidR="00ED5FB9" w:rsidRPr="005B6F96">
        <w:rPr>
          <w:rFonts w:ascii="Arial" w:hAnsi="Arial" w:cs="Arial"/>
        </w:rPr>
        <w:t>.</w:t>
      </w:r>
    </w:p>
    <w:p w14:paraId="6B0774BA" w14:textId="77777777" w:rsidR="005E394A" w:rsidRDefault="005E394A" w:rsidP="00793FBE">
      <w:pPr>
        <w:rPr>
          <w:rFonts w:ascii="Arial" w:hAnsi="Arial" w:cs="Arial"/>
        </w:rPr>
      </w:pPr>
    </w:p>
    <w:p w14:paraId="50297C27" w14:textId="4DD8F622" w:rsidR="00ED5FB9" w:rsidRDefault="008D4C5B" w:rsidP="009915BA">
      <w:pPr>
        <w:rPr>
          <w:rFonts w:ascii="Arial" w:hAnsi="Arial" w:cs="Arial"/>
        </w:rPr>
      </w:pPr>
      <w:r w:rsidRPr="00F0316B">
        <w:rPr>
          <w:rFonts w:ascii="Arial" w:hAnsi="Arial" w:cs="Arial"/>
        </w:rPr>
        <w:t xml:space="preserve">Traditionelle Unternehmens- und Marktverflechtungen, der Zugang und die Nähe zu großen oder neuen Märkten, natürliche Ressourcen bzw. die Verfügbarkeit von Rohstoffen, räumliche Voraussetzungen, die Einkommens- und Vermögensstruktur, politische und rechtsstaatliche Stabilität, </w:t>
      </w:r>
      <w:r w:rsidR="00876540">
        <w:rPr>
          <w:rFonts w:ascii="Arial" w:hAnsi="Arial" w:cs="Arial"/>
        </w:rPr>
        <w:t>Marktzugangsbeschränkungen,</w:t>
      </w:r>
      <w:r w:rsidR="00876540" w:rsidRPr="00F0316B">
        <w:rPr>
          <w:rFonts w:ascii="Arial" w:hAnsi="Arial" w:cs="Arial"/>
        </w:rPr>
        <w:t xml:space="preserve"> </w:t>
      </w:r>
      <w:r w:rsidRPr="00F0316B">
        <w:rPr>
          <w:rFonts w:ascii="Arial" w:hAnsi="Arial" w:cs="Arial"/>
        </w:rPr>
        <w:t xml:space="preserve">das Image eines Standortes sowie das Vorhandensein von spezialisierten Unternehmen und Fachkräften beeinflussen ebenfalls die Investitionsentscheidungen. Und ob wiederum die Fachkräfte an einen Standort gebunden werden können, hängt </w:t>
      </w:r>
      <w:r w:rsidR="00843C2C" w:rsidRPr="00F0316B">
        <w:rPr>
          <w:rFonts w:ascii="Arial" w:hAnsi="Arial" w:cs="Arial"/>
        </w:rPr>
        <w:t xml:space="preserve">nicht nur von den </w:t>
      </w:r>
      <w:r w:rsidRPr="00F0316B">
        <w:rPr>
          <w:rFonts w:ascii="Arial" w:hAnsi="Arial" w:cs="Arial"/>
        </w:rPr>
        <w:t xml:space="preserve">ökonomischen Voraussetzungen </w:t>
      </w:r>
      <w:r w:rsidR="00843C2C" w:rsidRPr="00F0316B">
        <w:rPr>
          <w:rFonts w:ascii="Arial" w:hAnsi="Arial" w:cs="Arial"/>
        </w:rPr>
        <w:t xml:space="preserve">ab. Auf individueller Ebene entscheidet auch das </w:t>
      </w:r>
      <w:r w:rsidRPr="00F0316B">
        <w:rPr>
          <w:rFonts w:ascii="Arial" w:hAnsi="Arial" w:cs="Arial"/>
        </w:rPr>
        <w:t>Wohnumfeld, d</w:t>
      </w:r>
      <w:r w:rsidR="00843C2C" w:rsidRPr="00F0316B">
        <w:rPr>
          <w:rFonts w:ascii="Arial" w:hAnsi="Arial" w:cs="Arial"/>
        </w:rPr>
        <w:t>ie</w:t>
      </w:r>
      <w:r w:rsidRPr="00F0316B">
        <w:rPr>
          <w:rFonts w:ascii="Arial" w:hAnsi="Arial" w:cs="Arial"/>
        </w:rPr>
        <w:t xml:space="preserve"> Umweltqualität, d</w:t>
      </w:r>
      <w:r w:rsidR="00843C2C" w:rsidRPr="00F0316B">
        <w:rPr>
          <w:rFonts w:ascii="Arial" w:hAnsi="Arial" w:cs="Arial"/>
        </w:rPr>
        <w:t>i</w:t>
      </w:r>
      <w:r w:rsidRPr="00F0316B">
        <w:rPr>
          <w:rFonts w:ascii="Arial" w:hAnsi="Arial" w:cs="Arial"/>
        </w:rPr>
        <w:t>e medizinische Versorgung</w:t>
      </w:r>
      <w:r w:rsidR="00843C2C" w:rsidRPr="00F0316B">
        <w:rPr>
          <w:rFonts w:ascii="Arial" w:hAnsi="Arial" w:cs="Arial"/>
        </w:rPr>
        <w:t xml:space="preserve"> sowie </w:t>
      </w:r>
      <w:r w:rsidRPr="00F0316B">
        <w:rPr>
          <w:rFonts w:ascii="Arial" w:hAnsi="Arial" w:cs="Arial"/>
        </w:rPr>
        <w:t>d</w:t>
      </w:r>
      <w:r w:rsidR="00843C2C" w:rsidRPr="00F0316B">
        <w:rPr>
          <w:rFonts w:ascii="Arial" w:hAnsi="Arial" w:cs="Arial"/>
        </w:rPr>
        <w:t xml:space="preserve">as </w:t>
      </w:r>
      <w:r w:rsidRPr="00F0316B">
        <w:rPr>
          <w:rFonts w:ascii="Arial" w:hAnsi="Arial" w:cs="Arial"/>
        </w:rPr>
        <w:t>Fürsorge</w:t>
      </w:r>
      <w:r w:rsidR="00843C2C" w:rsidRPr="00F0316B">
        <w:rPr>
          <w:rFonts w:ascii="Arial" w:hAnsi="Arial" w:cs="Arial"/>
        </w:rPr>
        <w:t xml:space="preserve">-, </w:t>
      </w:r>
      <w:r w:rsidRPr="00F0316B">
        <w:rPr>
          <w:rFonts w:ascii="Arial" w:hAnsi="Arial" w:cs="Arial"/>
        </w:rPr>
        <w:t>Bildungs-, Kultur- und Freizeitangebot</w:t>
      </w:r>
      <w:r w:rsidR="00843C2C" w:rsidRPr="00F0316B">
        <w:rPr>
          <w:rFonts w:ascii="Arial" w:hAnsi="Arial" w:cs="Arial"/>
        </w:rPr>
        <w:t>.</w:t>
      </w:r>
      <w:r w:rsidR="00F0316B" w:rsidRPr="00F0316B">
        <w:rPr>
          <w:rFonts w:ascii="Arial" w:hAnsi="Arial" w:cs="Arial"/>
        </w:rPr>
        <w:t xml:space="preserve"> Bei Personen, die sich auf dem g</w:t>
      </w:r>
      <w:r w:rsidR="00843C2C" w:rsidRPr="00F0316B">
        <w:rPr>
          <w:rFonts w:ascii="Arial" w:hAnsi="Arial" w:cs="Arial"/>
        </w:rPr>
        <w:t xml:space="preserve">lobalen Arbeitsmarkt </w:t>
      </w:r>
      <w:r w:rsidR="00F0316B" w:rsidRPr="00F0316B">
        <w:rPr>
          <w:rFonts w:ascii="Arial" w:hAnsi="Arial" w:cs="Arial"/>
        </w:rPr>
        <w:t xml:space="preserve">bewegen, </w:t>
      </w:r>
      <w:r w:rsidR="00843C2C" w:rsidRPr="00F0316B">
        <w:rPr>
          <w:rFonts w:ascii="Arial" w:hAnsi="Arial" w:cs="Arial"/>
        </w:rPr>
        <w:t xml:space="preserve">können die politischen Präferenzen </w:t>
      </w:r>
      <w:r w:rsidR="00A37A21">
        <w:rPr>
          <w:rFonts w:ascii="Arial" w:hAnsi="Arial" w:cs="Arial"/>
        </w:rPr>
        <w:t xml:space="preserve">– zum Beispiel </w:t>
      </w:r>
      <w:r w:rsidR="00F0316B" w:rsidRPr="00F0316B">
        <w:rPr>
          <w:rFonts w:ascii="Arial" w:hAnsi="Arial" w:cs="Arial"/>
        </w:rPr>
        <w:t xml:space="preserve">bezogen </w:t>
      </w:r>
      <w:r w:rsidR="00843C2C" w:rsidRPr="00F0316B">
        <w:rPr>
          <w:rFonts w:ascii="Arial" w:hAnsi="Arial" w:cs="Arial"/>
        </w:rPr>
        <w:t xml:space="preserve">auf </w:t>
      </w:r>
      <w:r w:rsidR="00876540" w:rsidRPr="00F0316B">
        <w:rPr>
          <w:rFonts w:ascii="Arial" w:hAnsi="Arial" w:cs="Arial"/>
        </w:rPr>
        <w:t>d</w:t>
      </w:r>
      <w:r w:rsidR="00843C2C" w:rsidRPr="00F0316B">
        <w:rPr>
          <w:rFonts w:ascii="Arial" w:hAnsi="Arial" w:cs="Arial"/>
        </w:rPr>
        <w:t>i</w:t>
      </w:r>
      <w:r w:rsidR="00876540" w:rsidRPr="00F0316B">
        <w:rPr>
          <w:rFonts w:ascii="Arial" w:hAnsi="Arial" w:cs="Arial"/>
        </w:rPr>
        <w:t>e</w:t>
      </w:r>
      <w:r w:rsidR="00843C2C" w:rsidRPr="00F0316B">
        <w:rPr>
          <w:rFonts w:ascii="Arial" w:hAnsi="Arial" w:cs="Arial"/>
        </w:rPr>
        <w:t xml:space="preserve"> eigene Freiheit oder die Staatsform </w:t>
      </w:r>
      <w:r w:rsidR="00A37A21">
        <w:rPr>
          <w:rFonts w:ascii="Arial" w:hAnsi="Arial" w:cs="Arial"/>
        </w:rPr>
        <w:t xml:space="preserve">– </w:t>
      </w:r>
      <w:r w:rsidR="00843C2C" w:rsidRPr="00F0316B">
        <w:rPr>
          <w:rFonts w:ascii="Arial" w:hAnsi="Arial" w:cs="Arial"/>
        </w:rPr>
        <w:t>ein weitere</w:t>
      </w:r>
      <w:r w:rsidR="00F0316B" w:rsidRPr="00F0316B">
        <w:rPr>
          <w:rFonts w:ascii="Arial" w:hAnsi="Arial" w:cs="Arial"/>
        </w:rPr>
        <w:t>r</w:t>
      </w:r>
      <w:r w:rsidR="00843C2C" w:rsidRPr="00F0316B">
        <w:rPr>
          <w:rFonts w:ascii="Arial" w:hAnsi="Arial" w:cs="Arial"/>
        </w:rPr>
        <w:t xml:space="preserve"> Faktor </w:t>
      </w:r>
      <w:r w:rsidR="00F0316B" w:rsidRPr="00F0316B">
        <w:rPr>
          <w:rFonts w:ascii="Arial" w:hAnsi="Arial" w:cs="Arial"/>
        </w:rPr>
        <w:t>sein</w:t>
      </w:r>
      <w:r w:rsidR="00876540" w:rsidRPr="00F0316B">
        <w:rPr>
          <w:rFonts w:ascii="Arial" w:hAnsi="Arial" w:cs="Arial"/>
        </w:rPr>
        <w:t>.</w:t>
      </w:r>
    </w:p>
    <w:p w14:paraId="7456589F" w14:textId="77777777" w:rsidR="00A37A21" w:rsidRDefault="00A37A21" w:rsidP="009915BA">
      <w:pPr>
        <w:rPr>
          <w:rFonts w:ascii="Arial" w:hAnsi="Arial" w:cs="Arial"/>
        </w:rPr>
      </w:pPr>
    </w:p>
    <w:p w14:paraId="7D752950" w14:textId="77777777" w:rsidR="005E394A" w:rsidRDefault="004765D4" w:rsidP="003A0C00">
      <w:pPr>
        <w:rPr>
          <w:rFonts w:ascii="Arial" w:hAnsi="Arial" w:cs="Arial"/>
        </w:rPr>
      </w:pPr>
      <w:r w:rsidRPr="00277232">
        <w:rPr>
          <w:rFonts w:ascii="Arial" w:hAnsi="Arial" w:cs="Arial"/>
        </w:rPr>
        <w:t>Ob und warum sich Unternehmen an einem Standort niederlassen</w:t>
      </w:r>
      <w:r w:rsidR="00DB6D83">
        <w:rPr>
          <w:rFonts w:ascii="Arial" w:hAnsi="Arial" w:cs="Arial"/>
        </w:rPr>
        <w:t xml:space="preserve"> oder dort investieren</w:t>
      </w:r>
      <w:r w:rsidRPr="00277232">
        <w:rPr>
          <w:rFonts w:ascii="Arial" w:hAnsi="Arial" w:cs="Arial"/>
        </w:rPr>
        <w:t xml:space="preserve">, ist von großem Interesse für politische Entscheidungen, da die Standortwahl </w:t>
      </w:r>
      <w:r w:rsidR="003A0C00">
        <w:rPr>
          <w:rFonts w:ascii="Arial" w:hAnsi="Arial" w:cs="Arial"/>
        </w:rPr>
        <w:t xml:space="preserve">sowohl </w:t>
      </w:r>
      <w:r w:rsidRPr="00277232">
        <w:rPr>
          <w:rFonts w:ascii="Arial" w:hAnsi="Arial" w:cs="Arial"/>
        </w:rPr>
        <w:t xml:space="preserve">unmittelbare </w:t>
      </w:r>
      <w:r w:rsidR="003A0C00">
        <w:rPr>
          <w:rFonts w:ascii="Arial" w:hAnsi="Arial" w:cs="Arial"/>
        </w:rPr>
        <w:t xml:space="preserve">als auch </w:t>
      </w:r>
      <w:r w:rsidR="00DB6D83">
        <w:rPr>
          <w:rFonts w:ascii="Arial" w:hAnsi="Arial" w:cs="Arial"/>
        </w:rPr>
        <w:t xml:space="preserve">langfristige </w:t>
      </w:r>
      <w:r w:rsidRPr="00277232">
        <w:rPr>
          <w:rFonts w:ascii="Arial" w:hAnsi="Arial" w:cs="Arial"/>
        </w:rPr>
        <w:t xml:space="preserve">Auswirkungen auf </w:t>
      </w:r>
      <w:r w:rsidR="00DB6D83">
        <w:rPr>
          <w:rFonts w:ascii="Arial" w:hAnsi="Arial" w:cs="Arial"/>
        </w:rPr>
        <w:t>Einkommen</w:t>
      </w:r>
      <w:r w:rsidRPr="00277232">
        <w:rPr>
          <w:rFonts w:ascii="Arial" w:hAnsi="Arial" w:cs="Arial"/>
        </w:rPr>
        <w:t xml:space="preserve">, Steuereinnahmen und </w:t>
      </w:r>
      <w:r w:rsidR="00DB6D83">
        <w:rPr>
          <w:rFonts w:ascii="Arial" w:hAnsi="Arial" w:cs="Arial"/>
        </w:rPr>
        <w:t xml:space="preserve">Innovationen </w:t>
      </w:r>
      <w:r w:rsidRPr="00277232">
        <w:rPr>
          <w:rFonts w:ascii="Arial" w:hAnsi="Arial" w:cs="Arial"/>
        </w:rPr>
        <w:t>ha</w:t>
      </w:r>
      <w:r w:rsidR="003A0C00">
        <w:rPr>
          <w:rFonts w:ascii="Arial" w:hAnsi="Arial" w:cs="Arial"/>
        </w:rPr>
        <w:t>ben kann</w:t>
      </w:r>
      <w:r w:rsidR="00ED5FB9" w:rsidRPr="00277232">
        <w:rPr>
          <w:rFonts w:ascii="Arial" w:hAnsi="Arial" w:cs="Arial"/>
        </w:rPr>
        <w:t>.</w:t>
      </w:r>
      <w:r w:rsidR="005E394A">
        <w:rPr>
          <w:rFonts w:ascii="Arial" w:hAnsi="Arial" w:cs="Arial"/>
        </w:rPr>
        <w:t xml:space="preserve"> </w:t>
      </w:r>
      <w:r w:rsidR="00DB6D83">
        <w:rPr>
          <w:rFonts w:ascii="Arial" w:hAnsi="Arial" w:cs="Arial"/>
        </w:rPr>
        <w:t>Beispielsweise wurde für Deutschland – i</w:t>
      </w:r>
      <w:r w:rsidR="00DB6D83" w:rsidRPr="00303377">
        <w:rPr>
          <w:rFonts w:ascii="Arial" w:hAnsi="Arial" w:cs="Arial"/>
        </w:rPr>
        <w:t xml:space="preserve">m Rahmen einer Sonderauswertung der DIHK </w:t>
      </w:r>
      <w:r w:rsidR="00DB6D83">
        <w:rPr>
          <w:rFonts w:ascii="Arial" w:hAnsi="Arial" w:cs="Arial"/>
        </w:rPr>
        <w:t xml:space="preserve">– </w:t>
      </w:r>
      <w:r w:rsidR="00DB6D83" w:rsidRPr="00303377">
        <w:rPr>
          <w:rFonts w:ascii="Arial" w:hAnsi="Arial" w:cs="Arial"/>
        </w:rPr>
        <w:t xml:space="preserve">eine deutliche Verschiebung bei den Motiven bei Auslandsinvestitionen festgestellt: Der Auf- und </w:t>
      </w:r>
      <w:r w:rsidR="00DB6D83" w:rsidRPr="00303377">
        <w:rPr>
          <w:rFonts w:ascii="Arial" w:hAnsi="Arial" w:cs="Arial"/>
        </w:rPr>
        <w:lastRenderedPageBreak/>
        <w:t>Ausbau von Vertrieb und Kundendienst war zwischen 2010 und 2022 das dominierende Motiv für die Investitionen im Ausland und wurde im Mittel von etwa 45 Prozent der Unternehmen genannt. Seit 2022 ist der Wert jedoch drei Jahre in Folge ge</w:t>
      </w:r>
      <w:r w:rsidR="003A0C00">
        <w:rPr>
          <w:rFonts w:ascii="Arial" w:hAnsi="Arial" w:cs="Arial"/>
        </w:rPr>
        <w:t>sunken</w:t>
      </w:r>
      <w:r w:rsidR="00DB6D83" w:rsidRPr="00303377">
        <w:rPr>
          <w:rFonts w:ascii="Arial" w:hAnsi="Arial" w:cs="Arial"/>
        </w:rPr>
        <w:t xml:space="preserve"> – von 48 auf 35 Prozent. Während </w:t>
      </w:r>
      <w:r w:rsidR="003A0C00">
        <w:rPr>
          <w:rFonts w:ascii="Arial" w:hAnsi="Arial" w:cs="Arial"/>
        </w:rPr>
        <w:t xml:space="preserve">sich </w:t>
      </w:r>
      <w:r w:rsidR="00DB6D83" w:rsidRPr="00303377">
        <w:rPr>
          <w:rFonts w:ascii="Arial" w:hAnsi="Arial" w:cs="Arial"/>
        </w:rPr>
        <w:t xml:space="preserve">das Motiv der Markterschließung relativ stabil um 30 Prozent </w:t>
      </w:r>
      <w:r w:rsidR="003A0C00">
        <w:rPr>
          <w:rFonts w:ascii="Arial" w:hAnsi="Arial" w:cs="Arial"/>
        </w:rPr>
        <w:t>beweg</w:t>
      </w:r>
      <w:r w:rsidR="00DB6D83" w:rsidRPr="00303377">
        <w:rPr>
          <w:rFonts w:ascii="Arial" w:hAnsi="Arial" w:cs="Arial"/>
        </w:rPr>
        <w:t>t, finden sich beim Motiv Kostenersparnis die größten Schwankungen: 2004 gaben mehr als 40 Prozent der Unternehmen die Kostenersparnis als Hauptmotiv für ihre Auslandsinvestitionen an. Bis 2013 halbierte sich der Wert auf 20 Prozent, um dann wieder stetig zu steigen – vor allem zwischen 2022 und 2025 machte der Wert einen Sprung von 26 auf 35 Prozent.</w:t>
      </w:r>
    </w:p>
    <w:p w14:paraId="3F8DE15D" w14:textId="77777777" w:rsidR="005E394A" w:rsidRDefault="005E394A" w:rsidP="003A0C00">
      <w:pPr>
        <w:rPr>
          <w:rFonts w:ascii="Arial" w:hAnsi="Arial" w:cs="Arial"/>
        </w:rPr>
      </w:pPr>
    </w:p>
    <w:p w14:paraId="443EB090" w14:textId="0C5B352F" w:rsidR="00ED5FB9" w:rsidRDefault="003A0C00" w:rsidP="003A0C00">
      <w:pPr>
        <w:rPr>
          <w:rFonts w:ascii="Arial" w:hAnsi="Arial" w:cs="Arial"/>
        </w:rPr>
      </w:pPr>
      <w:r>
        <w:rPr>
          <w:rFonts w:ascii="Arial" w:hAnsi="Arial" w:cs="Arial"/>
        </w:rPr>
        <w:t xml:space="preserve">Und bezogen auf die 1.028 </w:t>
      </w:r>
      <w:r w:rsidRPr="008A1D0B">
        <w:rPr>
          <w:rFonts w:ascii="Arial" w:hAnsi="Arial" w:cs="Arial"/>
        </w:rPr>
        <w:t xml:space="preserve">Unternehmen </w:t>
      </w:r>
      <w:r>
        <w:rPr>
          <w:rFonts w:ascii="Arial" w:hAnsi="Arial" w:cs="Arial"/>
        </w:rPr>
        <w:t>(</w:t>
      </w:r>
      <w:r w:rsidRPr="008A1D0B">
        <w:rPr>
          <w:rFonts w:ascii="Arial" w:hAnsi="Arial" w:cs="Arial"/>
        </w:rPr>
        <w:t xml:space="preserve">mit mindestens 50 </w:t>
      </w:r>
      <w:r>
        <w:rPr>
          <w:rFonts w:ascii="Arial" w:hAnsi="Arial" w:cs="Arial"/>
        </w:rPr>
        <w:t>Beschäftigten)</w:t>
      </w:r>
      <w:r w:rsidR="00AB439B" w:rsidRPr="008A1D0B">
        <w:rPr>
          <w:rFonts w:ascii="Arial" w:hAnsi="Arial" w:cs="Arial"/>
        </w:rPr>
        <w:t>, die in dem dreijährigen Berichts</w:t>
      </w:r>
      <w:r w:rsidR="00AB439B" w:rsidRPr="008A1D0B">
        <w:rPr>
          <w:rFonts w:ascii="Arial" w:hAnsi="Arial" w:cs="Arial"/>
        </w:rPr>
        <w:softHyphen/>
        <w:t>zeitraum von 2018 bis 2020</w:t>
      </w:r>
      <w:r w:rsidR="00C70CB5">
        <w:rPr>
          <w:rFonts w:ascii="Arial" w:hAnsi="Arial" w:cs="Arial"/>
        </w:rPr>
        <w:t xml:space="preserve"> Unternehmensfunktionen verlagert </w:t>
      </w:r>
      <w:r w:rsidR="00AB439B" w:rsidRPr="008A1D0B">
        <w:rPr>
          <w:rFonts w:ascii="Arial" w:hAnsi="Arial" w:cs="Arial"/>
        </w:rPr>
        <w:t>haben</w:t>
      </w:r>
      <w:r>
        <w:rPr>
          <w:rFonts w:ascii="Arial" w:hAnsi="Arial" w:cs="Arial"/>
        </w:rPr>
        <w:t>,</w:t>
      </w:r>
      <w:r w:rsidR="00AB439B" w:rsidRPr="008A1D0B">
        <w:rPr>
          <w:rFonts w:ascii="Arial" w:hAnsi="Arial" w:cs="Arial"/>
        </w:rPr>
        <w:t xml:space="preserve"> </w:t>
      </w:r>
      <w:r w:rsidRPr="008A1D0B">
        <w:rPr>
          <w:rFonts w:ascii="Arial" w:hAnsi="Arial" w:cs="Arial"/>
        </w:rPr>
        <w:t xml:space="preserve">nannten </w:t>
      </w:r>
      <w:r>
        <w:rPr>
          <w:rFonts w:ascii="Arial" w:hAnsi="Arial" w:cs="Arial"/>
        </w:rPr>
        <w:t xml:space="preserve">nach Angaben des </w:t>
      </w:r>
      <w:r w:rsidRPr="008A1D0B">
        <w:rPr>
          <w:rFonts w:ascii="Arial" w:hAnsi="Arial" w:cs="Arial"/>
        </w:rPr>
        <w:t>Statistische</w:t>
      </w:r>
      <w:r>
        <w:rPr>
          <w:rFonts w:ascii="Arial" w:hAnsi="Arial" w:cs="Arial"/>
        </w:rPr>
        <w:t>n</w:t>
      </w:r>
      <w:r w:rsidRPr="008A1D0B">
        <w:rPr>
          <w:rFonts w:ascii="Arial" w:hAnsi="Arial" w:cs="Arial"/>
        </w:rPr>
        <w:t xml:space="preserve"> Bundesamt</w:t>
      </w:r>
      <w:r>
        <w:rPr>
          <w:rFonts w:ascii="Arial" w:hAnsi="Arial" w:cs="Arial"/>
        </w:rPr>
        <w:t xml:space="preserve">es </w:t>
      </w:r>
      <w:r w:rsidR="00AB439B" w:rsidRPr="008A1D0B">
        <w:rPr>
          <w:rFonts w:ascii="Arial" w:hAnsi="Arial" w:cs="Arial"/>
        </w:rPr>
        <w:t>89 Prozent die Verringerung von Lohnkosten als wichtigstes Verlagerungsmotiv. An zweiter Stelle standen mit 75 Prozent andere Kostenvorteile und darauf folgte mit 62 Prozent der Mangel an qualifizierten Fachkräften im Inland.</w:t>
      </w:r>
    </w:p>
    <w:p w14:paraId="2DDDE155" w14:textId="77777777" w:rsidR="005E394A" w:rsidRDefault="005E394A" w:rsidP="003A0C00">
      <w:pPr>
        <w:rPr>
          <w:rFonts w:ascii="Arial" w:hAnsi="Arial" w:cs="Arial"/>
        </w:rPr>
      </w:pPr>
    </w:p>
    <w:p w14:paraId="34086558" w14:textId="39D5630D" w:rsidR="00ED5FB9" w:rsidRDefault="006172F7" w:rsidP="001931C0">
      <w:pPr>
        <w:rPr>
          <w:rFonts w:ascii="Arial" w:hAnsi="Arial" w:cs="Arial"/>
        </w:rPr>
      </w:pPr>
      <w:r w:rsidRPr="00D112EE">
        <w:rPr>
          <w:rFonts w:ascii="Arial" w:hAnsi="Arial" w:cs="Arial"/>
        </w:rPr>
        <w:t xml:space="preserve">Bei einer Bewertung der Lohnkosten sollten allerdings nicht allein die Bruttolöhne der Arbeitnehmer </w:t>
      </w:r>
      <w:r w:rsidR="00177D57" w:rsidRPr="00D112EE">
        <w:rPr>
          <w:rFonts w:ascii="Arial" w:hAnsi="Arial" w:cs="Arial"/>
        </w:rPr>
        <w:t>verglichen werden</w:t>
      </w:r>
      <w:r w:rsidR="00177D57">
        <w:rPr>
          <w:rFonts w:ascii="Arial" w:hAnsi="Arial" w:cs="Arial"/>
        </w:rPr>
        <w:t>,</w:t>
      </w:r>
      <w:r w:rsidR="00177D57" w:rsidRPr="00D112EE">
        <w:rPr>
          <w:rFonts w:ascii="Arial" w:hAnsi="Arial" w:cs="Arial"/>
        </w:rPr>
        <w:t xml:space="preserve"> </w:t>
      </w:r>
      <w:r w:rsidRPr="00D112EE">
        <w:rPr>
          <w:rFonts w:ascii="Arial" w:hAnsi="Arial" w:cs="Arial"/>
        </w:rPr>
        <w:t>sondern die Lohnstückkosten. Zur Ermittlung der Lohnstückkosten werden die Lohnkosten ins Verhältnis zur Arbeitsproduktivität gesetzt. Die Höhe der Lohnstückkosten ist damit sowohl von der Produktivität als auch von der Höhe der gezahlten Löhne abhängig. Beispielsweise können die Lohnstückkosten eines Standortes mit niedrigen Löhnen und einer geringen Produktivität höher sein als die Lohnstückkosten eines Standortes mit hohen Löhnen und einer hohen Produktivität. Durch den Einsatz neuer Technologien, die effiziente Arbeitsorganisation, eine ausgebaute Infrastruktur und ein hohes Qualifikationsniveau der Beschäftigten wird die Arbeitsproduktivität gesteigert und somit ein Teil der höheren Lohnkosten ausgeglichen</w:t>
      </w:r>
      <w:r w:rsidR="00ED5FB9" w:rsidRPr="00D112EE">
        <w:rPr>
          <w:rFonts w:ascii="Arial" w:hAnsi="Arial" w:cs="Arial"/>
        </w:rPr>
        <w:t>.</w:t>
      </w:r>
    </w:p>
    <w:p w14:paraId="73AB491C" w14:textId="77777777" w:rsidR="005E394A" w:rsidRDefault="005E394A" w:rsidP="001931C0">
      <w:pPr>
        <w:rPr>
          <w:rFonts w:ascii="Arial" w:hAnsi="Arial" w:cs="Arial"/>
        </w:rPr>
      </w:pPr>
    </w:p>
    <w:p w14:paraId="5E7BA0EE" w14:textId="34377D6A" w:rsidR="0019630E" w:rsidRDefault="0019630E" w:rsidP="009915BA">
      <w:pPr>
        <w:rPr>
          <w:rFonts w:ascii="Arial" w:hAnsi="Arial" w:cs="Arial"/>
        </w:rPr>
      </w:pPr>
      <w:r>
        <w:rPr>
          <w:rFonts w:ascii="Arial" w:hAnsi="Arial" w:cs="Arial"/>
        </w:rPr>
        <w:t xml:space="preserve">Nach Angaben des </w:t>
      </w:r>
      <w:r w:rsidRPr="00184837">
        <w:rPr>
          <w:rFonts w:ascii="Arial" w:hAnsi="Arial" w:cs="Arial"/>
        </w:rPr>
        <w:t>Institut</w:t>
      </w:r>
      <w:r>
        <w:rPr>
          <w:rFonts w:ascii="Arial" w:hAnsi="Arial" w:cs="Arial"/>
        </w:rPr>
        <w:t>s</w:t>
      </w:r>
      <w:r w:rsidRPr="00184837">
        <w:rPr>
          <w:rFonts w:ascii="Arial" w:hAnsi="Arial" w:cs="Arial"/>
        </w:rPr>
        <w:t xml:space="preserve"> der deutschen Wirtschaft</w:t>
      </w:r>
      <w:r>
        <w:rPr>
          <w:rFonts w:ascii="Arial" w:hAnsi="Arial" w:cs="Arial"/>
        </w:rPr>
        <w:t xml:space="preserve"> und auf Basis der Wechselkurse und Preise von 2024 lag Deutschland (Index = 100) bei den </w:t>
      </w:r>
      <w:r w:rsidRPr="00D112EE">
        <w:rPr>
          <w:rFonts w:ascii="Arial" w:hAnsi="Arial" w:cs="Arial"/>
        </w:rPr>
        <w:t>Lohnstückkosten</w:t>
      </w:r>
      <w:r>
        <w:rPr>
          <w:rFonts w:ascii="Arial" w:hAnsi="Arial" w:cs="Arial"/>
        </w:rPr>
        <w:t xml:space="preserve"> von 28 betrachteten Staaten an vierter Stelle. Lediglich in Lettland und Estland (jeweils 109) sowie in Kroatien (107) waren die </w:t>
      </w:r>
      <w:r w:rsidRPr="00D112EE">
        <w:rPr>
          <w:rFonts w:ascii="Arial" w:hAnsi="Arial" w:cs="Arial"/>
        </w:rPr>
        <w:t>Lohnstückkosten</w:t>
      </w:r>
      <w:r>
        <w:rPr>
          <w:rFonts w:ascii="Arial" w:hAnsi="Arial" w:cs="Arial"/>
        </w:rPr>
        <w:t xml:space="preserve"> höher.</w:t>
      </w:r>
      <w:r w:rsidR="006623D1">
        <w:rPr>
          <w:rFonts w:ascii="Arial" w:hAnsi="Arial" w:cs="Arial"/>
        </w:rPr>
        <w:t xml:space="preserve"> </w:t>
      </w:r>
      <w:r w:rsidR="00A4380F">
        <w:rPr>
          <w:rFonts w:ascii="Arial" w:hAnsi="Arial" w:cs="Arial"/>
        </w:rPr>
        <w:t xml:space="preserve">Auf der anderen Seite der Skala standen </w:t>
      </w:r>
      <w:r w:rsidR="006623D1">
        <w:rPr>
          <w:rFonts w:ascii="Arial" w:hAnsi="Arial" w:cs="Arial"/>
        </w:rPr>
        <w:t xml:space="preserve">neben </w:t>
      </w:r>
      <w:r w:rsidR="00A4380F">
        <w:rPr>
          <w:rFonts w:ascii="Arial" w:hAnsi="Arial" w:cs="Arial"/>
        </w:rPr>
        <w:t>den USA (68) und Japan (76) auch andere europäische Staaten wie Dänemark</w:t>
      </w:r>
      <w:r w:rsidR="00D43896">
        <w:rPr>
          <w:rFonts w:ascii="Arial" w:hAnsi="Arial" w:cs="Arial"/>
        </w:rPr>
        <w:t xml:space="preserve"> (57)</w:t>
      </w:r>
      <w:r w:rsidR="00A4380F">
        <w:rPr>
          <w:rFonts w:ascii="Arial" w:hAnsi="Arial" w:cs="Arial"/>
        </w:rPr>
        <w:t>, Schweden</w:t>
      </w:r>
      <w:r w:rsidR="00D43896">
        <w:rPr>
          <w:rFonts w:ascii="Arial" w:hAnsi="Arial" w:cs="Arial"/>
        </w:rPr>
        <w:t xml:space="preserve"> (61)</w:t>
      </w:r>
      <w:r w:rsidR="00A4380F">
        <w:rPr>
          <w:rFonts w:ascii="Arial" w:hAnsi="Arial" w:cs="Arial"/>
        </w:rPr>
        <w:t>, Griechenland</w:t>
      </w:r>
      <w:r w:rsidR="00D43896">
        <w:rPr>
          <w:rFonts w:ascii="Arial" w:hAnsi="Arial" w:cs="Arial"/>
        </w:rPr>
        <w:t xml:space="preserve"> (74), die Niederlande (75), die Slowakei (79) und Finnland (82). Auf einem ähnlichen Niveau wie Deutschland bewegten sich im Jahr 2024 das Vereinigte Königreich und Slowenien (99), Österreich und Kanada (97) sowie Frankreich (96).</w:t>
      </w:r>
    </w:p>
    <w:p w14:paraId="04B9A1D9" w14:textId="77777777" w:rsidR="005E394A" w:rsidRDefault="005E394A" w:rsidP="009915BA">
      <w:pPr>
        <w:rPr>
          <w:rFonts w:ascii="Arial" w:hAnsi="Arial" w:cs="Arial"/>
        </w:rPr>
      </w:pPr>
    </w:p>
    <w:p w14:paraId="001ACA65" w14:textId="0404DAA5" w:rsidR="00562762" w:rsidRDefault="00D973E4" w:rsidP="008E39AB">
      <w:pPr>
        <w:rPr>
          <w:rFonts w:ascii="Arial" w:hAnsi="Arial" w:cs="Arial"/>
        </w:rPr>
      </w:pPr>
      <w:r w:rsidRPr="00DD31E1">
        <w:rPr>
          <w:rFonts w:ascii="Arial" w:hAnsi="Arial" w:cs="Arial"/>
        </w:rPr>
        <w:t xml:space="preserve">Laut OECD sind die Lohnstückkosten Deutschlands zwischen 2015 und </w:t>
      </w:r>
      <w:r w:rsidR="00DE14FB">
        <w:rPr>
          <w:rFonts w:ascii="Arial" w:hAnsi="Arial" w:cs="Arial"/>
        </w:rPr>
        <w:t xml:space="preserve">2024 </w:t>
      </w:r>
      <w:r w:rsidRPr="00DD31E1">
        <w:rPr>
          <w:rFonts w:ascii="Arial" w:hAnsi="Arial" w:cs="Arial"/>
        </w:rPr>
        <w:t>um 3</w:t>
      </w:r>
      <w:r w:rsidR="00DE14FB">
        <w:rPr>
          <w:rFonts w:ascii="Arial" w:hAnsi="Arial" w:cs="Arial"/>
        </w:rPr>
        <w:t>4</w:t>
      </w:r>
      <w:r w:rsidR="00DD31E1" w:rsidRPr="00DD31E1">
        <w:rPr>
          <w:rFonts w:ascii="Arial" w:hAnsi="Arial" w:cs="Arial"/>
        </w:rPr>
        <w:t>,</w:t>
      </w:r>
      <w:r w:rsidR="00DE14FB">
        <w:rPr>
          <w:rFonts w:ascii="Arial" w:hAnsi="Arial" w:cs="Arial"/>
        </w:rPr>
        <w:t>1</w:t>
      </w:r>
      <w:r w:rsidRPr="00DD31E1">
        <w:rPr>
          <w:rFonts w:ascii="Arial" w:hAnsi="Arial" w:cs="Arial"/>
        </w:rPr>
        <w:t xml:space="preserve"> Prozent gestiegen – was einer durchschnittlichen Steigerung um </w:t>
      </w:r>
      <w:r w:rsidR="00DE14FB">
        <w:rPr>
          <w:rFonts w:ascii="Arial" w:hAnsi="Arial" w:cs="Arial"/>
        </w:rPr>
        <w:t>3,3</w:t>
      </w:r>
      <w:r w:rsidRPr="00DD31E1">
        <w:rPr>
          <w:rFonts w:ascii="Arial" w:hAnsi="Arial" w:cs="Arial"/>
        </w:rPr>
        <w:t xml:space="preserve"> Prozent pro Jahr entspricht.</w:t>
      </w:r>
      <w:r w:rsidR="00DD31E1">
        <w:rPr>
          <w:rFonts w:ascii="Arial" w:hAnsi="Arial" w:cs="Arial"/>
        </w:rPr>
        <w:t xml:space="preserve"> </w:t>
      </w:r>
      <w:r w:rsidRPr="00DD31E1">
        <w:rPr>
          <w:rFonts w:ascii="Arial" w:hAnsi="Arial" w:cs="Arial"/>
        </w:rPr>
        <w:t>Besonders stark erhöhten sich die Lohnstückkosten von 2022 auf 2023 (plus 6,</w:t>
      </w:r>
      <w:r w:rsidR="00DD31E1" w:rsidRPr="00DD31E1">
        <w:rPr>
          <w:rFonts w:ascii="Arial" w:hAnsi="Arial" w:cs="Arial"/>
        </w:rPr>
        <w:t>9</w:t>
      </w:r>
      <w:r w:rsidRPr="00DD31E1">
        <w:rPr>
          <w:rFonts w:ascii="Arial" w:hAnsi="Arial" w:cs="Arial"/>
        </w:rPr>
        <w:t xml:space="preserve"> Prozent) und von 2023 auf 2024 (plus </w:t>
      </w:r>
      <w:r w:rsidR="00DD31E1" w:rsidRPr="00DD31E1">
        <w:rPr>
          <w:rFonts w:ascii="Arial" w:hAnsi="Arial" w:cs="Arial"/>
        </w:rPr>
        <w:t>5,7 Prozent</w:t>
      </w:r>
      <w:r w:rsidRPr="00DD31E1">
        <w:rPr>
          <w:rFonts w:ascii="Arial" w:hAnsi="Arial" w:cs="Arial"/>
        </w:rPr>
        <w:t>)</w:t>
      </w:r>
      <w:r w:rsidR="00DD31E1">
        <w:rPr>
          <w:rFonts w:ascii="Arial" w:hAnsi="Arial" w:cs="Arial"/>
        </w:rPr>
        <w:t>.</w:t>
      </w:r>
      <w:r w:rsidR="005E394A">
        <w:rPr>
          <w:rFonts w:ascii="Arial" w:hAnsi="Arial" w:cs="Arial"/>
        </w:rPr>
        <w:t xml:space="preserve"> </w:t>
      </w:r>
      <w:r w:rsidR="00DE14FB">
        <w:rPr>
          <w:rFonts w:ascii="Arial" w:hAnsi="Arial" w:cs="Arial"/>
        </w:rPr>
        <w:t xml:space="preserve">In 14 von insgesamt 33 betrachteten Staaten fiel die Steigerung der </w:t>
      </w:r>
      <w:r w:rsidR="00DE14FB" w:rsidRPr="00DD31E1">
        <w:rPr>
          <w:rFonts w:ascii="Arial" w:hAnsi="Arial" w:cs="Arial"/>
        </w:rPr>
        <w:t>Lohnstückkosten</w:t>
      </w:r>
      <w:r w:rsidR="00DE14FB">
        <w:rPr>
          <w:rFonts w:ascii="Arial" w:hAnsi="Arial" w:cs="Arial"/>
        </w:rPr>
        <w:t xml:space="preserve"> im Zeitraum 2015 bis 2024 höher aus als in Deutschland – an der Spitze standen dabei die Türkei sowie sieben osteuropäische Staaten. </w:t>
      </w:r>
      <w:r w:rsidR="00DB28C9" w:rsidRPr="008E39AB">
        <w:rPr>
          <w:rFonts w:ascii="Arial" w:hAnsi="Arial" w:cs="Arial"/>
        </w:rPr>
        <w:t xml:space="preserve">Wie in Deutschland steigerten sich die Lohnstückkosten zwischen 2015 und </w:t>
      </w:r>
      <w:r w:rsidR="00DE14FB">
        <w:rPr>
          <w:rFonts w:ascii="Arial" w:hAnsi="Arial" w:cs="Arial"/>
        </w:rPr>
        <w:t xml:space="preserve">2024 </w:t>
      </w:r>
      <w:r w:rsidR="00DB28C9" w:rsidRPr="008E39AB">
        <w:rPr>
          <w:rFonts w:ascii="Arial" w:hAnsi="Arial" w:cs="Arial"/>
        </w:rPr>
        <w:t xml:space="preserve">auch </w:t>
      </w:r>
      <w:r w:rsidR="00DE14FB" w:rsidRPr="00DE14FB">
        <w:rPr>
          <w:rFonts w:ascii="Arial" w:hAnsi="Arial" w:cs="Arial"/>
        </w:rPr>
        <w:t xml:space="preserve">im Vereinigten Königreich, in den Niederlanden, </w:t>
      </w:r>
      <w:r w:rsidR="00DE14FB">
        <w:rPr>
          <w:rFonts w:ascii="Arial" w:hAnsi="Arial" w:cs="Arial"/>
        </w:rPr>
        <w:t xml:space="preserve">in </w:t>
      </w:r>
      <w:r w:rsidR="00DE14FB" w:rsidRPr="00DE14FB">
        <w:rPr>
          <w:rFonts w:ascii="Arial" w:hAnsi="Arial" w:cs="Arial"/>
        </w:rPr>
        <w:t>Norwegen, Schweden und den USA</w:t>
      </w:r>
      <w:r w:rsidR="00DB28C9" w:rsidRPr="008E39AB">
        <w:rPr>
          <w:rFonts w:ascii="Arial" w:hAnsi="Arial" w:cs="Arial"/>
        </w:rPr>
        <w:t xml:space="preserve"> um </w:t>
      </w:r>
      <w:r w:rsidR="0062291D">
        <w:rPr>
          <w:rFonts w:ascii="Arial" w:hAnsi="Arial" w:cs="Arial"/>
        </w:rPr>
        <w:t xml:space="preserve">insgesamt </w:t>
      </w:r>
      <w:r w:rsidR="00DB28C9" w:rsidRPr="008E39AB">
        <w:rPr>
          <w:rFonts w:ascii="Arial" w:hAnsi="Arial" w:cs="Arial"/>
        </w:rPr>
        <w:t>etwa ein Drittel.</w:t>
      </w:r>
      <w:r w:rsidR="005E394A">
        <w:rPr>
          <w:rFonts w:ascii="Arial" w:hAnsi="Arial" w:cs="Arial"/>
        </w:rPr>
        <w:t xml:space="preserve"> </w:t>
      </w:r>
      <w:r w:rsidR="008E39AB" w:rsidRPr="0062291D">
        <w:rPr>
          <w:rFonts w:ascii="Arial" w:hAnsi="Arial" w:cs="Arial"/>
        </w:rPr>
        <w:t>Schließlich nahmen in Japan</w:t>
      </w:r>
      <w:r w:rsidR="00562762">
        <w:rPr>
          <w:rFonts w:ascii="Arial" w:hAnsi="Arial" w:cs="Arial"/>
        </w:rPr>
        <w:t xml:space="preserve"> </w:t>
      </w:r>
      <w:r w:rsidR="008E39AB" w:rsidRPr="0062291D">
        <w:rPr>
          <w:rFonts w:ascii="Arial" w:hAnsi="Arial" w:cs="Arial"/>
        </w:rPr>
        <w:t xml:space="preserve">– der weltweit fünfgrößten Exportnation – die </w:t>
      </w:r>
      <w:r w:rsidR="008E39AB" w:rsidRPr="008E39AB">
        <w:rPr>
          <w:rFonts w:ascii="Arial" w:hAnsi="Arial" w:cs="Arial"/>
        </w:rPr>
        <w:t xml:space="preserve">Lohnstückkosten </w:t>
      </w:r>
      <w:r w:rsidR="008E39AB">
        <w:rPr>
          <w:rFonts w:ascii="Arial" w:hAnsi="Arial" w:cs="Arial"/>
        </w:rPr>
        <w:t>zwischen 2010 und 2024 um</w:t>
      </w:r>
      <w:r w:rsidR="00EF0734">
        <w:rPr>
          <w:rFonts w:ascii="Arial" w:hAnsi="Arial" w:cs="Arial"/>
        </w:rPr>
        <w:t xml:space="preserve"> lediglich</w:t>
      </w:r>
      <w:r w:rsidR="008E39AB">
        <w:rPr>
          <w:rFonts w:ascii="Arial" w:hAnsi="Arial" w:cs="Arial"/>
        </w:rPr>
        <w:t xml:space="preserve"> 13,7 Prozent zu</w:t>
      </w:r>
      <w:r w:rsidR="00EF0734">
        <w:rPr>
          <w:rFonts w:ascii="Arial" w:hAnsi="Arial" w:cs="Arial"/>
        </w:rPr>
        <w:t xml:space="preserve">. Im </w:t>
      </w:r>
      <w:r w:rsidR="008E39AB" w:rsidRPr="008E39AB">
        <w:rPr>
          <w:rFonts w:ascii="Arial" w:hAnsi="Arial" w:cs="Arial"/>
        </w:rPr>
        <w:t xml:space="preserve">1. </w:t>
      </w:r>
      <w:r w:rsidR="008E39AB" w:rsidRPr="008E39AB">
        <w:rPr>
          <w:rFonts w:ascii="Arial" w:hAnsi="Arial" w:cs="Arial"/>
        </w:rPr>
        <w:lastRenderedPageBreak/>
        <w:t xml:space="preserve">Quartal 2025 </w:t>
      </w:r>
      <w:r w:rsidR="00EF0734">
        <w:rPr>
          <w:rFonts w:ascii="Arial" w:hAnsi="Arial" w:cs="Arial"/>
        </w:rPr>
        <w:t xml:space="preserve">reduzierten sich die </w:t>
      </w:r>
      <w:r w:rsidR="00EF0734" w:rsidRPr="008E39AB">
        <w:rPr>
          <w:rFonts w:ascii="Arial" w:hAnsi="Arial" w:cs="Arial"/>
        </w:rPr>
        <w:t xml:space="preserve">Lohnstückkosten </w:t>
      </w:r>
      <w:r w:rsidR="00562762">
        <w:rPr>
          <w:rFonts w:ascii="Arial" w:hAnsi="Arial" w:cs="Arial"/>
        </w:rPr>
        <w:t xml:space="preserve">sogar deutlich </w:t>
      </w:r>
      <w:r w:rsidR="00EF0734">
        <w:rPr>
          <w:rFonts w:ascii="Arial" w:hAnsi="Arial" w:cs="Arial"/>
        </w:rPr>
        <w:t xml:space="preserve">– allerdings </w:t>
      </w:r>
      <w:r w:rsidR="00562762">
        <w:rPr>
          <w:rFonts w:ascii="Arial" w:hAnsi="Arial" w:cs="Arial"/>
        </w:rPr>
        <w:t xml:space="preserve">ist dieser </w:t>
      </w:r>
      <w:r w:rsidR="00EF0734">
        <w:rPr>
          <w:rFonts w:ascii="Arial" w:hAnsi="Arial" w:cs="Arial"/>
        </w:rPr>
        <w:t xml:space="preserve">Rückgang zum 1. Quartal </w:t>
      </w:r>
      <w:r w:rsidR="00562762">
        <w:rPr>
          <w:rFonts w:ascii="Arial" w:hAnsi="Arial" w:cs="Arial"/>
        </w:rPr>
        <w:t xml:space="preserve">seit mindestens drei Jahrzehnten </w:t>
      </w:r>
      <w:r w:rsidR="00EF0734">
        <w:rPr>
          <w:rFonts w:ascii="Arial" w:hAnsi="Arial" w:cs="Arial"/>
        </w:rPr>
        <w:t>zu beobachten.</w:t>
      </w:r>
    </w:p>
    <w:p w14:paraId="0D39C895" w14:textId="77777777" w:rsidR="005E394A" w:rsidRDefault="005E394A" w:rsidP="008E39AB">
      <w:pPr>
        <w:rPr>
          <w:rFonts w:ascii="Arial" w:hAnsi="Arial" w:cs="Arial"/>
        </w:rPr>
      </w:pPr>
    </w:p>
    <w:p w14:paraId="639A0810" w14:textId="1AC10B2E" w:rsidR="00ED5FB9" w:rsidRDefault="00E018D7" w:rsidP="00E018D7">
      <w:pPr>
        <w:rPr>
          <w:rFonts w:ascii="Arial" w:hAnsi="Arial" w:cs="Arial"/>
        </w:rPr>
      </w:pPr>
      <w:r w:rsidRPr="00DD31E1">
        <w:rPr>
          <w:rFonts w:ascii="Arial" w:hAnsi="Arial" w:cs="Arial"/>
        </w:rPr>
        <w:t xml:space="preserve">Neben </w:t>
      </w:r>
      <w:r w:rsidR="00177D57">
        <w:rPr>
          <w:rFonts w:ascii="Arial" w:hAnsi="Arial" w:cs="Arial"/>
        </w:rPr>
        <w:t>niedrigen</w:t>
      </w:r>
      <w:r w:rsidRPr="00DD31E1">
        <w:rPr>
          <w:rFonts w:ascii="Arial" w:hAnsi="Arial" w:cs="Arial"/>
        </w:rPr>
        <w:t xml:space="preserve"> Lohnstückkosten </w:t>
      </w:r>
      <w:r w:rsidR="008E6DED" w:rsidRPr="00DD31E1">
        <w:rPr>
          <w:rFonts w:ascii="Arial" w:hAnsi="Arial" w:cs="Arial"/>
        </w:rPr>
        <w:t xml:space="preserve">und </w:t>
      </w:r>
      <w:r w:rsidR="00177D57">
        <w:rPr>
          <w:rFonts w:ascii="Arial" w:hAnsi="Arial" w:cs="Arial"/>
        </w:rPr>
        <w:t xml:space="preserve">anderen </w:t>
      </w:r>
      <w:r w:rsidR="008E6DED" w:rsidRPr="00DD31E1">
        <w:rPr>
          <w:rFonts w:ascii="Arial" w:hAnsi="Arial" w:cs="Arial"/>
        </w:rPr>
        <w:t xml:space="preserve">Standortvorteilen hängt die internationale Wettbewerbsfähigkeit </w:t>
      </w:r>
      <w:r w:rsidR="002C128D" w:rsidRPr="00DD31E1">
        <w:rPr>
          <w:rFonts w:ascii="Arial" w:hAnsi="Arial" w:cs="Arial"/>
        </w:rPr>
        <w:t xml:space="preserve">von Unternehmen </w:t>
      </w:r>
      <w:r w:rsidR="008E6DED" w:rsidRPr="00DD31E1">
        <w:rPr>
          <w:rFonts w:ascii="Arial" w:hAnsi="Arial" w:cs="Arial"/>
        </w:rPr>
        <w:t>auch von der Entwicklung der Wech</w:t>
      </w:r>
      <w:r w:rsidR="002C128D" w:rsidRPr="00DD31E1">
        <w:rPr>
          <w:rFonts w:ascii="Arial" w:hAnsi="Arial" w:cs="Arial"/>
        </w:rPr>
        <w:t>s</w:t>
      </w:r>
      <w:r w:rsidR="008E6DED" w:rsidRPr="00DD31E1">
        <w:rPr>
          <w:rFonts w:ascii="Arial" w:hAnsi="Arial" w:cs="Arial"/>
        </w:rPr>
        <w:t>elkurse ab</w:t>
      </w:r>
      <w:r w:rsidR="002C128D" w:rsidRPr="00DD31E1">
        <w:rPr>
          <w:rFonts w:ascii="Arial" w:hAnsi="Arial" w:cs="Arial"/>
        </w:rPr>
        <w:t xml:space="preserve"> sowie</w:t>
      </w:r>
      <w:r w:rsidR="00DD31E1">
        <w:rPr>
          <w:rFonts w:ascii="Arial" w:hAnsi="Arial" w:cs="Arial"/>
        </w:rPr>
        <w:t xml:space="preserve"> von</w:t>
      </w:r>
      <w:r w:rsidR="002C128D" w:rsidRPr="00DD31E1">
        <w:rPr>
          <w:rFonts w:ascii="Arial" w:hAnsi="Arial" w:cs="Arial"/>
        </w:rPr>
        <w:t xml:space="preserve"> produkt- und kundenbezogenen Faktoren wie </w:t>
      </w:r>
      <w:r w:rsidR="008D4C5B" w:rsidRPr="00DD31E1">
        <w:rPr>
          <w:rFonts w:ascii="Arial" w:hAnsi="Arial" w:cs="Arial"/>
        </w:rPr>
        <w:t>Produktimage, Produktqualität, Kundenservice, Lieferpünktlichkeit und Innovationsfähigkeit</w:t>
      </w:r>
      <w:r w:rsidR="00ED5FB9" w:rsidRPr="00DD31E1">
        <w:rPr>
          <w:rFonts w:ascii="Arial" w:hAnsi="Arial" w:cs="Arial"/>
        </w:rPr>
        <w:t>.</w:t>
      </w:r>
    </w:p>
    <w:p w14:paraId="104B3DE8" w14:textId="77777777" w:rsidR="005E394A" w:rsidRDefault="005E394A" w:rsidP="00E018D7">
      <w:pPr>
        <w:rPr>
          <w:rFonts w:ascii="Arial" w:hAnsi="Arial" w:cs="Arial"/>
        </w:rPr>
      </w:pPr>
    </w:p>
    <w:p w14:paraId="29545ED5" w14:textId="77777777" w:rsidR="00DF68DE" w:rsidRPr="00FB337C" w:rsidRDefault="00DF68DE">
      <w:pPr>
        <w:rPr>
          <w:rFonts w:ascii="Arial" w:hAnsi="Arial"/>
          <w:color w:val="FF0000"/>
        </w:rPr>
      </w:pPr>
      <w:r w:rsidRPr="00FB337C">
        <w:rPr>
          <w:rFonts w:ascii="Arial" w:hAnsi="Arial"/>
          <w:color w:val="FF0000"/>
        </w:rPr>
        <w:t>Datenquelle</w:t>
      </w:r>
    </w:p>
    <w:p w14:paraId="24C6D8F0" w14:textId="77777777" w:rsidR="00DF68DE" w:rsidRPr="00FB337C" w:rsidRDefault="00DF68DE">
      <w:pPr>
        <w:rPr>
          <w:rFonts w:ascii="Arial" w:hAnsi="Arial" w:cs="Arial"/>
        </w:rPr>
      </w:pPr>
    </w:p>
    <w:p w14:paraId="1658326D" w14:textId="2597FB4F" w:rsidR="003E4C86" w:rsidRDefault="00A25432">
      <w:pPr>
        <w:rPr>
          <w:rFonts w:ascii="Arial" w:hAnsi="Arial" w:cs="Arial"/>
        </w:rPr>
      </w:pPr>
      <w:r w:rsidRPr="00A25432">
        <w:rPr>
          <w:rFonts w:ascii="Arial" w:hAnsi="Arial" w:cs="Arial"/>
        </w:rPr>
        <w:t>Organization for Economic Co-operation and Development</w:t>
      </w:r>
      <w:r w:rsidR="00C85C36">
        <w:rPr>
          <w:rFonts w:ascii="Arial" w:hAnsi="Arial" w:cs="Arial"/>
        </w:rPr>
        <w:t xml:space="preserve"> (OECD)</w:t>
      </w:r>
      <w:r w:rsidRPr="00A25432">
        <w:rPr>
          <w:rFonts w:ascii="Arial" w:hAnsi="Arial" w:cs="Arial"/>
        </w:rPr>
        <w:t>: Data Explorer: Productivity and unit labour costs (0</w:t>
      </w:r>
      <w:r>
        <w:rPr>
          <w:rFonts w:ascii="Arial" w:hAnsi="Arial" w:cs="Arial"/>
        </w:rPr>
        <w:t>8</w:t>
      </w:r>
      <w:r w:rsidRPr="00A25432">
        <w:rPr>
          <w:rFonts w:ascii="Arial" w:hAnsi="Arial" w:cs="Arial"/>
        </w:rPr>
        <w:t>/20</w:t>
      </w:r>
      <w:r>
        <w:rPr>
          <w:rFonts w:ascii="Arial" w:hAnsi="Arial" w:cs="Arial"/>
        </w:rPr>
        <w:t>2</w:t>
      </w:r>
      <w:r w:rsidRPr="00A25432">
        <w:rPr>
          <w:rFonts w:ascii="Arial" w:hAnsi="Arial" w:cs="Arial"/>
        </w:rPr>
        <w:t>5)</w:t>
      </w:r>
      <w:r>
        <w:rPr>
          <w:rFonts w:ascii="Arial" w:hAnsi="Arial" w:cs="Arial"/>
        </w:rPr>
        <w:t>; OECD</w:t>
      </w:r>
      <w:r w:rsidR="00020CC0" w:rsidRPr="00020CC0">
        <w:rPr>
          <w:rFonts w:ascii="Arial" w:hAnsi="Arial" w:cs="Arial"/>
        </w:rPr>
        <w:t>, Labor Compensation: Unit Labor Cost: Manufacturing: Total for United States</w:t>
      </w:r>
      <w:r w:rsidR="00D93E86">
        <w:rPr>
          <w:rFonts w:ascii="Arial" w:hAnsi="Arial" w:cs="Arial"/>
        </w:rPr>
        <w:t xml:space="preserve"> (</w:t>
      </w:r>
      <w:r w:rsidR="00D93E86" w:rsidRPr="00D93E86">
        <w:rPr>
          <w:rFonts w:ascii="Arial" w:hAnsi="Arial" w:cs="Arial"/>
        </w:rPr>
        <w:t>Seasonally Adjusted</w:t>
      </w:r>
      <w:r w:rsidR="00D93E86">
        <w:rPr>
          <w:rFonts w:ascii="Arial" w:hAnsi="Arial" w:cs="Arial"/>
        </w:rPr>
        <w:t>)</w:t>
      </w:r>
      <w:r w:rsidR="00020CC0" w:rsidRPr="00020CC0">
        <w:rPr>
          <w:rFonts w:ascii="Arial" w:hAnsi="Arial" w:cs="Arial"/>
        </w:rPr>
        <w:t>, retrieved from</w:t>
      </w:r>
      <w:r>
        <w:rPr>
          <w:rFonts w:ascii="Arial" w:hAnsi="Arial" w:cs="Arial"/>
        </w:rPr>
        <w:t xml:space="preserve"> </w:t>
      </w:r>
      <w:r w:rsidR="00020CC0" w:rsidRPr="00020CC0">
        <w:rPr>
          <w:rFonts w:ascii="Arial" w:hAnsi="Arial" w:cs="Arial"/>
        </w:rPr>
        <w:t>Federal Reserve Bank of St. Louis</w:t>
      </w:r>
      <w:r>
        <w:rPr>
          <w:rFonts w:ascii="Arial" w:hAnsi="Arial" w:cs="Arial"/>
        </w:rPr>
        <w:t xml:space="preserve"> (</w:t>
      </w:r>
      <w:r w:rsidRPr="00020CC0">
        <w:rPr>
          <w:rFonts w:ascii="Arial" w:hAnsi="Arial" w:cs="Arial"/>
        </w:rPr>
        <w:t>FRED</w:t>
      </w:r>
      <w:r>
        <w:rPr>
          <w:rFonts w:ascii="Arial" w:hAnsi="Arial" w:cs="Arial"/>
        </w:rPr>
        <w:t>)</w:t>
      </w:r>
      <w:r w:rsidR="003E4C86">
        <w:rPr>
          <w:rFonts w:ascii="Arial" w:hAnsi="Arial" w:cs="Arial"/>
        </w:rPr>
        <w:t>;</w:t>
      </w:r>
      <w:r w:rsidR="006623D1">
        <w:rPr>
          <w:rFonts w:ascii="Arial" w:hAnsi="Arial" w:cs="Arial"/>
        </w:rPr>
        <w:t xml:space="preserve"> </w:t>
      </w:r>
      <w:r w:rsidR="003E4C86">
        <w:rPr>
          <w:rFonts w:ascii="Arial" w:hAnsi="Arial" w:cs="Arial"/>
        </w:rPr>
        <w:t xml:space="preserve">Statistisches Bundesamt: </w:t>
      </w:r>
      <w:r w:rsidR="003E4C86" w:rsidRPr="003E4C86">
        <w:rPr>
          <w:rFonts w:ascii="Arial" w:hAnsi="Arial" w:cs="Arial"/>
        </w:rPr>
        <w:t>Verlagerung von Unternehmens</w:t>
      </w:r>
      <w:r w:rsidR="003E4C86" w:rsidRPr="003E4C86">
        <w:rPr>
          <w:rFonts w:ascii="Arial" w:hAnsi="Arial" w:cs="Arial"/>
        </w:rPr>
        <w:softHyphen/>
        <w:t>funktionen</w:t>
      </w:r>
      <w:r w:rsidR="003E4C86">
        <w:rPr>
          <w:rFonts w:ascii="Arial" w:hAnsi="Arial" w:cs="Arial"/>
        </w:rPr>
        <w:t xml:space="preserve">, </w:t>
      </w:r>
      <w:r w:rsidR="003E4C86" w:rsidRPr="003E4C86">
        <w:rPr>
          <w:rFonts w:ascii="Arial" w:hAnsi="Arial" w:cs="Arial"/>
        </w:rPr>
        <w:t>www.destatis.de</w:t>
      </w:r>
      <w:r w:rsidR="003E4C86">
        <w:rPr>
          <w:rFonts w:ascii="Arial" w:hAnsi="Arial" w:cs="Arial"/>
        </w:rPr>
        <w:t xml:space="preserve">; </w:t>
      </w:r>
      <w:r w:rsidR="0018780A" w:rsidRPr="0018780A">
        <w:rPr>
          <w:rFonts w:ascii="Arial" w:hAnsi="Arial" w:cs="Arial"/>
        </w:rPr>
        <w:t>Deutsche Industrie- und Handelskammer (DIHK)</w:t>
      </w:r>
      <w:r w:rsidR="0018780A">
        <w:rPr>
          <w:rFonts w:ascii="Arial" w:hAnsi="Arial" w:cs="Arial"/>
        </w:rPr>
        <w:t xml:space="preserve">: </w:t>
      </w:r>
      <w:r w:rsidR="0018780A" w:rsidRPr="0018780A">
        <w:rPr>
          <w:rFonts w:ascii="Arial" w:hAnsi="Arial" w:cs="Arial"/>
        </w:rPr>
        <w:t>Auslandsinvestitionen der Industrie 2025</w:t>
      </w:r>
      <w:r w:rsidR="006623D1">
        <w:rPr>
          <w:rFonts w:ascii="Arial" w:hAnsi="Arial" w:cs="Arial"/>
        </w:rPr>
        <w:t xml:space="preserve">; </w:t>
      </w:r>
      <w:r w:rsidR="00184837" w:rsidRPr="00184837">
        <w:rPr>
          <w:rFonts w:ascii="Arial" w:hAnsi="Arial" w:cs="Arial"/>
        </w:rPr>
        <w:t>Institut der deutschen Wirtschaft</w:t>
      </w:r>
      <w:r w:rsidR="00184837">
        <w:rPr>
          <w:rFonts w:ascii="Arial" w:hAnsi="Arial" w:cs="Arial"/>
        </w:rPr>
        <w:t xml:space="preserve"> (IW): IW-Trends 2/2025</w:t>
      </w:r>
      <w:r w:rsidR="006623D1">
        <w:rPr>
          <w:rFonts w:ascii="Arial" w:hAnsi="Arial" w:cs="Arial"/>
        </w:rPr>
        <w:t xml:space="preserve">: </w:t>
      </w:r>
      <w:r w:rsidR="006623D1" w:rsidRPr="006623D1">
        <w:rPr>
          <w:rFonts w:ascii="Arial" w:hAnsi="Arial" w:cs="Arial"/>
        </w:rPr>
        <w:t>Lohnstückkosten im internationalen Vergleich: Kostenwettbewerbsfähigkeit der deutschen Industrie in Zeiten großer Verunsicherung</w:t>
      </w:r>
    </w:p>
    <w:p w14:paraId="1883BDD6" w14:textId="77777777" w:rsidR="006623D1" w:rsidRDefault="006623D1">
      <w:pPr>
        <w:rPr>
          <w:rFonts w:ascii="Arial" w:hAnsi="Arial" w:cs="Arial"/>
        </w:rPr>
      </w:pPr>
    </w:p>
    <w:p w14:paraId="503F224B" w14:textId="77777777" w:rsidR="00DF68DE" w:rsidRDefault="00DF68DE">
      <w:pPr>
        <w:rPr>
          <w:rFonts w:ascii="Arial" w:hAnsi="Arial"/>
          <w:color w:val="FF0000"/>
        </w:rPr>
      </w:pPr>
      <w:r>
        <w:rPr>
          <w:rFonts w:ascii="Arial" w:hAnsi="Arial"/>
          <w:color w:val="FF0000"/>
        </w:rPr>
        <w:t>Begriffe, methodische Anmerkungen oder Lesehilfen</w:t>
      </w:r>
    </w:p>
    <w:p w14:paraId="21137941" w14:textId="77777777" w:rsidR="00DF68DE" w:rsidRPr="004765D4" w:rsidRDefault="00DF68DE">
      <w:pPr>
        <w:rPr>
          <w:rFonts w:ascii="Arial" w:hAnsi="Arial" w:cs="Arial"/>
          <w:color w:val="000000"/>
        </w:rPr>
      </w:pPr>
    </w:p>
    <w:p w14:paraId="031F7C92" w14:textId="77777777" w:rsidR="00544DF7" w:rsidRDefault="004765D4" w:rsidP="00F42D1D">
      <w:pPr>
        <w:rPr>
          <w:rFonts w:ascii="Arial" w:hAnsi="Arial" w:cs="Arial"/>
        </w:rPr>
      </w:pPr>
      <w:r w:rsidRPr="004765D4">
        <w:rPr>
          <w:rFonts w:ascii="Arial" w:hAnsi="Arial" w:cs="Arial"/>
        </w:rPr>
        <w:t xml:space="preserve">Zur Bestimmung der </w:t>
      </w:r>
      <w:r w:rsidRPr="004765D4">
        <w:rPr>
          <w:rStyle w:val="Fett"/>
          <w:rFonts w:ascii="Arial" w:hAnsi="Arial" w:cs="Arial"/>
        </w:rPr>
        <w:t>Lohnstückkosten</w:t>
      </w:r>
      <w:r w:rsidRPr="004765D4">
        <w:rPr>
          <w:rFonts w:ascii="Arial" w:hAnsi="Arial" w:cs="Arial"/>
        </w:rPr>
        <w:t xml:space="preserve"> werden die Lohnkosten je Arbeitnehmer beziehungsweise je Arbeitnehmerstunde ins Verhältnis zur Arbeitsproduktivität je Erwerbstätigen (Personenkonzept) beziehungsweise je Erwerbstätigenstunde (Stundenkonzept) gesetzt. Die Lohnkosten setzen sich aus den Bruttolöhnen und -gehältern der Arbeitnehmer sowie den Sozialbeiträgen der Arbeitgeber zusammen.</w:t>
      </w:r>
    </w:p>
    <w:p w14:paraId="7BD5FEDA" w14:textId="77777777" w:rsidR="005E394A" w:rsidRDefault="005E394A" w:rsidP="00F42D1D">
      <w:pPr>
        <w:rPr>
          <w:rFonts w:ascii="Arial" w:hAnsi="Arial" w:cs="Arial"/>
        </w:rPr>
      </w:pPr>
    </w:p>
    <w:p w14:paraId="65C51A35" w14:textId="15420533" w:rsidR="006A0466" w:rsidRDefault="008808FC" w:rsidP="00F42D1D">
      <w:pPr>
        <w:rPr>
          <w:rFonts w:ascii="Arial" w:hAnsi="Arial" w:cs="Arial"/>
        </w:rPr>
      </w:pPr>
      <w:r w:rsidRPr="008E6DED">
        <w:rPr>
          <w:rFonts w:ascii="Arial" w:hAnsi="Arial" w:cs="Arial"/>
        </w:rPr>
        <w:t>Werden die Lohnstückkosten nicht auf Basis der jeweiligen Währung berechnet, sondern in einer einheitlichen Währung abgebildet (z.B. US-Dollar), hängt die i</w:t>
      </w:r>
      <w:r w:rsidR="006A0466" w:rsidRPr="008E6DED">
        <w:rPr>
          <w:rFonts w:ascii="Arial" w:hAnsi="Arial" w:cs="Arial"/>
        </w:rPr>
        <w:t>nternationale Wettbewerbsfähigkeit auch von</w:t>
      </w:r>
      <w:r w:rsidRPr="008E6DED">
        <w:rPr>
          <w:rFonts w:ascii="Arial" w:hAnsi="Arial" w:cs="Arial"/>
        </w:rPr>
        <w:t xml:space="preserve"> den</w:t>
      </w:r>
      <w:r w:rsidR="006A0466" w:rsidRPr="008E6DED">
        <w:rPr>
          <w:rFonts w:ascii="Arial" w:hAnsi="Arial" w:cs="Arial"/>
        </w:rPr>
        <w:t xml:space="preserve"> </w:t>
      </w:r>
      <w:r w:rsidR="006A0466" w:rsidRPr="008E6DED">
        <w:rPr>
          <w:rFonts w:ascii="Arial" w:hAnsi="Arial" w:cs="Arial"/>
          <w:b/>
          <w:bCs/>
        </w:rPr>
        <w:t>Wechselkursänderungen</w:t>
      </w:r>
      <w:r w:rsidR="006A0466" w:rsidRPr="008E6DED">
        <w:rPr>
          <w:rFonts w:ascii="Arial" w:hAnsi="Arial" w:cs="Arial"/>
        </w:rPr>
        <w:t xml:space="preserve"> ab.</w:t>
      </w:r>
      <w:r w:rsidRPr="008E6DED">
        <w:rPr>
          <w:rFonts w:ascii="Arial" w:hAnsi="Arial" w:cs="Arial"/>
        </w:rPr>
        <w:t xml:space="preserve"> </w:t>
      </w:r>
      <w:r w:rsidR="008E6DED" w:rsidRPr="008E6DED">
        <w:rPr>
          <w:rFonts w:ascii="Arial" w:hAnsi="Arial" w:cs="Arial"/>
        </w:rPr>
        <w:t xml:space="preserve">Ein Beispiel: </w:t>
      </w:r>
      <w:r w:rsidR="006A0466" w:rsidRPr="008E6DED">
        <w:rPr>
          <w:rFonts w:ascii="Arial" w:hAnsi="Arial" w:cs="Arial"/>
        </w:rPr>
        <w:t>Auf Euro-Basis stiegen in Deutschland die Lohnstückkosten zwischen 1990 und 2002 um 18,2 Prozent, zwischen 2002 und 2010 gingen sie um 5,5 Prozent zurück und zwischen 2010 und 2016 nahmen sie wiederum um 4,2 Prozent zu. Bei einem Vergleich der Lohnstückkosten auf US-Dollar-Basis hat sich die Wettbewerbsposition Deutschlands in allen drei Zeiträumen genau entgegengesetzt entwickelt: Zwischen 1990 und 2002 reduzierten sich die Lohnstückkosten auf US-Dollar-Basis um 8,1 Prozent und zwischen 2002 und 2010 stiegen sie um 32,9 Prozent. Schließlich gingen sie zwischen 2010 um 2016 um 12,9 Prozent zurück. Der Grund dafür sind die Ab- bzw. Aufwertungen des Euro gegenüber dem US-Dollar in den jeweiligen Zeiträumen.</w:t>
      </w:r>
    </w:p>
    <w:p w14:paraId="63BDA866" w14:textId="77777777" w:rsidR="005E394A" w:rsidRDefault="005E394A" w:rsidP="00F42D1D">
      <w:pPr>
        <w:rPr>
          <w:rFonts w:ascii="Arial" w:hAnsi="Arial" w:cs="Arial"/>
        </w:rPr>
      </w:pPr>
    </w:p>
    <w:p w14:paraId="5394D3FA" w14:textId="455A1CC9" w:rsidR="00F714FB" w:rsidRDefault="00F714FB" w:rsidP="00F714FB">
      <w:pPr>
        <w:rPr>
          <w:rFonts w:ascii="Arial" w:hAnsi="Arial" w:cs="Arial"/>
        </w:rPr>
      </w:pPr>
      <w:r w:rsidRPr="00F714FB">
        <w:rPr>
          <w:rFonts w:ascii="Arial" w:hAnsi="Arial" w:cs="Arial"/>
          <w:b/>
          <w:bCs/>
        </w:rPr>
        <w:t>Euroraum (20 Länder):</w:t>
      </w:r>
      <w:r w:rsidRPr="00F714FB">
        <w:rPr>
          <w:rFonts w:ascii="Arial" w:hAnsi="Arial" w:cs="Arial"/>
        </w:rPr>
        <w:t> Belgien, Deutschland, Estland, Finnland, Frankreich, Griechenland, Irland, Italien, Kroatien, Lettland, Litauen, Luxemburg, Malta, Niederlande, Österreich, Portugal, Slowakei, Slowenien, Spanien und Zypern.</w:t>
      </w:r>
      <w:r w:rsidR="005735CE">
        <w:rPr>
          <w:rFonts w:ascii="Arial" w:hAnsi="Arial" w:cs="Arial"/>
        </w:rPr>
        <w:t xml:space="preserve"> </w:t>
      </w:r>
      <w:r w:rsidRPr="00F714FB">
        <w:rPr>
          <w:rFonts w:ascii="Arial" w:hAnsi="Arial" w:cs="Arial"/>
        </w:rPr>
        <w:t>Weitere Informationen zur </w:t>
      </w:r>
      <w:r w:rsidRPr="00F714FB">
        <w:rPr>
          <w:rFonts w:ascii="Arial" w:hAnsi="Arial" w:cs="Arial"/>
          <w:b/>
          <w:bCs/>
        </w:rPr>
        <w:t>Entwicklung des Euroraums</w:t>
      </w:r>
      <w:r w:rsidRPr="00F714FB">
        <w:rPr>
          <w:rFonts w:ascii="Arial" w:hAnsi="Arial" w:cs="Arial"/>
        </w:rPr>
        <w:t> erhalten Sie</w:t>
      </w:r>
      <w:r>
        <w:rPr>
          <w:rFonts w:ascii="Arial" w:hAnsi="Arial" w:cs="Arial"/>
        </w:rPr>
        <w:t xml:space="preserve"> hier:</w:t>
      </w:r>
    </w:p>
    <w:p w14:paraId="56DAF682" w14:textId="5EC3C853" w:rsidR="00F714FB" w:rsidRDefault="00F714FB" w:rsidP="00F42D1D">
      <w:pPr>
        <w:rPr>
          <w:rFonts w:ascii="Arial" w:hAnsi="Arial" w:cs="Arial"/>
        </w:rPr>
      </w:pPr>
      <w:hyperlink r:id="rId8" w:history="1">
        <w:r w:rsidRPr="002345A6">
          <w:rPr>
            <w:rStyle w:val="Hyperlink"/>
            <w:rFonts w:ascii="Arial" w:hAnsi="Arial" w:cs="Arial"/>
          </w:rPr>
          <w:t>https://www.ecb.europa.eu/euro/intro/html/index.de.html</w:t>
        </w:r>
      </w:hyperlink>
    </w:p>
    <w:p w14:paraId="6500C71D" w14:textId="77777777" w:rsidR="00F714FB" w:rsidRPr="004765D4" w:rsidRDefault="00F714FB" w:rsidP="00F42D1D">
      <w:pPr>
        <w:rPr>
          <w:rFonts w:ascii="Arial" w:hAnsi="Arial" w:cs="Arial"/>
        </w:rPr>
      </w:pPr>
    </w:p>
    <w:p w14:paraId="7D72A4F6" w14:textId="77777777" w:rsidR="00DE5C8F" w:rsidRPr="00D83506" w:rsidRDefault="00DE5C8F" w:rsidP="00DE5C8F">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5087C722" w14:textId="23D5D1B2" w:rsidR="00F42D1D" w:rsidRPr="00DE5C8F" w:rsidRDefault="00DE5C8F" w:rsidP="00DE5C8F">
      <w:pPr>
        <w:rPr>
          <w:rFonts w:ascii="Arial" w:hAnsi="Arial"/>
        </w:rPr>
      </w:pPr>
      <w:r w:rsidRPr="00D83506">
        <w:rPr>
          <w:rFonts w:ascii="Arial" w:hAnsi="Arial"/>
          <w:sz w:val="20"/>
          <w:szCs w:val="20"/>
        </w:rPr>
        <w:t>Bundeszentrale für politische Bildung 202</w:t>
      </w:r>
      <w:r>
        <w:rPr>
          <w:rFonts w:ascii="Arial" w:hAnsi="Arial"/>
          <w:sz w:val="20"/>
          <w:szCs w:val="20"/>
        </w:rPr>
        <w:t>5</w:t>
      </w:r>
      <w:r w:rsidRPr="00D83506">
        <w:rPr>
          <w:rFonts w:ascii="Arial" w:hAnsi="Arial"/>
          <w:sz w:val="20"/>
          <w:szCs w:val="20"/>
        </w:rPr>
        <w:t xml:space="preserve"> | </w:t>
      </w:r>
      <w:hyperlink r:id="rId9" w:history="1">
        <w:r w:rsidRPr="00D83506">
          <w:rPr>
            <w:rFonts w:ascii="Arial" w:hAnsi="Arial"/>
            <w:sz w:val="20"/>
            <w:szCs w:val="20"/>
          </w:rPr>
          <w:t>www.bpb.de</w:t>
        </w:r>
      </w:hyperlink>
    </w:p>
    <w:sectPr w:rsidR="00F42D1D" w:rsidRPr="00DE5C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0FAC" w14:textId="77777777" w:rsidR="006739DD" w:rsidRDefault="006739DD" w:rsidP="0069686C">
      <w:r>
        <w:separator/>
      </w:r>
    </w:p>
  </w:endnote>
  <w:endnote w:type="continuationSeparator" w:id="0">
    <w:p w14:paraId="110EFB23" w14:textId="77777777" w:rsidR="006739DD" w:rsidRDefault="006739DD" w:rsidP="0069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6650" w14:textId="77777777" w:rsidR="006739DD" w:rsidRDefault="006739DD" w:rsidP="0069686C">
      <w:r>
        <w:separator/>
      </w:r>
    </w:p>
  </w:footnote>
  <w:footnote w:type="continuationSeparator" w:id="0">
    <w:p w14:paraId="43BA9459" w14:textId="77777777" w:rsidR="006739DD" w:rsidRDefault="006739DD" w:rsidP="00696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E4696"/>
    <w:multiLevelType w:val="hybridMultilevel"/>
    <w:tmpl w:val="7160E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36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C2"/>
    <w:rsid w:val="00020CC0"/>
    <w:rsid w:val="00026BF0"/>
    <w:rsid w:val="000303F2"/>
    <w:rsid w:val="00051AE9"/>
    <w:rsid w:val="00056693"/>
    <w:rsid w:val="00063346"/>
    <w:rsid w:val="00071E38"/>
    <w:rsid w:val="000730B7"/>
    <w:rsid w:val="00087676"/>
    <w:rsid w:val="000B1468"/>
    <w:rsid w:val="000E7DA9"/>
    <w:rsid w:val="00103644"/>
    <w:rsid w:val="00155D0F"/>
    <w:rsid w:val="00164D22"/>
    <w:rsid w:val="001751B2"/>
    <w:rsid w:val="00177D57"/>
    <w:rsid w:val="00180EC2"/>
    <w:rsid w:val="00184837"/>
    <w:rsid w:val="0018780A"/>
    <w:rsid w:val="001931C0"/>
    <w:rsid w:val="0019630E"/>
    <w:rsid w:val="001A3861"/>
    <w:rsid w:val="001D0FDD"/>
    <w:rsid w:val="001D3129"/>
    <w:rsid w:val="001D7AF6"/>
    <w:rsid w:val="001F14F1"/>
    <w:rsid w:val="00204ECB"/>
    <w:rsid w:val="00227AC5"/>
    <w:rsid w:val="00230C60"/>
    <w:rsid w:val="00233C3A"/>
    <w:rsid w:val="00242CDA"/>
    <w:rsid w:val="002740B7"/>
    <w:rsid w:val="00277232"/>
    <w:rsid w:val="00282F4C"/>
    <w:rsid w:val="002A0982"/>
    <w:rsid w:val="002A6E05"/>
    <w:rsid w:val="002B6403"/>
    <w:rsid w:val="002B7A61"/>
    <w:rsid w:val="002C128D"/>
    <w:rsid w:val="002E5CCF"/>
    <w:rsid w:val="00300D36"/>
    <w:rsid w:val="00303377"/>
    <w:rsid w:val="00355504"/>
    <w:rsid w:val="0035777A"/>
    <w:rsid w:val="003801B3"/>
    <w:rsid w:val="003803D2"/>
    <w:rsid w:val="003A0C00"/>
    <w:rsid w:val="003B4D5A"/>
    <w:rsid w:val="003D0502"/>
    <w:rsid w:val="003D3891"/>
    <w:rsid w:val="003E4C86"/>
    <w:rsid w:val="003F62EC"/>
    <w:rsid w:val="00405DCB"/>
    <w:rsid w:val="00430106"/>
    <w:rsid w:val="00445CDF"/>
    <w:rsid w:val="004500B4"/>
    <w:rsid w:val="004612A3"/>
    <w:rsid w:val="00467B29"/>
    <w:rsid w:val="004765D4"/>
    <w:rsid w:val="004946A2"/>
    <w:rsid w:val="004A4088"/>
    <w:rsid w:val="004E773F"/>
    <w:rsid w:val="0050578C"/>
    <w:rsid w:val="00544DF7"/>
    <w:rsid w:val="00557B15"/>
    <w:rsid w:val="00562762"/>
    <w:rsid w:val="005735CE"/>
    <w:rsid w:val="005911C9"/>
    <w:rsid w:val="005A0AFB"/>
    <w:rsid w:val="005A3621"/>
    <w:rsid w:val="005B395B"/>
    <w:rsid w:val="005B6F96"/>
    <w:rsid w:val="005E394A"/>
    <w:rsid w:val="006172F7"/>
    <w:rsid w:val="0062291D"/>
    <w:rsid w:val="00622E14"/>
    <w:rsid w:val="0063793F"/>
    <w:rsid w:val="006623D1"/>
    <w:rsid w:val="00665D92"/>
    <w:rsid w:val="006739DD"/>
    <w:rsid w:val="0069686C"/>
    <w:rsid w:val="006A0466"/>
    <w:rsid w:val="006A3317"/>
    <w:rsid w:val="006D0B0C"/>
    <w:rsid w:val="006D77BC"/>
    <w:rsid w:val="006E2CCC"/>
    <w:rsid w:val="006E50D3"/>
    <w:rsid w:val="006F3044"/>
    <w:rsid w:val="007004C5"/>
    <w:rsid w:val="00705D62"/>
    <w:rsid w:val="007125C4"/>
    <w:rsid w:val="00717387"/>
    <w:rsid w:val="00721A30"/>
    <w:rsid w:val="00736359"/>
    <w:rsid w:val="00742CDF"/>
    <w:rsid w:val="0074731E"/>
    <w:rsid w:val="007717EA"/>
    <w:rsid w:val="00773226"/>
    <w:rsid w:val="007855D1"/>
    <w:rsid w:val="00785EA5"/>
    <w:rsid w:val="00793FBE"/>
    <w:rsid w:val="0079744B"/>
    <w:rsid w:val="007975AE"/>
    <w:rsid w:val="007C0ACF"/>
    <w:rsid w:val="007C2F5F"/>
    <w:rsid w:val="007C402E"/>
    <w:rsid w:val="007D65F1"/>
    <w:rsid w:val="007D6E3F"/>
    <w:rsid w:val="007F1735"/>
    <w:rsid w:val="00810EDB"/>
    <w:rsid w:val="00834020"/>
    <w:rsid w:val="00836D41"/>
    <w:rsid w:val="00843C2C"/>
    <w:rsid w:val="00860BC1"/>
    <w:rsid w:val="008613C6"/>
    <w:rsid w:val="00876540"/>
    <w:rsid w:val="008808FC"/>
    <w:rsid w:val="008A1D0B"/>
    <w:rsid w:val="008B552F"/>
    <w:rsid w:val="008C7893"/>
    <w:rsid w:val="008D4C5B"/>
    <w:rsid w:val="008E39AB"/>
    <w:rsid w:val="008E6DED"/>
    <w:rsid w:val="009063F2"/>
    <w:rsid w:val="009242D6"/>
    <w:rsid w:val="00945BCF"/>
    <w:rsid w:val="00950B89"/>
    <w:rsid w:val="00954B9E"/>
    <w:rsid w:val="00972745"/>
    <w:rsid w:val="00987954"/>
    <w:rsid w:val="009915BA"/>
    <w:rsid w:val="009F2CC5"/>
    <w:rsid w:val="00A25432"/>
    <w:rsid w:val="00A33366"/>
    <w:rsid w:val="00A37A21"/>
    <w:rsid w:val="00A4380F"/>
    <w:rsid w:val="00A45344"/>
    <w:rsid w:val="00A52628"/>
    <w:rsid w:val="00A53937"/>
    <w:rsid w:val="00A92A57"/>
    <w:rsid w:val="00A96999"/>
    <w:rsid w:val="00AB3786"/>
    <w:rsid w:val="00AB439B"/>
    <w:rsid w:val="00AB6ACF"/>
    <w:rsid w:val="00AE5928"/>
    <w:rsid w:val="00AE6010"/>
    <w:rsid w:val="00AF4BFC"/>
    <w:rsid w:val="00B118F7"/>
    <w:rsid w:val="00B20D9C"/>
    <w:rsid w:val="00B30562"/>
    <w:rsid w:val="00B31328"/>
    <w:rsid w:val="00B37B46"/>
    <w:rsid w:val="00B5110B"/>
    <w:rsid w:val="00B82C4A"/>
    <w:rsid w:val="00B8654E"/>
    <w:rsid w:val="00BA6CC3"/>
    <w:rsid w:val="00BC3145"/>
    <w:rsid w:val="00BE0F5E"/>
    <w:rsid w:val="00BE7A91"/>
    <w:rsid w:val="00BF053B"/>
    <w:rsid w:val="00BF4D34"/>
    <w:rsid w:val="00C02F1E"/>
    <w:rsid w:val="00C32DE9"/>
    <w:rsid w:val="00C5392F"/>
    <w:rsid w:val="00C70CB5"/>
    <w:rsid w:val="00C76C2F"/>
    <w:rsid w:val="00C85C36"/>
    <w:rsid w:val="00CD77F2"/>
    <w:rsid w:val="00D001BF"/>
    <w:rsid w:val="00D04F87"/>
    <w:rsid w:val="00D112EE"/>
    <w:rsid w:val="00D11C11"/>
    <w:rsid w:val="00D3391F"/>
    <w:rsid w:val="00D35BAF"/>
    <w:rsid w:val="00D37A75"/>
    <w:rsid w:val="00D43896"/>
    <w:rsid w:val="00D833AB"/>
    <w:rsid w:val="00D93E86"/>
    <w:rsid w:val="00D973E4"/>
    <w:rsid w:val="00DB139C"/>
    <w:rsid w:val="00DB1FF1"/>
    <w:rsid w:val="00DB28C9"/>
    <w:rsid w:val="00DB6D83"/>
    <w:rsid w:val="00DD31E1"/>
    <w:rsid w:val="00DD40C5"/>
    <w:rsid w:val="00DD5972"/>
    <w:rsid w:val="00DE14FB"/>
    <w:rsid w:val="00DE5C8F"/>
    <w:rsid w:val="00DF68DE"/>
    <w:rsid w:val="00E018D7"/>
    <w:rsid w:val="00E0708F"/>
    <w:rsid w:val="00E31895"/>
    <w:rsid w:val="00E7573E"/>
    <w:rsid w:val="00EA28C2"/>
    <w:rsid w:val="00ED5FB9"/>
    <w:rsid w:val="00EF0734"/>
    <w:rsid w:val="00F00A69"/>
    <w:rsid w:val="00F0316B"/>
    <w:rsid w:val="00F03C53"/>
    <w:rsid w:val="00F42D1D"/>
    <w:rsid w:val="00F6246E"/>
    <w:rsid w:val="00F714FB"/>
    <w:rsid w:val="00F717A3"/>
    <w:rsid w:val="00F71B03"/>
    <w:rsid w:val="00F72CD7"/>
    <w:rsid w:val="00F96171"/>
    <w:rsid w:val="00FB337C"/>
    <w:rsid w:val="00FB38E7"/>
    <w:rsid w:val="00FC4331"/>
    <w:rsid w:val="00FD6965"/>
    <w:rsid w:val="00FF2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F0D15"/>
  <w15:docId w15:val="{83AC4238-83F5-448C-8A01-938A976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128D"/>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EA28C2"/>
    <w:rPr>
      <w:rFonts w:ascii="Tahoma" w:hAnsi="Tahoma" w:cs="Tahoma"/>
      <w:sz w:val="16"/>
      <w:szCs w:val="16"/>
    </w:rPr>
  </w:style>
  <w:style w:type="character" w:styleId="Fett">
    <w:name w:val="Strong"/>
    <w:basedOn w:val="Absatz-Standardschriftart"/>
    <w:uiPriority w:val="22"/>
    <w:qFormat/>
    <w:rsid w:val="00544DF7"/>
    <w:rPr>
      <w:b/>
      <w:bCs/>
    </w:rPr>
  </w:style>
  <w:style w:type="paragraph" w:styleId="Kopfzeile">
    <w:name w:val="header"/>
    <w:basedOn w:val="Standard"/>
    <w:link w:val="KopfzeileZchn"/>
    <w:uiPriority w:val="99"/>
    <w:unhideWhenUsed/>
    <w:rsid w:val="0069686C"/>
    <w:pPr>
      <w:tabs>
        <w:tab w:val="center" w:pos="4536"/>
        <w:tab w:val="right" w:pos="9072"/>
      </w:tabs>
    </w:pPr>
  </w:style>
  <w:style w:type="character" w:customStyle="1" w:styleId="KopfzeileZchn">
    <w:name w:val="Kopfzeile Zchn"/>
    <w:basedOn w:val="Absatz-Standardschriftart"/>
    <w:link w:val="Kopfzeile"/>
    <w:uiPriority w:val="99"/>
    <w:rsid w:val="0069686C"/>
    <w:rPr>
      <w:sz w:val="24"/>
      <w:szCs w:val="24"/>
    </w:rPr>
  </w:style>
  <w:style w:type="paragraph" w:styleId="Fuzeile">
    <w:name w:val="footer"/>
    <w:basedOn w:val="Standard"/>
    <w:link w:val="FuzeileZchn"/>
    <w:uiPriority w:val="99"/>
    <w:unhideWhenUsed/>
    <w:rsid w:val="0069686C"/>
    <w:pPr>
      <w:tabs>
        <w:tab w:val="center" w:pos="4536"/>
        <w:tab w:val="right" w:pos="9072"/>
      </w:tabs>
    </w:pPr>
  </w:style>
  <w:style w:type="character" w:customStyle="1" w:styleId="FuzeileZchn">
    <w:name w:val="Fußzeile Zchn"/>
    <w:basedOn w:val="Absatz-Standardschriftart"/>
    <w:link w:val="Fuzeile"/>
    <w:uiPriority w:val="99"/>
    <w:rsid w:val="0069686C"/>
    <w:rPr>
      <w:sz w:val="24"/>
      <w:szCs w:val="24"/>
    </w:rPr>
  </w:style>
  <w:style w:type="character" w:styleId="NichtaufgelsteErwhnung">
    <w:name w:val="Unresolved Mention"/>
    <w:basedOn w:val="Absatz-Standardschriftart"/>
    <w:uiPriority w:val="99"/>
    <w:semiHidden/>
    <w:unhideWhenUsed/>
    <w:rsid w:val="00F714FB"/>
    <w:rPr>
      <w:color w:val="605E5C"/>
      <w:shd w:val="clear" w:color="auto" w:fill="E1DFDD"/>
    </w:rPr>
  </w:style>
  <w:style w:type="paragraph" w:styleId="Listenabsatz">
    <w:name w:val="List Paragraph"/>
    <w:basedOn w:val="Standard"/>
    <w:uiPriority w:val="34"/>
    <w:qFormat/>
    <w:rsid w:val="00155D0F"/>
    <w:pPr>
      <w:ind w:left="720"/>
      <w:contextualSpacing/>
    </w:pPr>
  </w:style>
  <w:style w:type="paragraph" w:styleId="Kommentarthema">
    <w:name w:val="annotation subject"/>
    <w:basedOn w:val="Kommentartext"/>
    <w:next w:val="Kommentartext"/>
    <w:link w:val="KommentarthemaZchn"/>
    <w:uiPriority w:val="99"/>
    <w:semiHidden/>
    <w:unhideWhenUsed/>
    <w:rsid w:val="00F96171"/>
    <w:rPr>
      <w:b/>
      <w:bCs/>
      <w:szCs w:val="20"/>
    </w:rPr>
  </w:style>
  <w:style w:type="character" w:customStyle="1" w:styleId="KommentartextZchn">
    <w:name w:val="Kommentartext Zchn"/>
    <w:basedOn w:val="Absatz-Standardschriftart"/>
    <w:link w:val="Kommentartext"/>
    <w:semiHidden/>
    <w:rsid w:val="00F96171"/>
    <w:rPr>
      <w:szCs w:val="24"/>
    </w:rPr>
  </w:style>
  <w:style w:type="character" w:customStyle="1" w:styleId="KommentarthemaZchn">
    <w:name w:val="Kommentarthema Zchn"/>
    <w:basedOn w:val="KommentartextZchn"/>
    <w:link w:val="Kommentarthema"/>
    <w:uiPriority w:val="99"/>
    <w:semiHidden/>
    <w:rsid w:val="00F96171"/>
    <w:rPr>
      <w:b/>
      <w:bCs/>
      <w:szCs w:val="24"/>
    </w:rPr>
  </w:style>
  <w:style w:type="paragraph" w:styleId="berarbeitung">
    <w:name w:val="Revision"/>
    <w:hidden/>
    <w:uiPriority w:val="99"/>
    <w:semiHidden/>
    <w:rsid w:val="00AE60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2397">
      <w:bodyDiv w:val="1"/>
      <w:marLeft w:val="0"/>
      <w:marRight w:val="0"/>
      <w:marTop w:val="0"/>
      <w:marBottom w:val="0"/>
      <w:divBdr>
        <w:top w:val="none" w:sz="0" w:space="0" w:color="auto"/>
        <w:left w:val="none" w:sz="0" w:space="0" w:color="auto"/>
        <w:bottom w:val="none" w:sz="0" w:space="0" w:color="auto"/>
        <w:right w:val="none" w:sz="0" w:space="0" w:color="auto"/>
      </w:divBdr>
    </w:div>
    <w:div w:id="12168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euro/intro/html/index.d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C386-3AF3-4032-8DA5-658EE93E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8387</Characters>
  <Application>Microsoft Office Word</Application>
  <DocSecurity>0</DocSecurity>
  <Lines>152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9627</CharactersWithSpaces>
  <SharedDoc>false</SharedDoc>
  <HLinks>
    <vt:vector size="6" baseType="variant">
      <vt:variant>
        <vt:i4>5</vt:i4>
      </vt:variant>
      <vt:variant>
        <vt:i4>0</vt:i4>
      </vt:variant>
      <vt:variant>
        <vt:i4>0</vt:i4>
      </vt:variant>
      <vt:variant>
        <vt:i4>5</vt:i4>
      </vt:variant>
      <vt:variant>
        <vt:lpwstr>http://www.ecb.int/stats/exchange/eurofxref/html/eurofxref-graph-gbp.en.html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4</cp:revision>
  <dcterms:created xsi:type="dcterms:W3CDTF">2026-03-06T09:26:00Z</dcterms:created>
  <dcterms:modified xsi:type="dcterms:W3CDTF">2026-03-15T14:56:00Z</dcterms:modified>
</cp:coreProperties>
</file>