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335B4" w14:textId="5ADFAFE0" w:rsidR="00B518E9" w:rsidRDefault="000D5268" w:rsidP="000D526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  <w:r w:rsidRPr="00B518E9">
        <w:rPr>
          <w:rFonts w:ascii="Arial" w:hAnsi="Arial" w:cs="Arial"/>
          <w:b/>
        </w:rPr>
        <w:t>Viele Staaten sind in hohem Maße von ihren Rohstoffexporten und damit von der Entwicklung der Rohstoffpreise abhängig.</w:t>
      </w:r>
    </w:p>
    <w:p w14:paraId="526B0003" w14:textId="77777777" w:rsidR="00B518E9" w:rsidRPr="00B518E9" w:rsidRDefault="00B518E9" w:rsidP="00B518E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D84D84D" w14:textId="77777777" w:rsidR="00B518E9" w:rsidRPr="00B518E9" w:rsidRDefault="000D5268" w:rsidP="00B518E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B518E9">
        <w:rPr>
          <w:rFonts w:ascii="Arial" w:hAnsi="Arial" w:cs="Arial"/>
          <w:b/>
        </w:rPr>
        <w:t xml:space="preserve">Die realen Preise für </w:t>
      </w:r>
      <w:r w:rsidR="00E278A1" w:rsidRPr="00B518E9">
        <w:rPr>
          <w:rFonts w:ascii="Arial" w:hAnsi="Arial" w:cs="Arial"/>
          <w:b/>
        </w:rPr>
        <w:t xml:space="preserve">Nahrungs- und Genussmittel-Rohstoffe </w:t>
      </w:r>
      <w:r w:rsidRPr="00B518E9">
        <w:rPr>
          <w:rFonts w:ascii="Arial" w:hAnsi="Arial" w:cs="Arial"/>
          <w:b/>
        </w:rPr>
        <w:t>sowie für Industrierohstoffe sind seit Mitte der 1970er-Jahre insgesamt gesunken. Ihren historischen Tiefststand erreichten die Preise in den Jahren 2001/2002.</w:t>
      </w:r>
    </w:p>
    <w:p w14:paraId="09BC1508" w14:textId="77777777" w:rsidR="00B518E9" w:rsidRDefault="00B518E9" w:rsidP="000D526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66438F4" w14:textId="0F7F92A0" w:rsidR="000D5268" w:rsidRPr="00B518E9" w:rsidRDefault="00E278A1" w:rsidP="00B518E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518E9">
        <w:rPr>
          <w:rFonts w:ascii="Arial" w:hAnsi="Arial" w:cs="Arial"/>
          <w:b/>
        </w:rPr>
        <w:t xml:space="preserve">Im Jahr 2022 lagen die realen </w:t>
      </w:r>
      <w:r w:rsidR="000D5268" w:rsidRPr="00B518E9">
        <w:rPr>
          <w:rFonts w:ascii="Arial" w:hAnsi="Arial" w:cs="Arial"/>
          <w:b/>
        </w:rPr>
        <w:t xml:space="preserve">Preise für Nahrungs- und Genussmittel-Rohstoffe </w:t>
      </w:r>
      <w:r w:rsidRPr="00B518E9">
        <w:rPr>
          <w:rFonts w:ascii="Arial" w:hAnsi="Arial" w:cs="Arial"/>
          <w:b/>
        </w:rPr>
        <w:t xml:space="preserve">um 94 Prozent höher als 2001 und für </w:t>
      </w:r>
      <w:r w:rsidR="000D5268" w:rsidRPr="00B518E9">
        <w:rPr>
          <w:rFonts w:ascii="Arial" w:hAnsi="Arial" w:cs="Arial"/>
          <w:b/>
        </w:rPr>
        <w:t xml:space="preserve">Industrierohstoffe </w:t>
      </w:r>
      <w:r w:rsidRPr="00B518E9">
        <w:rPr>
          <w:rFonts w:ascii="Arial" w:hAnsi="Arial" w:cs="Arial"/>
          <w:b/>
        </w:rPr>
        <w:t>um 92 Prozent höher als 200</w:t>
      </w:r>
      <w:r w:rsidR="00502CEF" w:rsidRPr="00B518E9">
        <w:rPr>
          <w:rFonts w:ascii="Arial" w:hAnsi="Arial" w:cs="Arial"/>
          <w:b/>
        </w:rPr>
        <w:t>2</w:t>
      </w:r>
      <w:r w:rsidR="000D5268" w:rsidRPr="00B518E9">
        <w:rPr>
          <w:rFonts w:ascii="Arial" w:hAnsi="Arial" w:cs="Arial"/>
          <w:b/>
        </w:rPr>
        <w:t>.</w:t>
      </w:r>
    </w:p>
    <w:p w14:paraId="4DE991A0" w14:textId="77777777" w:rsidR="000D5268" w:rsidRPr="00BE2A9E" w:rsidRDefault="000D5268" w:rsidP="005E58C9">
      <w:pPr>
        <w:autoSpaceDE w:val="0"/>
        <w:autoSpaceDN w:val="0"/>
        <w:adjustRightInd w:val="0"/>
        <w:rPr>
          <w:rFonts w:ascii="Arial" w:hAnsi="Arial" w:cs="Arial"/>
        </w:rPr>
      </w:pPr>
    </w:p>
    <w:p w14:paraId="14848EAE" w14:textId="77777777" w:rsidR="00C15BD6" w:rsidRPr="00BE2A9E" w:rsidRDefault="00C15BD6">
      <w:pPr>
        <w:rPr>
          <w:rFonts w:ascii="Arial" w:hAnsi="Arial" w:cs="Arial"/>
          <w:color w:val="FF0000"/>
        </w:rPr>
      </w:pPr>
      <w:r w:rsidRPr="00BE2A9E">
        <w:rPr>
          <w:rFonts w:ascii="Arial" w:hAnsi="Arial" w:cs="Arial"/>
          <w:color w:val="FF0000"/>
        </w:rPr>
        <w:t>Fakten</w:t>
      </w:r>
    </w:p>
    <w:p w14:paraId="3C625DBC" w14:textId="77777777" w:rsidR="00C15BD6" w:rsidRPr="00BE2A9E" w:rsidRDefault="00C15BD6" w:rsidP="00FF67BB">
      <w:pPr>
        <w:autoSpaceDE w:val="0"/>
        <w:autoSpaceDN w:val="0"/>
        <w:adjustRightInd w:val="0"/>
        <w:rPr>
          <w:rFonts w:ascii="Arial" w:hAnsi="Arial" w:cs="Arial"/>
        </w:rPr>
      </w:pPr>
    </w:p>
    <w:p w14:paraId="24B2DBCD" w14:textId="77777777" w:rsidR="000319B5" w:rsidRPr="00BE2A9E" w:rsidRDefault="000319B5" w:rsidP="00975838">
      <w:pPr>
        <w:autoSpaceDE w:val="0"/>
        <w:autoSpaceDN w:val="0"/>
        <w:adjustRightInd w:val="0"/>
        <w:rPr>
          <w:rFonts w:ascii="Arial" w:hAnsi="Arial" w:cs="Arial"/>
        </w:rPr>
      </w:pPr>
      <w:r w:rsidRPr="00BE2A9E">
        <w:rPr>
          <w:rFonts w:ascii="Arial" w:hAnsi="Arial" w:cs="Arial"/>
        </w:rPr>
        <w:t xml:space="preserve">Für zahlreiche ökonomisch sich entwickelnde Staaten </w:t>
      </w:r>
      <w:r w:rsidR="005C7C87" w:rsidRPr="00BE2A9E">
        <w:rPr>
          <w:rFonts w:ascii="Arial" w:hAnsi="Arial" w:cs="Arial"/>
        </w:rPr>
        <w:t xml:space="preserve">haben </w:t>
      </w:r>
      <w:r w:rsidRPr="00BE2A9E">
        <w:rPr>
          <w:rFonts w:ascii="Arial" w:hAnsi="Arial" w:cs="Arial"/>
        </w:rPr>
        <w:t xml:space="preserve">die Rohstoffpreise </w:t>
      </w:r>
      <w:r w:rsidR="005C7C87" w:rsidRPr="00BE2A9E">
        <w:rPr>
          <w:rFonts w:ascii="Arial" w:hAnsi="Arial" w:cs="Arial"/>
        </w:rPr>
        <w:t xml:space="preserve">eine große </w:t>
      </w:r>
      <w:r w:rsidRPr="00BE2A9E">
        <w:rPr>
          <w:rFonts w:ascii="Arial" w:hAnsi="Arial" w:cs="Arial"/>
        </w:rPr>
        <w:t xml:space="preserve">Bedeutung, da </w:t>
      </w:r>
      <w:r w:rsidR="00140A13" w:rsidRPr="00BE2A9E">
        <w:rPr>
          <w:rFonts w:ascii="Arial" w:hAnsi="Arial" w:cs="Arial"/>
        </w:rPr>
        <w:t xml:space="preserve">die </w:t>
      </w:r>
      <w:r w:rsidR="00B25E3A" w:rsidRPr="00BE2A9E">
        <w:rPr>
          <w:rFonts w:ascii="Arial" w:hAnsi="Arial" w:cs="Arial"/>
        </w:rPr>
        <w:t>Rohstoffexporte</w:t>
      </w:r>
      <w:r w:rsidRPr="00BE2A9E">
        <w:rPr>
          <w:rFonts w:ascii="Arial" w:hAnsi="Arial" w:cs="Arial"/>
        </w:rPr>
        <w:t xml:space="preserve"> </w:t>
      </w:r>
      <w:r w:rsidR="00B25E3A" w:rsidRPr="00BE2A9E">
        <w:rPr>
          <w:rFonts w:ascii="Arial" w:hAnsi="Arial" w:cs="Arial"/>
        </w:rPr>
        <w:t xml:space="preserve">einen </w:t>
      </w:r>
      <w:r w:rsidRPr="00BE2A9E">
        <w:rPr>
          <w:rFonts w:ascii="Arial" w:hAnsi="Arial" w:cs="Arial"/>
        </w:rPr>
        <w:t xml:space="preserve">positiven Beitrag zur Handelsbilanz leisten bzw. einen </w:t>
      </w:r>
      <w:r w:rsidR="005C7C87" w:rsidRPr="00BE2A9E">
        <w:rPr>
          <w:rFonts w:ascii="Arial" w:hAnsi="Arial" w:cs="Arial"/>
        </w:rPr>
        <w:t>nennenswerten</w:t>
      </w:r>
      <w:r w:rsidR="00B25E3A" w:rsidRPr="00BE2A9E">
        <w:rPr>
          <w:rFonts w:ascii="Arial" w:hAnsi="Arial" w:cs="Arial"/>
        </w:rPr>
        <w:t xml:space="preserve"> </w:t>
      </w:r>
      <w:r w:rsidR="00140A13" w:rsidRPr="00BE2A9E">
        <w:rPr>
          <w:rFonts w:ascii="Arial" w:hAnsi="Arial" w:cs="Arial"/>
        </w:rPr>
        <w:t>T</w:t>
      </w:r>
      <w:r w:rsidR="00B25E3A" w:rsidRPr="00BE2A9E">
        <w:rPr>
          <w:rFonts w:ascii="Arial" w:hAnsi="Arial" w:cs="Arial"/>
        </w:rPr>
        <w:t xml:space="preserve">eil </w:t>
      </w:r>
      <w:r w:rsidR="00140A13" w:rsidRPr="00BE2A9E">
        <w:rPr>
          <w:rFonts w:ascii="Arial" w:hAnsi="Arial" w:cs="Arial"/>
        </w:rPr>
        <w:t>zu</w:t>
      </w:r>
      <w:r w:rsidRPr="00BE2A9E">
        <w:rPr>
          <w:rFonts w:ascii="Arial" w:hAnsi="Arial" w:cs="Arial"/>
        </w:rPr>
        <w:t xml:space="preserve"> den privaten und öffentlichen </w:t>
      </w:r>
      <w:r w:rsidR="00B25E3A" w:rsidRPr="00BE2A9E">
        <w:rPr>
          <w:rFonts w:ascii="Arial" w:hAnsi="Arial" w:cs="Arial"/>
        </w:rPr>
        <w:t xml:space="preserve">Einnahmen </w:t>
      </w:r>
      <w:r w:rsidR="00140A13" w:rsidRPr="00BE2A9E">
        <w:rPr>
          <w:rFonts w:ascii="Arial" w:hAnsi="Arial" w:cs="Arial"/>
        </w:rPr>
        <w:t>beitragen</w:t>
      </w:r>
      <w:r w:rsidRPr="00BE2A9E">
        <w:rPr>
          <w:rFonts w:ascii="Arial" w:hAnsi="Arial" w:cs="Arial"/>
        </w:rPr>
        <w:t xml:space="preserve">. Zudem </w:t>
      </w:r>
      <w:r w:rsidR="00140A13" w:rsidRPr="00BE2A9E">
        <w:rPr>
          <w:rFonts w:ascii="Arial" w:hAnsi="Arial" w:cs="Arial"/>
        </w:rPr>
        <w:t xml:space="preserve">werden über die </w:t>
      </w:r>
      <w:r w:rsidRPr="00BE2A9E">
        <w:rPr>
          <w:rFonts w:ascii="Arial" w:hAnsi="Arial" w:cs="Arial"/>
        </w:rPr>
        <w:t>Rohstoffexport</w:t>
      </w:r>
      <w:r w:rsidR="00140A13" w:rsidRPr="00BE2A9E">
        <w:rPr>
          <w:rFonts w:ascii="Arial" w:hAnsi="Arial" w:cs="Arial"/>
        </w:rPr>
        <w:t>e</w:t>
      </w:r>
      <w:r w:rsidRPr="00BE2A9E">
        <w:rPr>
          <w:rFonts w:ascii="Arial" w:hAnsi="Arial" w:cs="Arial"/>
        </w:rPr>
        <w:t xml:space="preserve"> Devisen </w:t>
      </w:r>
      <w:r w:rsidR="00140A13" w:rsidRPr="00BE2A9E">
        <w:rPr>
          <w:rFonts w:ascii="Arial" w:hAnsi="Arial" w:cs="Arial"/>
        </w:rPr>
        <w:t>eingenommen</w:t>
      </w:r>
      <w:r w:rsidRPr="00BE2A9E">
        <w:rPr>
          <w:rFonts w:ascii="Arial" w:hAnsi="Arial" w:cs="Arial"/>
        </w:rPr>
        <w:t>.</w:t>
      </w:r>
    </w:p>
    <w:p w14:paraId="35A2AD73" w14:textId="77777777" w:rsidR="00393B52" w:rsidRPr="00BE2A9E" w:rsidRDefault="00393B52" w:rsidP="00975838">
      <w:pPr>
        <w:autoSpaceDE w:val="0"/>
        <w:autoSpaceDN w:val="0"/>
        <w:adjustRightInd w:val="0"/>
        <w:rPr>
          <w:rFonts w:ascii="Arial" w:hAnsi="Arial" w:cs="Arial"/>
        </w:rPr>
      </w:pPr>
    </w:p>
    <w:p w14:paraId="2FBEEDE1" w14:textId="58BEDD46" w:rsidR="006F2223" w:rsidRPr="00BE2A9E" w:rsidRDefault="006F2223" w:rsidP="00BB6309">
      <w:pPr>
        <w:autoSpaceDE w:val="0"/>
        <w:autoSpaceDN w:val="0"/>
        <w:adjustRightInd w:val="0"/>
        <w:rPr>
          <w:rFonts w:ascii="Arial" w:hAnsi="Arial" w:cs="Arial"/>
        </w:rPr>
      </w:pPr>
      <w:r w:rsidRPr="00BE2A9E">
        <w:rPr>
          <w:rFonts w:ascii="Arial" w:hAnsi="Arial" w:cs="Arial"/>
        </w:rPr>
        <w:t>D</w:t>
      </w:r>
      <w:r w:rsidR="00BF6AE1" w:rsidRPr="00BE2A9E">
        <w:rPr>
          <w:rFonts w:ascii="Arial" w:hAnsi="Arial" w:cs="Arial"/>
        </w:rPr>
        <w:t>ie Abhängigkeit von Rohstoffexporten und damit von den Rohstoffpreisen reich</w:t>
      </w:r>
      <w:r w:rsidRPr="00BE2A9E">
        <w:rPr>
          <w:rFonts w:ascii="Arial" w:hAnsi="Arial" w:cs="Arial"/>
        </w:rPr>
        <w:t>t zu</w:t>
      </w:r>
      <w:r w:rsidR="00FF67BB" w:rsidRPr="00BE2A9E">
        <w:rPr>
          <w:rFonts w:ascii="Arial" w:hAnsi="Arial" w:cs="Arial"/>
        </w:rPr>
        <w:t>m</w:t>
      </w:r>
      <w:r w:rsidRPr="00BE2A9E">
        <w:rPr>
          <w:rFonts w:ascii="Arial" w:hAnsi="Arial" w:cs="Arial"/>
        </w:rPr>
        <w:t xml:space="preserve"> Teil sehr weit</w:t>
      </w:r>
      <w:r w:rsidR="005C7C87" w:rsidRPr="00BE2A9E">
        <w:rPr>
          <w:rFonts w:ascii="Arial" w:hAnsi="Arial" w:cs="Arial"/>
        </w:rPr>
        <w:t>:</w:t>
      </w:r>
      <w:r w:rsidRPr="00BE2A9E">
        <w:rPr>
          <w:rFonts w:ascii="Arial" w:hAnsi="Arial" w:cs="Arial"/>
        </w:rPr>
        <w:t xml:space="preserve"> Nach Angaben der </w:t>
      </w:r>
      <w:r w:rsidR="00BF6AE1" w:rsidRPr="00BE2A9E">
        <w:rPr>
          <w:rFonts w:ascii="Arial" w:hAnsi="Arial" w:cs="Arial"/>
        </w:rPr>
        <w:t xml:space="preserve">United Nations Conference on Trade and Development (UNCTAD) </w:t>
      </w:r>
      <w:r w:rsidRPr="00BE2A9E">
        <w:rPr>
          <w:rFonts w:ascii="Arial" w:hAnsi="Arial" w:cs="Arial"/>
        </w:rPr>
        <w:t xml:space="preserve">lag </w:t>
      </w:r>
      <w:r w:rsidR="00FF67BB" w:rsidRPr="00BE2A9E">
        <w:rPr>
          <w:rFonts w:ascii="Arial" w:hAnsi="Arial" w:cs="Arial"/>
        </w:rPr>
        <w:t>im Durchschnitt der Jahre 20</w:t>
      </w:r>
      <w:r w:rsidR="00A67C65" w:rsidRPr="00BE2A9E">
        <w:rPr>
          <w:rFonts w:ascii="Arial" w:hAnsi="Arial" w:cs="Arial"/>
        </w:rPr>
        <w:t>18</w:t>
      </w:r>
      <w:r w:rsidR="00FB4257" w:rsidRPr="00BE2A9E">
        <w:rPr>
          <w:rFonts w:ascii="Arial" w:hAnsi="Arial" w:cs="Arial"/>
        </w:rPr>
        <w:t xml:space="preserve"> bis </w:t>
      </w:r>
      <w:r w:rsidR="00FF67BB" w:rsidRPr="00BE2A9E">
        <w:rPr>
          <w:rFonts w:ascii="Arial" w:hAnsi="Arial" w:cs="Arial"/>
        </w:rPr>
        <w:t>20</w:t>
      </w:r>
      <w:r w:rsidR="00A67C65" w:rsidRPr="00BE2A9E">
        <w:rPr>
          <w:rFonts w:ascii="Arial" w:hAnsi="Arial" w:cs="Arial"/>
        </w:rPr>
        <w:t>20</w:t>
      </w:r>
      <w:r w:rsidR="00FF67BB" w:rsidRPr="00BE2A9E">
        <w:rPr>
          <w:rFonts w:ascii="Arial" w:hAnsi="Arial" w:cs="Arial"/>
        </w:rPr>
        <w:t xml:space="preserve"> bei </w:t>
      </w:r>
      <w:r w:rsidR="00834C7A" w:rsidRPr="00BE2A9E">
        <w:rPr>
          <w:rFonts w:ascii="Arial" w:hAnsi="Arial" w:cs="Arial"/>
        </w:rPr>
        <w:t>25</w:t>
      </w:r>
      <w:r w:rsidR="00BF6AE1" w:rsidRPr="00BE2A9E">
        <w:rPr>
          <w:rFonts w:ascii="Arial" w:hAnsi="Arial" w:cs="Arial"/>
        </w:rPr>
        <w:t xml:space="preserve"> Staaten/Gebiete</w:t>
      </w:r>
      <w:r w:rsidR="00FF67BB" w:rsidRPr="00BE2A9E">
        <w:rPr>
          <w:rFonts w:ascii="Arial" w:hAnsi="Arial" w:cs="Arial"/>
        </w:rPr>
        <w:t xml:space="preserve">n </w:t>
      </w:r>
      <w:r w:rsidR="00BB6309" w:rsidRPr="00BE2A9E">
        <w:rPr>
          <w:rFonts w:ascii="Arial" w:hAnsi="Arial" w:cs="Arial"/>
        </w:rPr>
        <w:t xml:space="preserve">der Anteil der eigenen </w:t>
      </w:r>
      <w:r w:rsidR="00BF6AE1" w:rsidRPr="00BE2A9E">
        <w:rPr>
          <w:rFonts w:ascii="Arial" w:hAnsi="Arial" w:cs="Arial"/>
        </w:rPr>
        <w:t xml:space="preserve">Agrarexporte an </w:t>
      </w:r>
      <w:r w:rsidR="00BB6309" w:rsidRPr="00BE2A9E">
        <w:rPr>
          <w:rFonts w:ascii="Arial" w:hAnsi="Arial" w:cs="Arial"/>
        </w:rPr>
        <w:t xml:space="preserve">den eigenen </w:t>
      </w:r>
      <w:r w:rsidR="00BF6AE1" w:rsidRPr="00BE2A9E">
        <w:rPr>
          <w:rFonts w:ascii="Arial" w:hAnsi="Arial" w:cs="Arial"/>
        </w:rPr>
        <w:t xml:space="preserve">Gesamtexporten </w:t>
      </w:r>
      <w:r w:rsidR="00BB6309" w:rsidRPr="00BE2A9E">
        <w:rPr>
          <w:rFonts w:ascii="Arial" w:hAnsi="Arial" w:cs="Arial"/>
        </w:rPr>
        <w:t>bei mehr als 45 Prozent</w:t>
      </w:r>
      <w:r w:rsidR="00CC0C8F" w:rsidRPr="00BE2A9E">
        <w:rPr>
          <w:rFonts w:ascii="Arial" w:hAnsi="Arial" w:cs="Arial"/>
        </w:rPr>
        <w:t xml:space="preserve"> (</w:t>
      </w:r>
      <w:r w:rsidR="006A3AE7" w:rsidRPr="00BE2A9E">
        <w:rPr>
          <w:rFonts w:ascii="Arial" w:hAnsi="Arial" w:cs="Arial"/>
        </w:rPr>
        <w:t xml:space="preserve">ausschließlich </w:t>
      </w:r>
      <w:r w:rsidR="00CC0C8F" w:rsidRPr="00BE2A9E">
        <w:rPr>
          <w:rFonts w:ascii="Arial" w:hAnsi="Arial" w:cs="Arial"/>
        </w:rPr>
        <w:t xml:space="preserve">Staaten, deren </w:t>
      </w:r>
      <w:r w:rsidR="00BF6AE1" w:rsidRPr="00BE2A9E">
        <w:rPr>
          <w:rFonts w:ascii="Arial" w:hAnsi="Arial" w:cs="Arial"/>
        </w:rPr>
        <w:t>Anteil an den weltweiten Agrarexporten bei mehr als 0,0</w:t>
      </w:r>
      <w:r w:rsidR="00BB6309" w:rsidRPr="00BE2A9E">
        <w:rPr>
          <w:rFonts w:ascii="Arial" w:hAnsi="Arial" w:cs="Arial"/>
        </w:rPr>
        <w:t>1 Prozent</w:t>
      </w:r>
      <w:r w:rsidR="00CC0C8F" w:rsidRPr="00BE2A9E">
        <w:rPr>
          <w:rFonts w:ascii="Arial" w:hAnsi="Arial" w:cs="Arial"/>
        </w:rPr>
        <w:t xml:space="preserve"> lag)</w:t>
      </w:r>
      <w:r w:rsidR="00BB6309" w:rsidRPr="00BE2A9E">
        <w:rPr>
          <w:rFonts w:ascii="Arial" w:hAnsi="Arial" w:cs="Arial"/>
        </w:rPr>
        <w:t>.</w:t>
      </w:r>
      <w:r w:rsidR="00FF67BB" w:rsidRPr="00BE2A9E">
        <w:rPr>
          <w:rFonts w:ascii="Arial" w:hAnsi="Arial" w:cs="Arial"/>
        </w:rPr>
        <w:t xml:space="preserve"> Im selben Zeitraum lag bei </w:t>
      </w:r>
      <w:r w:rsidR="009C3DF3" w:rsidRPr="00BE2A9E">
        <w:rPr>
          <w:rFonts w:ascii="Arial" w:hAnsi="Arial" w:cs="Arial"/>
        </w:rPr>
        <w:t xml:space="preserve">weiteren </w:t>
      </w:r>
      <w:r w:rsidR="00834C7A" w:rsidRPr="00BE2A9E">
        <w:rPr>
          <w:rFonts w:ascii="Arial" w:hAnsi="Arial" w:cs="Arial"/>
        </w:rPr>
        <w:t>16</w:t>
      </w:r>
      <w:r w:rsidR="00FF67BB" w:rsidRPr="00BE2A9E">
        <w:rPr>
          <w:rFonts w:ascii="Arial" w:hAnsi="Arial" w:cs="Arial"/>
        </w:rPr>
        <w:t xml:space="preserve"> Staaten der Anteil des eigenen Exports von Mineralen und Minenprodukten an den eigenen Gesamtexporten bei mehr als 50 Prozent</w:t>
      </w:r>
      <w:r w:rsidR="00CC0C8F" w:rsidRPr="00BE2A9E">
        <w:rPr>
          <w:rFonts w:ascii="Arial" w:hAnsi="Arial" w:cs="Arial"/>
        </w:rPr>
        <w:t xml:space="preserve"> (ausschließlich Staaten, deren Anteil an den </w:t>
      </w:r>
      <w:r w:rsidR="00C51D1F" w:rsidRPr="00BE2A9E">
        <w:rPr>
          <w:rFonts w:ascii="Arial" w:hAnsi="Arial" w:cs="Arial"/>
        </w:rPr>
        <w:t xml:space="preserve">weltweiten Exporten von Mineralen und Minenprodukten </w:t>
      </w:r>
      <w:r w:rsidR="00CC0C8F" w:rsidRPr="00BE2A9E">
        <w:rPr>
          <w:rFonts w:ascii="Arial" w:hAnsi="Arial" w:cs="Arial"/>
        </w:rPr>
        <w:t>bei mehr als 0,01 Prozent lag)</w:t>
      </w:r>
      <w:r w:rsidR="00C51D1F" w:rsidRPr="00BE2A9E">
        <w:rPr>
          <w:rFonts w:ascii="Arial" w:hAnsi="Arial" w:cs="Arial"/>
        </w:rPr>
        <w:t>.</w:t>
      </w:r>
    </w:p>
    <w:p w14:paraId="36ED8633" w14:textId="77777777" w:rsidR="00393B52" w:rsidRPr="00BE2A9E" w:rsidRDefault="00393B52" w:rsidP="00BB6309">
      <w:pPr>
        <w:autoSpaceDE w:val="0"/>
        <w:autoSpaceDN w:val="0"/>
        <w:adjustRightInd w:val="0"/>
        <w:rPr>
          <w:rFonts w:ascii="Arial" w:hAnsi="Arial" w:cs="Arial"/>
        </w:rPr>
      </w:pPr>
    </w:p>
    <w:p w14:paraId="2FDCF385" w14:textId="77777777" w:rsidR="00393B52" w:rsidRPr="00BE2A9E" w:rsidRDefault="0054373C" w:rsidP="00627AE8">
      <w:pPr>
        <w:autoSpaceDE w:val="0"/>
        <w:autoSpaceDN w:val="0"/>
        <w:adjustRightInd w:val="0"/>
        <w:rPr>
          <w:rFonts w:ascii="Arial" w:hAnsi="Arial" w:cs="Arial"/>
        </w:rPr>
      </w:pPr>
      <w:r w:rsidRPr="00BE2A9E">
        <w:rPr>
          <w:rFonts w:ascii="Arial" w:hAnsi="Arial" w:cs="Arial"/>
        </w:rPr>
        <w:t xml:space="preserve">Bei Staaten, die in hohem Maße von Rohstoffexporten abhängig sind, </w:t>
      </w:r>
      <w:r w:rsidR="00AC6427" w:rsidRPr="00BE2A9E">
        <w:rPr>
          <w:rFonts w:ascii="Arial" w:hAnsi="Arial" w:cs="Arial"/>
        </w:rPr>
        <w:t xml:space="preserve">kann die </w:t>
      </w:r>
      <w:r w:rsidRPr="00BE2A9E">
        <w:rPr>
          <w:rFonts w:ascii="Arial" w:hAnsi="Arial" w:cs="Arial"/>
        </w:rPr>
        <w:t xml:space="preserve">Preisentwicklung der Rohstoffe </w:t>
      </w:r>
      <w:r w:rsidR="00AC6427" w:rsidRPr="00BE2A9E">
        <w:rPr>
          <w:rFonts w:ascii="Arial" w:hAnsi="Arial" w:cs="Arial"/>
        </w:rPr>
        <w:t xml:space="preserve">zu </w:t>
      </w:r>
      <w:r w:rsidR="00B25E3A" w:rsidRPr="00BE2A9E">
        <w:rPr>
          <w:rFonts w:ascii="Arial" w:hAnsi="Arial" w:cs="Arial"/>
        </w:rPr>
        <w:t>gesamtwirtschaftliche</w:t>
      </w:r>
      <w:r w:rsidR="00AC6427" w:rsidRPr="00BE2A9E">
        <w:rPr>
          <w:rFonts w:ascii="Arial" w:hAnsi="Arial" w:cs="Arial"/>
        </w:rPr>
        <w:t>r</w:t>
      </w:r>
      <w:r w:rsidR="00B25E3A" w:rsidRPr="00BE2A9E">
        <w:rPr>
          <w:rFonts w:ascii="Arial" w:hAnsi="Arial" w:cs="Arial"/>
        </w:rPr>
        <w:t xml:space="preserve"> Stabilisierung </w:t>
      </w:r>
      <w:r w:rsidR="00AC6427" w:rsidRPr="00BE2A9E">
        <w:rPr>
          <w:rFonts w:ascii="Arial" w:hAnsi="Arial" w:cs="Arial"/>
        </w:rPr>
        <w:t xml:space="preserve">aber auch </w:t>
      </w:r>
      <w:r w:rsidRPr="00BE2A9E">
        <w:rPr>
          <w:rFonts w:ascii="Arial" w:hAnsi="Arial" w:cs="Arial"/>
        </w:rPr>
        <w:t>zu fehlenden Einnahmen</w:t>
      </w:r>
      <w:r w:rsidR="00AC6427" w:rsidRPr="00BE2A9E">
        <w:rPr>
          <w:rFonts w:ascii="Arial" w:hAnsi="Arial" w:cs="Arial"/>
        </w:rPr>
        <w:t xml:space="preserve"> un</w:t>
      </w:r>
      <w:r w:rsidRPr="00BE2A9E">
        <w:rPr>
          <w:rFonts w:ascii="Arial" w:hAnsi="Arial" w:cs="Arial"/>
        </w:rPr>
        <w:t>d</w:t>
      </w:r>
      <w:r w:rsidR="00AC6427" w:rsidRPr="00BE2A9E">
        <w:rPr>
          <w:rFonts w:ascii="Arial" w:hAnsi="Arial" w:cs="Arial"/>
        </w:rPr>
        <w:t xml:space="preserve"> </w:t>
      </w:r>
      <w:r w:rsidRPr="00BE2A9E">
        <w:rPr>
          <w:rFonts w:ascii="Arial" w:hAnsi="Arial" w:cs="Arial"/>
        </w:rPr>
        <w:t>gegebenenfalls steigende</w:t>
      </w:r>
      <w:r w:rsidR="00AC6427" w:rsidRPr="00BE2A9E">
        <w:rPr>
          <w:rFonts w:ascii="Arial" w:hAnsi="Arial" w:cs="Arial"/>
        </w:rPr>
        <w:t>r</w:t>
      </w:r>
      <w:r w:rsidRPr="00BE2A9E">
        <w:rPr>
          <w:rFonts w:ascii="Arial" w:hAnsi="Arial" w:cs="Arial"/>
        </w:rPr>
        <w:t xml:space="preserve"> </w:t>
      </w:r>
      <w:r w:rsidR="00B25E3A" w:rsidRPr="00BE2A9E">
        <w:rPr>
          <w:rFonts w:ascii="Arial" w:hAnsi="Arial" w:cs="Arial"/>
        </w:rPr>
        <w:t>Verschuldung</w:t>
      </w:r>
      <w:r w:rsidRPr="00BE2A9E">
        <w:rPr>
          <w:rFonts w:ascii="Arial" w:hAnsi="Arial" w:cs="Arial"/>
        </w:rPr>
        <w:t xml:space="preserve"> </w:t>
      </w:r>
      <w:r w:rsidR="00AC6427" w:rsidRPr="00BE2A9E">
        <w:rPr>
          <w:rFonts w:ascii="Arial" w:hAnsi="Arial" w:cs="Arial"/>
        </w:rPr>
        <w:t>führen.</w:t>
      </w:r>
      <w:r w:rsidR="00627AE8" w:rsidRPr="00BE2A9E">
        <w:rPr>
          <w:rFonts w:ascii="Arial" w:hAnsi="Arial" w:cs="Arial"/>
        </w:rPr>
        <w:t xml:space="preserve"> </w:t>
      </w:r>
      <w:r w:rsidR="00C15BD6" w:rsidRPr="00BE2A9E">
        <w:rPr>
          <w:rFonts w:ascii="Arial" w:hAnsi="Arial" w:cs="Arial"/>
        </w:rPr>
        <w:t>Die realen Preise für Nahrungs- und Genussmittel-Rohstoffe sowie für Industrierohstoffe sind seit Mitte der 1970er</w:t>
      </w:r>
      <w:r w:rsidR="00590354" w:rsidRPr="00BE2A9E">
        <w:rPr>
          <w:rFonts w:ascii="Arial" w:hAnsi="Arial" w:cs="Arial"/>
        </w:rPr>
        <w:t>-</w:t>
      </w:r>
      <w:r w:rsidR="00C15BD6" w:rsidRPr="00BE2A9E">
        <w:rPr>
          <w:rFonts w:ascii="Arial" w:hAnsi="Arial" w:cs="Arial"/>
        </w:rPr>
        <w:t xml:space="preserve">Jahre </w:t>
      </w:r>
      <w:r w:rsidR="00A523C9" w:rsidRPr="00BE2A9E">
        <w:rPr>
          <w:rFonts w:ascii="Arial" w:hAnsi="Arial" w:cs="Arial"/>
        </w:rPr>
        <w:t xml:space="preserve">insgesamt </w:t>
      </w:r>
      <w:r w:rsidR="00C15BD6" w:rsidRPr="00BE2A9E">
        <w:rPr>
          <w:rFonts w:ascii="Arial" w:hAnsi="Arial" w:cs="Arial"/>
        </w:rPr>
        <w:t>gesunken. Ihren historischen Tief</w:t>
      </w:r>
      <w:r w:rsidR="00FF6F16" w:rsidRPr="00BE2A9E">
        <w:rPr>
          <w:rFonts w:ascii="Arial" w:hAnsi="Arial" w:cs="Arial"/>
        </w:rPr>
        <w:t>st</w:t>
      </w:r>
      <w:r w:rsidR="00C15BD6" w:rsidRPr="00BE2A9E">
        <w:rPr>
          <w:rFonts w:ascii="Arial" w:hAnsi="Arial" w:cs="Arial"/>
        </w:rPr>
        <w:t>stand erreichten die Preise in den Jahren 2001/2002</w:t>
      </w:r>
      <w:r w:rsidR="00393B52" w:rsidRPr="00BE2A9E">
        <w:rPr>
          <w:rFonts w:ascii="Arial" w:hAnsi="Arial" w:cs="Arial"/>
        </w:rPr>
        <w:t>.</w:t>
      </w:r>
    </w:p>
    <w:p w14:paraId="53653086" w14:textId="77777777" w:rsidR="00393B52" w:rsidRPr="00BE2A9E" w:rsidRDefault="00393B52" w:rsidP="00627AE8">
      <w:pPr>
        <w:autoSpaceDE w:val="0"/>
        <w:autoSpaceDN w:val="0"/>
        <w:adjustRightInd w:val="0"/>
        <w:rPr>
          <w:rFonts w:ascii="Arial" w:hAnsi="Arial" w:cs="Arial"/>
        </w:rPr>
      </w:pPr>
    </w:p>
    <w:p w14:paraId="52102D2C" w14:textId="5B809A0A" w:rsidR="00627AE8" w:rsidRPr="00BE2A9E" w:rsidRDefault="00502CEF" w:rsidP="00C826C4">
      <w:pPr>
        <w:autoSpaceDE w:val="0"/>
        <w:autoSpaceDN w:val="0"/>
        <w:adjustRightInd w:val="0"/>
        <w:rPr>
          <w:rFonts w:ascii="Arial" w:hAnsi="Arial" w:cs="Arial"/>
        </w:rPr>
      </w:pPr>
      <w:r w:rsidRPr="00BE2A9E">
        <w:rPr>
          <w:rFonts w:ascii="Arial" w:hAnsi="Arial" w:cs="Arial"/>
        </w:rPr>
        <w:t>Im Jahr 2022 lagen die realen Preise für Nahrungs- und Genussmittel-Rohstoffe um 94 Prozent höher als 2001 und für Industrierohstoffe um 92 Prozent höher als 2002. Mit</w:t>
      </w:r>
      <w:r w:rsidR="00C85052" w:rsidRPr="00BE2A9E">
        <w:rPr>
          <w:rFonts w:ascii="Arial" w:hAnsi="Arial" w:cs="Arial"/>
        </w:rPr>
        <w:t xml:space="preserve"> einem Indexwert von </w:t>
      </w:r>
      <w:r w:rsidRPr="00BE2A9E">
        <w:rPr>
          <w:rFonts w:ascii="Arial" w:hAnsi="Arial" w:cs="Arial"/>
        </w:rPr>
        <w:t xml:space="preserve">146 bei Nahrungs- und Genussmittel-Rohstoffen und </w:t>
      </w:r>
      <w:r w:rsidR="00C85052" w:rsidRPr="00BE2A9E">
        <w:rPr>
          <w:rFonts w:ascii="Arial" w:hAnsi="Arial" w:cs="Arial"/>
        </w:rPr>
        <w:t xml:space="preserve">von </w:t>
      </w:r>
      <w:r w:rsidRPr="00BE2A9E">
        <w:rPr>
          <w:rFonts w:ascii="Arial" w:hAnsi="Arial" w:cs="Arial"/>
        </w:rPr>
        <w:t>125 bei Industrierohstoffen lag</w:t>
      </w:r>
      <w:r w:rsidR="00C85052" w:rsidRPr="00BE2A9E">
        <w:rPr>
          <w:rFonts w:ascii="Arial" w:hAnsi="Arial" w:cs="Arial"/>
        </w:rPr>
        <w:t xml:space="preserve">en die Indizes </w:t>
      </w:r>
      <w:r w:rsidR="00C826C4" w:rsidRPr="00BE2A9E">
        <w:rPr>
          <w:rFonts w:ascii="Arial" w:hAnsi="Arial" w:cs="Arial"/>
        </w:rPr>
        <w:t xml:space="preserve">im Jahr 2022 </w:t>
      </w:r>
      <w:r w:rsidRPr="00BE2A9E">
        <w:rPr>
          <w:rFonts w:ascii="Arial" w:hAnsi="Arial" w:cs="Arial"/>
        </w:rPr>
        <w:t>aber klar unter dem jeweiligen Mittelwert der 1970er-Jahre (324 bzw. 165)</w:t>
      </w:r>
      <w:r w:rsidR="00C826C4" w:rsidRPr="00BE2A9E">
        <w:rPr>
          <w:rFonts w:ascii="Arial" w:hAnsi="Arial" w:cs="Arial"/>
        </w:rPr>
        <w:t>. Insgesamt sind die realen Preise der hier betrachteten Rohstoffe starken Schwankungen ausgesetzt, wobei das niedrige Niveau der Jahre 2001/20</w:t>
      </w:r>
      <w:r w:rsidR="007E0591" w:rsidRPr="00BE2A9E">
        <w:rPr>
          <w:rFonts w:ascii="Arial" w:hAnsi="Arial" w:cs="Arial"/>
        </w:rPr>
        <w:t>0</w:t>
      </w:r>
      <w:r w:rsidR="00C826C4" w:rsidRPr="00BE2A9E">
        <w:rPr>
          <w:rFonts w:ascii="Arial" w:hAnsi="Arial" w:cs="Arial"/>
        </w:rPr>
        <w:t>2 nicht wieder erreicht wurde.</w:t>
      </w:r>
    </w:p>
    <w:p w14:paraId="589B827F" w14:textId="77777777" w:rsidR="00393B52" w:rsidRPr="00BE2A9E" w:rsidRDefault="00393B52" w:rsidP="00C826C4">
      <w:pPr>
        <w:autoSpaceDE w:val="0"/>
        <w:autoSpaceDN w:val="0"/>
        <w:adjustRightInd w:val="0"/>
        <w:rPr>
          <w:rFonts w:ascii="Arial" w:hAnsi="Arial" w:cs="Arial"/>
        </w:rPr>
      </w:pPr>
    </w:p>
    <w:p w14:paraId="478FCB15" w14:textId="431EB122" w:rsidR="0021272E" w:rsidRPr="00BE2A9E" w:rsidRDefault="00C826C4" w:rsidP="00627AE8">
      <w:pPr>
        <w:autoSpaceDE w:val="0"/>
        <w:autoSpaceDN w:val="0"/>
        <w:adjustRightInd w:val="0"/>
        <w:rPr>
          <w:rFonts w:ascii="Arial" w:hAnsi="Arial" w:cs="Arial"/>
        </w:rPr>
      </w:pPr>
      <w:r w:rsidRPr="00BE2A9E">
        <w:rPr>
          <w:rFonts w:ascii="Arial" w:hAnsi="Arial" w:cs="Arial"/>
        </w:rPr>
        <w:t xml:space="preserve">Aufgrund der </w:t>
      </w:r>
      <w:r w:rsidR="0054373C" w:rsidRPr="00BE2A9E">
        <w:rPr>
          <w:rFonts w:ascii="Arial" w:hAnsi="Arial" w:cs="Arial"/>
        </w:rPr>
        <w:t>starken</w:t>
      </w:r>
      <w:r w:rsidR="00BE2A9E" w:rsidRPr="00BE2A9E">
        <w:rPr>
          <w:rFonts w:ascii="Arial" w:hAnsi="Arial" w:cs="Arial"/>
        </w:rPr>
        <w:t xml:space="preserve"> und</w:t>
      </w:r>
      <w:r w:rsidR="00717A95" w:rsidRPr="00BE2A9E">
        <w:rPr>
          <w:rFonts w:ascii="Arial" w:hAnsi="Arial" w:cs="Arial"/>
        </w:rPr>
        <w:t xml:space="preserve"> unvorhersehbaren</w:t>
      </w:r>
      <w:r w:rsidR="0054373C" w:rsidRPr="00BE2A9E">
        <w:rPr>
          <w:rFonts w:ascii="Arial" w:hAnsi="Arial" w:cs="Arial"/>
        </w:rPr>
        <w:t xml:space="preserve"> Schwankungen </w:t>
      </w:r>
      <w:r w:rsidRPr="00BE2A9E">
        <w:rPr>
          <w:rFonts w:ascii="Arial" w:hAnsi="Arial" w:cs="Arial"/>
        </w:rPr>
        <w:t>in der Vergangenheit haben e</w:t>
      </w:r>
      <w:r w:rsidR="0021272E" w:rsidRPr="00BE2A9E">
        <w:rPr>
          <w:rFonts w:ascii="Arial" w:hAnsi="Arial" w:cs="Arial"/>
        </w:rPr>
        <w:t xml:space="preserve">inige </w:t>
      </w:r>
      <w:r w:rsidR="00C15BD6" w:rsidRPr="00BE2A9E">
        <w:rPr>
          <w:rFonts w:ascii="Arial" w:hAnsi="Arial" w:cs="Arial"/>
        </w:rPr>
        <w:t xml:space="preserve">rohstoffexportierende Staaten </w:t>
      </w:r>
      <w:r w:rsidR="0021272E" w:rsidRPr="00BE2A9E">
        <w:rPr>
          <w:rFonts w:ascii="Arial" w:hAnsi="Arial" w:cs="Arial"/>
        </w:rPr>
        <w:t xml:space="preserve">– häufig </w:t>
      </w:r>
      <w:r w:rsidR="00717A95" w:rsidRPr="00BE2A9E">
        <w:rPr>
          <w:rFonts w:ascii="Arial" w:hAnsi="Arial" w:cs="Arial"/>
        </w:rPr>
        <w:t>Exporteure von Energierohstoffen –</w:t>
      </w:r>
      <w:r w:rsidR="0021272E" w:rsidRPr="00BE2A9E">
        <w:rPr>
          <w:rFonts w:ascii="Arial" w:hAnsi="Arial" w:cs="Arial"/>
        </w:rPr>
        <w:lastRenderedPageBreak/>
        <w:t>versucht</w:t>
      </w:r>
      <w:r w:rsidR="00C15BD6" w:rsidRPr="00BE2A9E">
        <w:rPr>
          <w:rFonts w:ascii="Arial" w:hAnsi="Arial" w:cs="Arial"/>
        </w:rPr>
        <w:t xml:space="preserve">, </w:t>
      </w:r>
      <w:r w:rsidR="00F645E9" w:rsidRPr="00BE2A9E">
        <w:rPr>
          <w:rFonts w:ascii="Arial" w:hAnsi="Arial" w:cs="Arial"/>
        </w:rPr>
        <w:t xml:space="preserve">unabhängiger </w:t>
      </w:r>
      <w:r w:rsidR="00C15BD6" w:rsidRPr="00BE2A9E">
        <w:rPr>
          <w:rFonts w:ascii="Arial" w:hAnsi="Arial" w:cs="Arial"/>
        </w:rPr>
        <w:t xml:space="preserve">von den Einnahmen aus den Rohstoffexporten zu </w:t>
      </w:r>
      <w:r w:rsidR="00F645E9" w:rsidRPr="00BE2A9E">
        <w:rPr>
          <w:rFonts w:ascii="Arial" w:hAnsi="Arial" w:cs="Arial"/>
        </w:rPr>
        <w:t xml:space="preserve">werden </w:t>
      </w:r>
      <w:r w:rsidR="00717A95" w:rsidRPr="00BE2A9E">
        <w:rPr>
          <w:rFonts w:ascii="Arial" w:hAnsi="Arial" w:cs="Arial"/>
        </w:rPr>
        <w:t>un</w:t>
      </w:r>
      <w:r w:rsidRPr="00BE2A9E">
        <w:rPr>
          <w:rFonts w:ascii="Arial" w:hAnsi="Arial" w:cs="Arial"/>
        </w:rPr>
        <w:t>d s</w:t>
      </w:r>
      <w:r w:rsidR="00F645E9" w:rsidRPr="00BE2A9E">
        <w:rPr>
          <w:rFonts w:ascii="Arial" w:hAnsi="Arial" w:cs="Arial"/>
        </w:rPr>
        <w:t>ogenannte Staatsfonds eingerichtet</w:t>
      </w:r>
      <w:r w:rsidR="00C15BD6" w:rsidRPr="00BE2A9E">
        <w:rPr>
          <w:rFonts w:ascii="Arial" w:hAnsi="Arial" w:cs="Arial"/>
        </w:rPr>
        <w:t>.</w:t>
      </w:r>
      <w:r w:rsidR="00F645E9" w:rsidRPr="00BE2A9E">
        <w:rPr>
          <w:rFonts w:ascii="Arial" w:hAnsi="Arial" w:cs="Arial"/>
        </w:rPr>
        <w:t xml:space="preserve"> </w:t>
      </w:r>
      <w:r w:rsidR="0021272E" w:rsidRPr="00BE2A9E">
        <w:rPr>
          <w:rFonts w:ascii="Arial" w:hAnsi="Arial" w:cs="Arial"/>
        </w:rPr>
        <w:t xml:space="preserve">Staatsfonds </w:t>
      </w:r>
      <w:r w:rsidR="00F645E9" w:rsidRPr="00BE2A9E">
        <w:rPr>
          <w:rFonts w:ascii="Arial" w:hAnsi="Arial" w:cs="Arial"/>
        </w:rPr>
        <w:t xml:space="preserve">verwalten </w:t>
      </w:r>
      <w:r w:rsidR="0021272E" w:rsidRPr="00BE2A9E">
        <w:rPr>
          <w:rFonts w:ascii="Arial" w:hAnsi="Arial" w:cs="Arial"/>
        </w:rPr>
        <w:t>ein breit gestreutes Portfolio in- und ausländischer Finanzwerte</w:t>
      </w:r>
      <w:r w:rsidR="00F645E9" w:rsidRPr="00BE2A9E">
        <w:rPr>
          <w:rFonts w:ascii="Arial" w:hAnsi="Arial" w:cs="Arial"/>
        </w:rPr>
        <w:t xml:space="preserve"> und </w:t>
      </w:r>
      <w:r w:rsidR="0021272E" w:rsidRPr="00BE2A9E">
        <w:rPr>
          <w:rFonts w:ascii="Arial" w:hAnsi="Arial" w:cs="Arial"/>
        </w:rPr>
        <w:t xml:space="preserve">werden im Unterschied zu anderen Anlagefonds aus staatlichen Mitteln </w:t>
      </w:r>
      <w:r w:rsidR="0029714F" w:rsidRPr="00BE2A9E">
        <w:rPr>
          <w:rFonts w:ascii="Arial" w:hAnsi="Arial" w:cs="Arial"/>
        </w:rPr>
        <w:t xml:space="preserve">finanziert </w:t>
      </w:r>
      <w:r w:rsidR="00AC6427" w:rsidRPr="00BE2A9E">
        <w:rPr>
          <w:rFonts w:ascii="Arial" w:hAnsi="Arial" w:cs="Arial"/>
        </w:rPr>
        <w:t xml:space="preserve">(hier </w:t>
      </w:r>
      <w:r w:rsidR="0029714F" w:rsidRPr="00BE2A9E">
        <w:rPr>
          <w:rFonts w:ascii="Arial" w:hAnsi="Arial" w:cs="Arial"/>
        </w:rPr>
        <w:t xml:space="preserve">aus </w:t>
      </w:r>
      <w:r w:rsidR="00AC6427" w:rsidRPr="00BE2A9E">
        <w:rPr>
          <w:rFonts w:ascii="Arial" w:hAnsi="Arial" w:cs="Arial"/>
        </w:rPr>
        <w:t xml:space="preserve">den Erlösen </w:t>
      </w:r>
      <w:r w:rsidR="0029714F" w:rsidRPr="00BE2A9E">
        <w:rPr>
          <w:rFonts w:ascii="Arial" w:hAnsi="Arial" w:cs="Arial"/>
        </w:rPr>
        <w:t xml:space="preserve">der </w:t>
      </w:r>
      <w:r w:rsidR="00AC6427" w:rsidRPr="00BE2A9E">
        <w:rPr>
          <w:rFonts w:ascii="Arial" w:hAnsi="Arial" w:cs="Arial"/>
        </w:rPr>
        <w:t>Rohstoffexporte)</w:t>
      </w:r>
      <w:r w:rsidR="0021272E" w:rsidRPr="00BE2A9E">
        <w:rPr>
          <w:rFonts w:ascii="Arial" w:hAnsi="Arial" w:cs="Arial"/>
        </w:rPr>
        <w:t>.</w:t>
      </w:r>
    </w:p>
    <w:p w14:paraId="7F5F80CF" w14:textId="77777777" w:rsidR="00393B52" w:rsidRPr="00BE2A9E" w:rsidRDefault="00393B52" w:rsidP="00627AE8">
      <w:pPr>
        <w:autoSpaceDE w:val="0"/>
        <w:autoSpaceDN w:val="0"/>
        <w:adjustRightInd w:val="0"/>
        <w:rPr>
          <w:rFonts w:ascii="Arial" w:hAnsi="Arial" w:cs="Arial"/>
        </w:rPr>
      </w:pPr>
    </w:p>
    <w:p w14:paraId="1D659514" w14:textId="77777777" w:rsidR="00C15BD6" w:rsidRPr="00BE2A9E" w:rsidRDefault="00C15BD6">
      <w:pPr>
        <w:autoSpaceDE w:val="0"/>
        <w:autoSpaceDN w:val="0"/>
        <w:adjustRightInd w:val="0"/>
        <w:rPr>
          <w:rFonts w:ascii="Arial" w:hAnsi="Arial" w:cs="Arial"/>
          <w:color w:val="FF0000"/>
          <w:lang w:val="en-US"/>
        </w:rPr>
      </w:pPr>
      <w:proofErr w:type="spellStart"/>
      <w:r w:rsidRPr="00BE2A9E">
        <w:rPr>
          <w:rFonts w:ascii="Arial" w:hAnsi="Arial" w:cs="Arial"/>
          <w:color w:val="FF0000"/>
          <w:lang w:val="en-US"/>
        </w:rPr>
        <w:t>Datenquelle</w:t>
      </w:r>
      <w:proofErr w:type="spellEnd"/>
    </w:p>
    <w:p w14:paraId="5D14E69F" w14:textId="77777777" w:rsidR="00C15BD6" w:rsidRPr="00BE2A9E" w:rsidRDefault="00C15BD6">
      <w:pPr>
        <w:autoSpaceDE w:val="0"/>
        <w:autoSpaceDN w:val="0"/>
        <w:adjustRightInd w:val="0"/>
        <w:rPr>
          <w:rFonts w:ascii="Arial" w:hAnsi="Arial" w:cs="Arial"/>
        </w:rPr>
      </w:pPr>
    </w:p>
    <w:p w14:paraId="05E0511C" w14:textId="0074CEEB" w:rsidR="00C53B9F" w:rsidRPr="00BE2A9E" w:rsidRDefault="00797980" w:rsidP="00AC6427">
      <w:pPr>
        <w:autoSpaceDE w:val="0"/>
        <w:autoSpaceDN w:val="0"/>
        <w:adjustRightInd w:val="0"/>
        <w:rPr>
          <w:rFonts w:ascii="Arial" w:hAnsi="Arial" w:cs="Arial"/>
        </w:rPr>
      </w:pPr>
      <w:r w:rsidRPr="00BE2A9E">
        <w:rPr>
          <w:rFonts w:ascii="Arial" w:hAnsi="Arial" w:cs="Arial"/>
        </w:rPr>
        <w:t xml:space="preserve">Hamburgisches </w:t>
      </w:r>
      <w:proofErr w:type="spellStart"/>
      <w:r w:rsidRPr="00BE2A9E">
        <w:rPr>
          <w:rFonts w:ascii="Arial" w:hAnsi="Arial" w:cs="Arial"/>
        </w:rPr>
        <w:t>WeltWirtschaftsInstitut</w:t>
      </w:r>
      <w:proofErr w:type="spellEnd"/>
      <w:r w:rsidRPr="00BE2A9E">
        <w:rPr>
          <w:rFonts w:ascii="Arial" w:hAnsi="Arial" w:cs="Arial"/>
        </w:rPr>
        <w:t xml:space="preserve"> (HWWI): Rohstoffpreisindex</w:t>
      </w:r>
      <w:r w:rsidR="00AC6427" w:rsidRPr="00BE2A9E">
        <w:rPr>
          <w:rFonts w:ascii="Arial" w:hAnsi="Arial" w:cs="Arial"/>
        </w:rPr>
        <w:t xml:space="preserve">; </w:t>
      </w:r>
      <w:r w:rsidR="00C53B9F" w:rsidRPr="00BE2A9E">
        <w:rPr>
          <w:rFonts w:ascii="Arial" w:hAnsi="Arial" w:cs="Arial"/>
        </w:rPr>
        <w:t xml:space="preserve">United Nations Conference on Trade and Development (UNCTAD): </w:t>
      </w:r>
      <w:r w:rsidR="00834C7A" w:rsidRPr="00BE2A9E">
        <w:rPr>
          <w:rFonts w:ascii="Arial" w:hAnsi="Arial" w:cs="Arial"/>
        </w:rPr>
        <w:t>Handbook of Statistics 2022</w:t>
      </w:r>
    </w:p>
    <w:p w14:paraId="09944F81" w14:textId="77777777" w:rsidR="00C15BD6" w:rsidRPr="00BE2A9E" w:rsidRDefault="00C15BD6">
      <w:pPr>
        <w:autoSpaceDE w:val="0"/>
        <w:autoSpaceDN w:val="0"/>
        <w:adjustRightInd w:val="0"/>
        <w:rPr>
          <w:rFonts w:ascii="Arial" w:hAnsi="Arial" w:cs="Arial"/>
        </w:rPr>
      </w:pPr>
    </w:p>
    <w:p w14:paraId="19BAC169" w14:textId="77777777" w:rsidR="00C15BD6" w:rsidRPr="00BE2A9E" w:rsidRDefault="00C15BD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BE2A9E">
        <w:rPr>
          <w:rFonts w:ascii="Arial" w:hAnsi="Arial" w:cs="Arial"/>
          <w:color w:val="FF0000"/>
        </w:rPr>
        <w:t>Begriffe, methodische Anmerkungen oder Lesehilfen</w:t>
      </w:r>
    </w:p>
    <w:p w14:paraId="2C9A9FCE" w14:textId="77777777" w:rsidR="00C15BD6" w:rsidRPr="00BE2A9E" w:rsidRDefault="00C15BD6">
      <w:pPr>
        <w:autoSpaceDE w:val="0"/>
        <w:autoSpaceDN w:val="0"/>
        <w:adjustRightInd w:val="0"/>
        <w:rPr>
          <w:rFonts w:ascii="Arial" w:hAnsi="Arial" w:cs="Arial"/>
        </w:rPr>
      </w:pPr>
    </w:p>
    <w:p w14:paraId="42F16054" w14:textId="77777777" w:rsidR="00140A13" w:rsidRPr="00BE2A9E" w:rsidRDefault="00C15BD6" w:rsidP="00140A13">
      <w:pPr>
        <w:rPr>
          <w:rFonts w:ascii="Arial" w:hAnsi="Arial" w:cs="Arial"/>
        </w:rPr>
      </w:pPr>
      <w:r w:rsidRPr="00BE2A9E">
        <w:rPr>
          <w:rFonts w:ascii="Arial" w:hAnsi="Arial" w:cs="Arial"/>
        </w:rPr>
        <w:t>Bei der Darstellung der realen, das heißt inflationsbereinigten</w:t>
      </w:r>
      <w:r w:rsidR="00F31D46" w:rsidRPr="00BE2A9E">
        <w:rPr>
          <w:rFonts w:ascii="Arial" w:hAnsi="Arial" w:cs="Arial"/>
        </w:rPr>
        <w:t>,</w:t>
      </w:r>
      <w:r w:rsidRPr="00BE2A9E">
        <w:rPr>
          <w:rFonts w:ascii="Arial" w:hAnsi="Arial" w:cs="Arial"/>
        </w:rPr>
        <w:t xml:space="preserve"> Preisentwicklung der Rohstoffpreise </w:t>
      </w:r>
      <w:r w:rsidR="00F31D46" w:rsidRPr="00BE2A9E">
        <w:rPr>
          <w:rFonts w:ascii="Arial" w:hAnsi="Arial" w:cs="Arial"/>
        </w:rPr>
        <w:t>können verschiedene Deflatoren genutzt werden. Häufig, so auch hier, wird der Verbraucherpreisindex der USA gewählt (</w:t>
      </w:r>
      <w:r w:rsidR="00F31D46" w:rsidRPr="00BE2A9E">
        <w:rPr>
          <w:rFonts w:ascii="Arial" w:hAnsi="Arial" w:cs="Arial"/>
          <w:b/>
        </w:rPr>
        <w:t>C</w:t>
      </w:r>
      <w:r w:rsidR="00F31D46" w:rsidRPr="00BE2A9E">
        <w:rPr>
          <w:rFonts w:ascii="Arial" w:hAnsi="Arial" w:cs="Arial"/>
        </w:rPr>
        <w:t xml:space="preserve">onsumer </w:t>
      </w:r>
      <w:r w:rsidR="00F31D46" w:rsidRPr="00BE2A9E">
        <w:rPr>
          <w:rFonts w:ascii="Arial" w:hAnsi="Arial" w:cs="Arial"/>
          <w:b/>
        </w:rPr>
        <w:t>P</w:t>
      </w:r>
      <w:r w:rsidR="00F31D46" w:rsidRPr="00BE2A9E">
        <w:rPr>
          <w:rFonts w:ascii="Arial" w:hAnsi="Arial" w:cs="Arial"/>
        </w:rPr>
        <w:t xml:space="preserve">rice </w:t>
      </w:r>
      <w:r w:rsidR="00F31D46" w:rsidRPr="00BE2A9E">
        <w:rPr>
          <w:rFonts w:ascii="Arial" w:hAnsi="Arial" w:cs="Arial"/>
          <w:b/>
        </w:rPr>
        <w:t>I</w:t>
      </w:r>
      <w:r w:rsidR="00F31D46" w:rsidRPr="00BE2A9E">
        <w:rPr>
          <w:rFonts w:ascii="Arial" w:hAnsi="Arial" w:cs="Arial"/>
        </w:rPr>
        <w:t xml:space="preserve">ndex-All </w:t>
      </w:r>
      <w:r w:rsidR="00F31D46" w:rsidRPr="00BE2A9E">
        <w:rPr>
          <w:rFonts w:ascii="Arial" w:hAnsi="Arial" w:cs="Arial"/>
          <w:b/>
        </w:rPr>
        <w:t>U</w:t>
      </w:r>
      <w:r w:rsidR="00F31D46" w:rsidRPr="00BE2A9E">
        <w:rPr>
          <w:rFonts w:ascii="Arial" w:hAnsi="Arial" w:cs="Arial"/>
        </w:rPr>
        <w:t>rban Consumers). Alternativ kann zum Beispiel auch der Exportpreis für verarbeitete Waren aus ökonomisch entwickelten Staaten als Deflator verwendet werden. Die Unterschiede können beträchtlich sein</w:t>
      </w:r>
      <w:r w:rsidR="00140A13" w:rsidRPr="00BE2A9E">
        <w:rPr>
          <w:rFonts w:ascii="Arial" w:hAnsi="Arial" w:cs="Arial"/>
        </w:rPr>
        <w:t>.</w:t>
      </w:r>
    </w:p>
    <w:p w14:paraId="5F70257A" w14:textId="77777777" w:rsidR="00327707" w:rsidRPr="00BE2A9E" w:rsidRDefault="00327707" w:rsidP="00140A13">
      <w:pPr>
        <w:rPr>
          <w:rFonts w:ascii="Arial" w:hAnsi="Arial" w:cs="Arial"/>
        </w:rPr>
      </w:pPr>
    </w:p>
    <w:p w14:paraId="1A6B669E" w14:textId="77777777" w:rsidR="0021272E" w:rsidRPr="00BE2A9E" w:rsidRDefault="0021272E" w:rsidP="00C53B9F">
      <w:pPr>
        <w:rPr>
          <w:rFonts w:ascii="Arial" w:hAnsi="Arial" w:cs="Arial"/>
        </w:rPr>
      </w:pPr>
      <w:r w:rsidRPr="00BE2A9E">
        <w:rPr>
          <w:rFonts w:ascii="Arial" w:hAnsi="Arial" w:cs="Arial"/>
        </w:rPr>
        <w:t xml:space="preserve">Ausführliche Informationen, welche Staaten nach der Definition der UNCTAD zu den ausgewählten </w:t>
      </w:r>
      <w:r w:rsidRPr="00BE2A9E">
        <w:rPr>
          <w:rFonts w:ascii="Arial" w:hAnsi="Arial" w:cs="Arial"/>
          <w:b/>
        </w:rPr>
        <w:t>Exporteuren von Agrarprodukten</w:t>
      </w:r>
      <w:r w:rsidRPr="00BE2A9E">
        <w:rPr>
          <w:rFonts w:ascii="Arial" w:hAnsi="Arial" w:cs="Arial"/>
        </w:rPr>
        <w:t xml:space="preserve"> bzw. ausgewählten </w:t>
      </w:r>
      <w:r w:rsidRPr="00BE2A9E">
        <w:rPr>
          <w:rFonts w:ascii="Arial" w:hAnsi="Arial" w:cs="Arial"/>
          <w:b/>
        </w:rPr>
        <w:t>Exporteuren von Mineralen und Minenprodukten</w:t>
      </w:r>
      <w:r w:rsidRPr="00BE2A9E">
        <w:rPr>
          <w:rFonts w:ascii="Arial" w:hAnsi="Arial" w:cs="Arial"/>
        </w:rPr>
        <w:t xml:space="preserve"> gehören, finden Sie hier:</w:t>
      </w:r>
    </w:p>
    <w:p w14:paraId="254C73F9" w14:textId="77777777" w:rsidR="0021272E" w:rsidRPr="00BE2A9E" w:rsidRDefault="00397198" w:rsidP="00C53B9F">
      <w:pPr>
        <w:rPr>
          <w:rFonts w:ascii="Arial" w:hAnsi="Arial" w:cs="Arial"/>
        </w:rPr>
      </w:pPr>
      <w:hyperlink r:id="rId8" w:history="1">
        <w:r w:rsidR="0021272E" w:rsidRPr="00BE2A9E">
          <w:rPr>
            <w:rStyle w:val="Hyperlink"/>
            <w:rFonts w:ascii="Arial" w:hAnsi="Arial" w:cs="Arial"/>
          </w:rPr>
          <w:t>http://unctadstat.unctad.org/EN/Classifications.html</w:t>
        </w:r>
      </w:hyperlink>
    </w:p>
    <w:p w14:paraId="0109D042" w14:textId="77777777" w:rsidR="00C53B9F" w:rsidRPr="00BE2A9E" w:rsidRDefault="00C53B9F" w:rsidP="00C53B9F">
      <w:pPr>
        <w:rPr>
          <w:rFonts w:ascii="Arial" w:hAnsi="Arial" w:cs="Arial"/>
        </w:rPr>
      </w:pPr>
    </w:p>
    <w:p w14:paraId="70871B50" w14:textId="77777777" w:rsidR="0021272E" w:rsidRPr="00BE2A9E" w:rsidRDefault="0021272E" w:rsidP="0021272E">
      <w:pPr>
        <w:rPr>
          <w:rFonts w:ascii="Arial" w:hAnsi="Arial" w:cs="Arial"/>
          <w:lang w:val="en-GB"/>
        </w:rPr>
      </w:pPr>
      <w:r w:rsidRPr="00BE2A9E">
        <w:rPr>
          <w:rFonts w:ascii="Arial" w:hAnsi="Arial" w:cs="Arial"/>
          <w:lang w:val="en-US"/>
        </w:rPr>
        <w:t xml:space="preserve">UNCTAD – </w:t>
      </w:r>
      <w:r w:rsidRPr="00BE2A9E">
        <w:rPr>
          <w:rFonts w:ascii="Arial" w:hAnsi="Arial" w:cs="Arial"/>
          <w:lang w:val="en-GB"/>
        </w:rPr>
        <w:t>United Nations Conference on Trade and Development</w:t>
      </w:r>
    </w:p>
    <w:p w14:paraId="0A2FB3C5" w14:textId="77777777" w:rsidR="0021272E" w:rsidRPr="00BE2A9E" w:rsidRDefault="0021272E" w:rsidP="0021272E">
      <w:pPr>
        <w:rPr>
          <w:rFonts w:ascii="Arial" w:hAnsi="Arial" w:cs="Arial"/>
          <w:lang w:val="en-GB"/>
        </w:rPr>
      </w:pPr>
    </w:p>
    <w:p w14:paraId="63103434" w14:textId="77777777" w:rsidR="00C53B9F" w:rsidRPr="00BE2A9E" w:rsidRDefault="00C53B9F" w:rsidP="00C53B9F">
      <w:pPr>
        <w:rPr>
          <w:rFonts w:ascii="Arial" w:hAnsi="Arial" w:cs="Arial"/>
        </w:rPr>
      </w:pPr>
      <w:r w:rsidRPr="00BE2A9E">
        <w:rPr>
          <w:rFonts w:ascii="Arial" w:hAnsi="Arial" w:cs="Arial"/>
        </w:rPr>
        <w:t>GUS – Gemeinschaft Unabhängiger Staaten / CIS – Commonwealth of Independent States</w:t>
      </w:r>
    </w:p>
    <w:p w14:paraId="7FAF8C19" w14:textId="77777777" w:rsidR="00C53B9F" w:rsidRPr="00BE2A9E" w:rsidRDefault="00C53B9F" w:rsidP="00C53B9F">
      <w:pPr>
        <w:rPr>
          <w:rFonts w:ascii="Arial" w:hAnsi="Arial" w:cs="Arial"/>
        </w:rPr>
      </w:pPr>
    </w:p>
    <w:p w14:paraId="3B7E93DA" w14:textId="7DAE10BD" w:rsidR="00BB6309" w:rsidRPr="00BE2A9E" w:rsidRDefault="00BB6309" w:rsidP="00C53B9F">
      <w:pPr>
        <w:rPr>
          <w:rFonts w:ascii="Arial" w:hAnsi="Arial" w:cs="Arial"/>
          <w:snapToGrid w:val="0"/>
          <w:color w:val="000000"/>
        </w:rPr>
      </w:pPr>
      <w:r w:rsidRPr="00BE2A9E">
        <w:rPr>
          <w:rFonts w:ascii="Arial" w:hAnsi="Arial" w:cs="Arial"/>
        </w:rPr>
        <w:t xml:space="preserve">Informationen zur </w:t>
      </w:r>
      <w:r w:rsidRPr="00BE2A9E">
        <w:rPr>
          <w:rFonts w:ascii="Arial" w:hAnsi="Arial" w:cs="Arial"/>
          <w:b/>
          <w:bCs/>
        </w:rPr>
        <w:t xml:space="preserve">Entwicklung der realen Austauschverhältnisse (Terms of Trade) </w:t>
      </w:r>
      <w:r w:rsidRPr="00BE2A9E">
        <w:rPr>
          <w:rFonts w:ascii="Arial" w:hAnsi="Arial" w:cs="Arial"/>
        </w:rPr>
        <w:t>erhalten Sie hier</w:t>
      </w:r>
      <w:r w:rsidR="00C523A3" w:rsidRPr="00BE2A9E">
        <w:rPr>
          <w:rFonts w:ascii="Arial" w:hAnsi="Arial" w:cs="Arial"/>
        </w:rPr>
        <w:t xml:space="preserve">: </w:t>
      </w:r>
      <w:hyperlink r:id="rId9" w:history="1">
        <w:r w:rsidR="00C523A3" w:rsidRPr="00BE2A9E">
          <w:rPr>
            <w:rStyle w:val="Hyperlink"/>
            <w:rFonts w:ascii="Arial" w:hAnsi="Arial" w:cs="Arial"/>
            <w:snapToGrid w:val="0"/>
          </w:rPr>
          <w:t>http://www.bpb.de/52667</w:t>
        </w:r>
      </w:hyperlink>
    </w:p>
    <w:p w14:paraId="01FAF840" w14:textId="77777777" w:rsidR="00BB6309" w:rsidRPr="00BE2A9E" w:rsidRDefault="00BB6309" w:rsidP="00C53B9F">
      <w:pPr>
        <w:rPr>
          <w:rFonts w:ascii="Arial" w:hAnsi="Arial" w:cs="Arial"/>
          <w:snapToGrid w:val="0"/>
        </w:rPr>
      </w:pPr>
    </w:p>
    <w:p w14:paraId="15A137B8" w14:textId="77777777" w:rsidR="00C523A3" w:rsidRPr="00BE2A9E" w:rsidRDefault="00BB6309" w:rsidP="00BB6309">
      <w:pPr>
        <w:rPr>
          <w:rFonts w:ascii="Arial" w:hAnsi="Arial" w:cs="Arial"/>
        </w:rPr>
      </w:pPr>
      <w:r w:rsidRPr="00BE2A9E">
        <w:rPr>
          <w:rFonts w:ascii="Arial" w:hAnsi="Arial" w:cs="Arial"/>
        </w:rPr>
        <w:t xml:space="preserve">Informationen zur </w:t>
      </w:r>
      <w:r w:rsidRPr="00BE2A9E">
        <w:rPr>
          <w:rFonts w:ascii="Arial" w:hAnsi="Arial" w:cs="Arial"/>
          <w:b/>
          <w:bCs/>
        </w:rPr>
        <w:t>Entwicklung der Energiekos</w:t>
      </w:r>
      <w:r w:rsidR="00AC6427" w:rsidRPr="00BE2A9E">
        <w:rPr>
          <w:rFonts w:ascii="Arial" w:hAnsi="Arial" w:cs="Arial"/>
          <w:b/>
          <w:bCs/>
        </w:rPr>
        <w:t>t</w:t>
      </w:r>
      <w:r w:rsidRPr="00BE2A9E">
        <w:rPr>
          <w:rFonts w:ascii="Arial" w:hAnsi="Arial" w:cs="Arial"/>
          <w:b/>
          <w:bCs/>
        </w:rPr>
        <w:t xml:space="preserve">en </w:t>
      </w:r>
      <w:r w:rsidRPr="00BE2A9E">
        <w:rPr>
          <w:rFonts w:ascii="Arial" w:hAnsi="Arial" w:cs="Arial"/>
        </w:rPr>
        <w:t>erhalten Sie hier</w:t>
      </w:r>
      <w:r w:rsidR="00C523A3" w:rsidRPr="00BE2A9E">
        <w:rPr>
          <w:rFonts w:ascii="Arial" w:hAnsi="Arial" w:cs="Arial"/>
        </w:rPr>
        <w:t>:</w:t>
      </w:r>
    </w:p>
    <w:p w14:paraId="22A6F11F" w14:textId="712033C8" w:rsidR="00BB6309" w:rsidRPr="00BE2A9E" w:rsidRDefault="00397198" w:rsidP="00BB6309">
      <w:pPr>
        <w:rPr>
          <w:rFonts w:ascii="Arial" w:hAnsi="Arial" w:cs="Arial"/>
        </w:rPr>
      </w:pPr>
      <w:hyperlink r:id="rId10" w:history="1">
        <w:r w:rsidR="00C523A3" w:rsidRPr="00BE2A9E">
          <w:rPr>
            <w:rStyle w:val="Hyperlink"/>
            <w:rFonts w:ascii="Arial" w:hAnsi="Arial" w:cs="Arial"/>
          </w:rPr>
          <w:t>http://www.bpb.de/52503</w:t>
        </w:r>
      </w:hyperlink>
    </w:p>
    <w:p w14:paraId="797D07D4" w14:textId="77777777" w:rsidR="00BB6309" w:rsidRPr="00BE2A9E" w:rsidRDefault="00BB6309" w:rsidP="00BB6309">
      <w:pPr>
        <w:rPr>
          <w:rFonts w:ascii="Arial" w:hAnsi="Arial" w:cs="Arial"/>
        </w:rPr>
      </w:pPr>
    </w:p>
    <w:p w14:paraId="5A19D419" w14:textId="2BEA9AE6" w:rsidR="005346A3" w:rsidRPr="00BE2A9E" w:rsidRDefault="00327707" w:rsidP="005346A3">
      <w:pPr>
        <w:rPr>
          <w:rFonts w:ascii="Arial" w:hAnsi="Arial" w:cs="Arial"/>
        </w:rPr>
      </w:pPr>
      <w:r w:rsidRPr="00BE2A9E">
        <w:rPr>
          <w:rFonts w:ascii="Arial" w:hAnsi="Arial" w:cs="Arial"/>
        </w:rPr>
        <w:t>Die </w:t>
      </w:r>
      <w:r w:rsidRPr="00BE2A9E">
        <w:rPr>
          <w:rFonts w:ascii="Arial" w:hAnsi="Arial" w:cs="Arial"/>
          <w:b/>
          <w:bCs/>
        </w:rPr>
        <w:t>Handelsbilanz </w:t>
      </w:r>
      <w:r w:rsidRPr="00BE2A9E">
        <w:rPr>
          <w:rFonts w:ascii="Arial" w:hAnsi="Arial" w:cs="Arial"/>
        </w:rPr>
        <w:t>ist auf einen Zeitraum bezogen und gibt den Saldo der Warenausfuhren und -einfuhren eines Staates oder einer Staatengruppe an. Bei einem Handelsbilanzüberschuss bzw. -defizit erhöht sich die Gläubiger- bzw. Schuldnerposition gegenüber dem Ausland. Da die Handelsbilanz eine Teilbilanz der Leistungsbilanz ist, kann ein Ungleichgewicht der Handelsbilanz durch die Salden anderer Teilbilanzen ausgeglichen werden.</w:t>
      </w:r>
      <w:r w:rsidR="005346A3" w:rsidRPr="00BE2A9E">
        <w:rPr>
          <w:rFonts w:ascii="Arial" w:hAnsi="Arial" w:cs="Arial"/>
        </w:rPr>
        <w:t xml:space="preserve"> Weitere Informationen zur </w:t>
      </w:r>
      <w:r w:rsidR="005346A3" w:rsidRPr="00BE2A9E">
        <w:rPr>
          <w:rFonts w:ascii="Arial" w:hAnsi="Arial" w:cs="Arial"/>
          <w:b/>
          <w:bCs/>
        </w:rPr>
        <w:t xml:space="preserve">Handelsbilanz </w:t>
      </w:r>
      <w:r w:rsidR="005346A3" w:rsidRPr="00BE2A9E">
        <w:rPr>
          <w:rFonts w:ascii="Arial" w:hAnsi="Arial" w:cs="Arial"/>
        </w:rPr>
        <w:t xml:space="preserve">erhalten Sie hier: </w:t>
      </w:r>
      <w:hyperlink r:id="rId11" w:history="1">
        <w:r w:rsidR="005346A3" w:rsidRPr="00BE2A9E">
          <w:rPr>
            <w:rStyle w:val="Hyperlink"/>
            <w:rFonts w:ascii="Arial" w:hAnsi="Arial" w:cs="Arial"/>
          </w:rPr>
          <w:t>http://www.bpb.de/52567</w:t>
        </w:r>
      </w:hyperlink>
    </w:p>
    <w:p w14:paraId="50ED02ED" w14:textId="77777777" w:rsidR="00327707" w:rsidRPr="00BE2A9E" w:rsidRDefault="00327707" w:rsidP="00C53B9F">
      <w:pPr>
        <w:rPr>
          <w:rFonts w:ascii="Arial" w:hAnsi="Arial" w:cs="Arial"/>
          <w:spacing w:val="-2"/>
          <w:sz w:val="27"/>
          <w:szCs w:val="27"/>
        </w:rPr>
      </w:pPr>
    </w:p>
    <w:p w14:paraId="032B2579" w14:textId="77777777" w:rsidR="00605735" w:rsidRPr="00BE2A9E" w:rsidRDefault="00605735" w:rsidP="00605735">
      <w:pPr>
        <w:rPr>
          <w:rFonts w:ascii="Arial" w:hAnsi="Arial" w:cs="Arial"/>
          <w:sz w:val="20"/>
          <w:szCs w:val="20"/>
        </w:rPr>
      </w:pPr>
      <w:r w:rsidRPr="00BE2A9E">
        <w:rPr>
          <w:rFonts w:ascii="Arial" w:hAnsi="Arial" w:cs="Arial"/>
          <w:sz w:val="20"/>
          <w:szCs w:val="20"/>
        </w:rPr>
        <w:t xml:space="preserve">Dieser Text ist unter der Creative Commons Lizenz CC BY-NC-ND 4.0 veröffentlicht. </w:t>
      </w:r>
    </w:p>
    <w:p w14:paraId="1E7AF670" w14:textId="593BB8B2" w:rsidR="00BE2A9E" w:rsidRPr="00BE2A9E" w:rsidRDefault="00605735">
      <w:pPr>
        <w:rPr>
          <w:rFonts w:ascii="Arial" w:hAnsi="Arial" w:cs="Arial"/>
        </w:rPr>
      </w:pPr>
      <w:r w:rsidRPr="00BE2A9E">
        <w:rPr>
          <w:rFonts w:ascii="Arial" w:hAnsi="Arial" w:cs="Arial"/>
          <w:sz w:val="20"/>
          <w:szCs w:val="20"/>
        </w:rPr>
        <w:t xml:space="preserve">Bundeszentrale für politische Bildung 2023 | </w:t>
      </w:r>
      <w:hyperlink r:id="rId12" w:history="1">
        <w:r w:rsidRPr="00BE2A9E">
          <w:rPr>
            <w:rFonts w:ascii="Arial" w:hAnsi="Arial" w:cs="Arial"/>
            <w:sz w:val="20"/>
            <w:szCs w:val="20"/>
          </w:rPr>
          <w:t>www.bpb.de</w:t>
        </w:r>
      </w:hyperlink>
    </w:p>
    <w:sectPr w:rsidR="00BE2A9E" w:rsidRPr="00BE2A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7019" w14:textId="77777777" w:rsidR="00397198" w:rsidRDefault="00397198" w:rsidP="00544D9A">
      <w:r>
        <w:separator/>
      </w:r>
    </w:p>
  </w:endnote>
  <w:endnote w:type="continuationSeparator" w:id="0">
    <w:p w14:paraId="1B7DC66A" w14:textId="77777777" w:rsidR="00397198" w:rsidRDefault="00397198" w:rsidP="0054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3A7F1" w14:textId="77777777" w:rsidR="00544D9A" w:rsidRDefault="00544D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EF64" w14:textId="77777777" w:rsidR="00544D9A" w:rsidRDefault="00544D9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774E" w14:textId="77777777" w:rsidR="00544D9A" w:rsidRDefault="00544D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384B" w14:textId="77777777" w:rsidR="00397198" w:rsidRDefault="00397198" w:rsidP="00544D9A">
      <w:r>
        <w:separator/>
      </w:r>
    </w:p>
  </w:footnote>
  <w:footnote w:type="continuationSeparator" w:id="0">
    <w:p w14:paraId="1B5F897F" w14:textId="77777777" w:rsidR="00397198" w:rsidRDefault="00397198" w:rsidP="0054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CD22C" w14:textId="77777777" w:rsidR="00544D9A" w:rsidRDefault="00544D9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F16AE" w14:textId="77777777" w:rsidR="00544D9A" w:rsidRDefault="00544D9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979F" w14:textId="77777777" w:rsidR="00544D9A" w:rsidRDefault="00544D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148"/>
    <w:multiLevelType w:val="hybridMultilevel"/>
    <w:tmpl w:val="C3D68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D7"/>
    <w:rsid w:val="00003B03"/>
    <w:rsid w:val="000213EA"/>
    <w:rsid w:val="000319B5"/>
    <w:rsid w:val="000A7751"/>
    <w:rsid w:val="000D5268"/>
    <w:rsid w:val="00140A13"/>
    <w:rsid w:val="00193066"/>
    <w:rsid w:val="0021272E"/>
    <w:rsid w:val="0022055E"/>
    <w:rsid w:val="002400AB"/>
    <w:rsid w:val="0025487D"/>
    <w:rsid w:val="0029714F"/>
    <w:rsid w:val="00327707"/>
    <w:rsid w:val="00350349"/>
    <w:rsid w:val="00380AD1"/>
    <w:rsid w:val="00393B52"/>
    <w:rsid w:val="00397198"/>
    <w:rsid w:val="003B6C29"/>
    <w:rsid w:val="00435D15"/>
    <w:rsid w:val="004F4EA6"/>
    <w:rsid w:val="00502CEF"/>
    <w:rsid w:val="00512406"/>
    <w:rsid w:val="005346A3"/>
    <w:rsid w:val="0054373C"/>
    <w:rsid w:val="00544D9A"/>
    <w:rsid w:val="005805BA"/>
    <w:rsid w:val="0058459B"/>
    <w:rsid w:val="00590354"/>
    <w:rsid w:val="005A234C"/>
    <w:rsid w:val="005B60C0"/>
    <w:rsid w:val="005C7C87"/>
    <w:rsid w:val="005E58C9"/>
    <w:rsid w:val="00603430"/>
    <w:rsid w:val="00605735"/>
    <w:rsid w:val="00605826"/>
    <w:rsid w:val="00627AE8"/>
    <w:rsid w:val="006A3AE7"/>
    <w:rsid w:val="006F2223"/>
    <w:rsid w:val="00717A95"/>
    <w:rsid w:val="007301C8"/>
    <w:rsid w:val="00771D15"/>
    <w:rsid w:val="0078218A"/>
    <w:rsid w:val="00797980"/>
    <w:rsid w:val="007B5DED"/>
    <w:rsid w:val="007D785C"/>
    <w:rsid w:val="007E0591"/>
    <w:rsid w:val="008073DF"/>
    <w:rsid w:val="008169F9"/>
    <w:rsid w:val="00834C7A"/>
    <w:rsid w:val="008858D2"/>
    <w:rsid w:val="00887BD7"/>
    <w:rsid w:val="008E6E39"/>
    <w:rsid w:val="009054AF"/>
    <w:rsid w:val="00936F25"/>
    <w:rsid w:val="009638FB"/>
    <w:rsid w:val="00975838"/>
    <w:rsid w:val="009823F4"/>
    <w:rsid w:val="009A2150"/>
    <w:rsid w:val="009C3DF3"/>
    <w:rsid w:val="00A02AD4"/>
    <w:rsid w:val="00A21DEB"/>
    <w:rsid w:val="00A35DB6"/>
    <w:rsid w:val="00A523C9"/>
    <w:rsid w:val="00A67C65"/>
    <w:rsid w:val="00AC6427"/>
    <w:rsid w:val="00B25E3A"/>
    <w:rsid w:val="00B518E9"/>
    <w:rsid w:val="00BB6309"/>
    <w:rsid w:val="00BE2A9E"/>
    <w:rsid w:val="00BF6AE1"/>
    <w:rsid w:val="00C15BD6"/>
    <w:rsid w:val="00C511B9"/>
    <w:rsid w:val="00C51D1F"/>
    <w:rsid w:val="00C523A3"/>
    <w:rsid w:val="00C53B9F"/>
    <w:rsid w:val="00C826C4"/>
    <w:rsid w:val="00C85052"/>
    <w:rsid w:val="00C95D91"/>
    <w:rsid w:val="00CC0C8F"/>
    <w:rsid w:val="00D0771F"/>
    <w:rsid w:val="00D3277E"/>
    <w:rsid w:val="00DA7BB2"/>
    <w:rsid w:val="00DF6A04"/>
    <w:rsid w:val="00E278A1"/>
    <w:rsid w:val="00F1026D"/>
    <w:rsid w:val="00F31D46"/>
    <w:rsid w:val="00F44B25"/>
    <w:rsid w:val="00F62AE3"/>
    <w:rsid w:val="00F645E9"/>
    <w:rsid w:val="00F87D61"/>
    <w:rsid w:val="00FB4257"/>
    <w:rsid w:val="00FD02BA"/>
    <w:rsid w:val="00FF67BB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8B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5B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lexem">
    <w:name w:val="lexem"/>
    <w:basedOn w:val="Absatz-Standardschriftart"/>
    <w:rsid w:val="000319B5"/>
  </w:style>
  <w:style w:type="character" w:styleId="Hyperlink">
    <w:name w:val="Hyperlink"/>
    <w:basedOn w:val="Absatz-Standardschriftart"/>
    <w:uiPriority w:val="99"/>
    <w:unhideWhenUsed/>
    <w:rsid w:val="00BB630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B6309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BB2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A7BB2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BB2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44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4D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44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5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5B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lexem">
    <w:name w:val="lexem"/>
    <w:basedOn w:val="Absatz-Standardschriftart"/>
    <w:rsid w:val="000319B5"/>
  </w:style>
  <w:style w:type="character" w:styleId="Hyperlink">
    <w:name w:val="Hyperlink"/>
    <w:basedOn w:val="Absatz-Standardschriftart"/>
    <w:uiPriority w:val="99"/>
    <w:unhideWhenUsed/>
    <w:rsid w:val="00BB630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B6309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BB2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A7BB2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BB2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44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4D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44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5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tadstat.unctad.org/EN/Classification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pb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pb.de/5256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pb.de/525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pb.de/52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2024-01-16T15:50:00Z</dcterms:created>
  <dcterms:modified xsi:type="dcterms:W3CDTF">2024-02-08T22:08:00Z</dcterms:modified>
</cp:coreProperties>
</file>