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0A42" w14:textId="77777777" w:rsidR="004075E8" w:rsidRDefault="009E0352" w:rsidP="00DA1DE7">
      <w:pPr>
        <w:pStyle w:val="Listenabsatz"/>
        <w:numPr>
          <w:ilvl w:val="0"/>
          <w:numId w:val="2"/>
        </w:numPr>
        <w:rPr>
          <w:rFonts w:ascii="Arial" w:hAnsi="Arial"/>
          <w:b/>
          <w:snapToGrid w:val="0"/>
          <w:color w:val="000000"/>
        </w:rPr>
      </w:pPr>
      <w:r w:rsidRPr="00FB129E">
        <w:rPr>
          <w:rFonts w:ascii="Arial" w:hAnsi="Arial"/>
          <w:b/>
          <w:snapToGrid w:val="0"/>
          <w:color w:val="000000"/>
        </w:rPr>
        <w:t xml:space="preserve">Die Terms </w:t>
      </w:r>
      <w:proofErr w:type="spellStart"/>
      <w:r w:rsidRPr="00FB129E">
        <w:rPr>
          <w:rFonts w:ascii="Arial" w:hAnsi="Arial"/>
          <w:b/>
          <w:snapToGrid w:val="0"/>
          <w:color w:val="000000"/>
        </w:rPr>
        <w:t>of</w:t>
      </w:r>
      <w:proofErr w:type="spellEnd"/>
      <w:r w:rsidRPr="00FB129E">
        <w:rPr>
          <w:rFonts w:ascii="Arial" w:hAnsi="Arial"/>
          <w:b/>
          <w:snapToGrid w:val="0"/>
          <w:color w:val="000000"/>
        </w:rPr>
        <w:t xml:space="preserve"> Trade </w:t>
      </w:r>
      <w:r w:rsidR="00352BD0" w:rsidRPr="00FB129E">
        <w:rPr>
          <w:rFonts w:ascii="Arial" w:hAnsi="Arial"/>
          <w:b/>
          <w:snapToGrid w:val="0"/>
          <w:color w:val="000000"/>
        </w:rPr>
        <w:t>setzen die Ausfuhrwerte eines Staates oder einer Staatengruppe ins Verhältnis zu den Einfuhrwerten</w:t>
      </w:r>
      <w:r w:rsidRPr="00FB129E">
        <w:rPr>
          <w:rFonts w:ascii="Arial" w:hAnsi="Arial"/>
          <w:b/>
          <w:snapToGrid w:val="0"/>
          <w:color w:val="000000"/>
        </w:rPr>
        <w:t>.</w:t>
      </w:r>
    </w:p>
    <w:p w14:paraId="422657D6" w14:textId="77777777" w:rsidR="00483D23" w:rsidRPr="00483D23" w:rsidRDefault="00483D23" w:rsidP="00483D23">
      <w:pPr>
        <w:rPr>
          <w:rFonts w:ascii="Arial" w:hAnsi="Arial"/>
          <w:b/>
          <w:snapToGrid w:val="0"/>
          <w:color w:val="000000"/>
        </w:rPr>
      </w:pPr>
    </w:p>
    <w:p w14:paraId="7DC29CED" w14:textId="1B4C32A4" w:rsidR="004075E8" w:rsidRDefault="009E0352" w:rsidP="00DA1DE7">
      <w:pPr>
        <w:pStyle w:val="Listenabsatz"/>
        <w:numPr>
          <w:ilvl w:val="0"/>
          <w:numId w:val="2"/>
        </w:numPr>
        <w:rPr>
          <w:rFonts w:ascii="Arial" w:hAnsi="Arial"/>
          <w:b/>
          <w:snapToGrid w:val="0"/>
          <w:color w:val="000000"/>
        </w:rPr>
      </w:pPr>
      <w:r w:rsidRPr="00FB129E">
        <w:rPr>
          <w:rFonts w:ascii="Arial" w:hAnsi="Arial"/>
          <w:b/>
          <w:snapToGrid w:val="0"/>
          <w:color w:val="000000"/>
        </w:rPr>
        <w:t>Je höher die Terms of Trade im Vergleich zum Basisjahr ausfallen, desto vorteilhafter ist dies für d</w:t>
      </w:r>
      <w:r w:rsidR="00483D23">
        <w:rPr>
          <w:rFonts w:ascii="Arial" w:hAnsi="Arial"/>
          <w:b/>
          <w:snapToGrid w:val="0"/>
          <w:color w:val="000000"/>
        </w:rPr>
        <w:t>en Staat bzw. die Staatengruppe.</w:t>
      </w:r>
    </w:p>
    <w:p w14:paraId="6753F789" w14:textId="77777777" w:rsidR="00483D23" w:rsidRPr="00483D23" w:rsidRDefault="00483D23" w:rsidP="00483D23">
      <w:pPr>
        <w:rPr>
          <w:rFonts w:ascii="Arial" w:hAnsi="Arial"/>
          <w:b/>
          <w:snapToGrid w:val="0"/>
          <w:color w:val="000000"/>
        </w:rPr>
      </w:pPr>
    </w:p>
    <w:p w14:paraId="51A3EA46" w14:textId="6D40C866" w:rsidR="00DA1DE7" w:rsidRDefault="00DA1DE7" w:rsidP="00DA1DE7">
      <w:pPr>
        <w:pStyle w:val="Listenabsatz"/>
        <w:numPr>
          <w:ilvl w:val="0"/>
          <w:numId w:val="2"/>
        </w:numPr>
        <w:rPr>
          <w:rFonts w:ascii="Arial" w:hAnsi="Arial"/>
          <w:b/>
          <w:snapToGrid w:val="0"/>
          <w:color w:val="000000"/>
        </w:rPr>
      </w:pPr>
      <w:r w:rsidRPr="00FB129E">
        <w:rPr>
          <w:rFonts w:ascii="Arial" w:hAnsi="Arial"/>
          <w:b/>
          <w:snapToGrid w:val="0"/>
          <w:color w:val="000000"/>
        </w:rPr>
        <w:t xml:space="preserve">Im Zeitraum 2000 bis 2021 sind insbesondere die Terms </w:t>
      </w:r>
      <w:proofErr w:type="spellStart"/>
      <w:r w:rsidRPr="00FB129E">
        <w:rPr>
          <w:rFonts w:ascii="Arial" w:hAnsi="Arial"/>
          <w:b/>
          <w:snapToGrid w:val="0"/>
          <w:color w:val="000000"/>
        </w:rPr>
        <w:t>of</w:t>
      </w:r>
      <w:proofErr w:type="spellEnd"/>
      <w:r w:rsidRPr="00FB129E">
        <w:rPr>
          <w:rFonts w:ascii="Arial" w:hAnsi="Arial"/>
          <w:b/>
          <w:snapToGrid w:val="0"/>
          <w:color w:val="000000"/>
        </w:rPr>
        <w:t xml:space="preserve"> Trade der ökonomisch entwickelten Staaten in Asien gefallen.</w:t>
      </w:r>
    </w:p>
    <w:p w14:paraId="44C4BB62" w14:textId="77777777" w:rsidR="00483D23" w:rsidRPr="00483D23" w:rsidRDefault="00483D23" w:rsidP="00483D23">
      <w:pPr>
        <w:rPr>
          <w:rFonts w:ascii="Arial" w:hAnsi="Arial"/>
          <w:b/>
          <w:snapToGrid w:val="0"/>
          <w:color w:val="000000"/>
        </w:rPr>
      </w:pPr>
    </w:p>
    <w:p w14:paraId="5D042B6D" w14:textId="4547C79F" w:rsidR="00DA1DE7" w:rsidRPr="00FB129E" w:rsidRDefault="00DA1DE7" w:rsidP="00DA1DE7">
      <w:pPr>
        <w:pStyle w:val="Listenabsatz"/>
        <w:numPr>
          <w:ilvl w:val="0"/>
          <w:numId w:val="2"/>
        </w:numPr>
        <w:rPr>
          <w:rFonts w:ascii="Arial" w:hAnsi="Arial"/>
          <w:b/>
          <w:snapToGrid w:val="0"/>
          <w:color w:val="000000"/>
        </w:rPr>
      </w:pPr>
      <w:r w:rsidRPr="00FB129E">
        <w:rPr>
          <w:rFonts w:ascii="Arial" w:hAnsi="Arial"/>
          <w:b/>
          <w:snapToGrid w:val="0"/>
          <w:color w:val="000000"/>
        </w:rPr>
        <w:t>Positiv war die Entwicklung bei den Exporteuren von Mineralen und Minenprodukten sowie von Öl und Agrarprodukten.</w:t>
      </w:r>
    </w:p>
    <w:p w14:paraId="3810950B" w14:textId="185F72D2" w:rsidR="004075E8" w:rsidRDefault="00DA1DE7">
      <w:pPr>
        <w:rPr>
          <w:rFonts w:ascii="Arial" w:hAnsi="Arial"/>
          <w:b/>
          <w:i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</w:t>
      </w:r>
    </w:p>
    <w:p w14:paraId="1FDB1E82" w14:textId="77777777" w:rsidR="00EE51A7" w:rsidRPr="001532B9" w:rsidRDefault="00EE51A7">
      <w:pPr>
        <w:rPr>
          <w:rFonts w:ascii="Arial" w:hAnsi="Arial"/>
          <w:color w:val="FF0000"/>
        </w:rPr>
      </w:pPr>
      <w:r w:rsidRPr="001532B9">
        <w:rPr>
          <w:rFonts w:ascii="Arial" w:hAnsi="Arial"/>
          <w:color w:val="FF0000"/>
        </w:rPr>
        <w:t>Fakten</w:t>
      </w:r>
    </w:p>
    <w:p w14:paraId="342E183A" w14:textId="77777777" w:rsidR="00EE51A7" w:rsidRPr="00A07C66" w:rsidRDefault="00EE51A7">
      <w:pPr>
        <w:rPr>
          <w:rFonts w:ascii="Arial" w:hAnsi="Arial"/>
          <w:snapToGrid w:val="0"/>
          <w:color w:val="000000"/>
        </w:rPr>
      </w:pPr>
    </w:p>
    <w:p w14:paraId="676428FB" w14:textId="77777777" w:rsidR="00EE51A7" w:rsidRDefault="00BF1673" w:rsidP="00D56EBC">
      <w:pPr>
        <w:rPr>
          <w:rFonts w:ascii="Arial" w:hAnsi="Arial"/>
          <w:snapToGrid w:val="0"/>
          <w:color w:val="000000"/>
        </w:rPr>
      </w:pPr>
      <w:r w:rsidRPr="0014633D">
        <w:rPr>
          <w:rFonts w:ascii="Arial" w:hAnsi="Arial"/>
          <w:snapToGrid w:val="0"/>
          <w:color w:val="000000"/>
        </w:rPr>
        <w:t xml:space="preserve">Die Terms of Trade bilden das reale Austauschverhältnis der Ex- und Importe eines Staates oder einer Staatengruppe ab, indem die Ausfuhrwerte ins Verhältnis zu den Einfuhrwerten gesetzt werden. </w:t>
      </w:r>
      <w:r w:rsidR="00EE51A7" w:rsidRPr="0014633D">
        <w:rPr>
          <w:rFonts w:ascii="Arial" w:hAnsi="Arial"/>
          <w:snapToGrid w:val="0"/>
          <w:color w:val="000000"/>
        </w:rPr>
        <w:t xml:space="preserve">Steigen die Terms of Trade </w:t>
      </w:r>
      <w:r w:rsidR="00DC5D18" w:rsidRPr="0014633D">
        <w:rPr>
          <w:rFonts w:ascii="Arial" w:hAnsi="Arial"/>
          <w:snapToGrid w:val="0"/>
          <w:color w:val="000000"/>
        </w:rPr>
        <w:t>einer Staatengruppe bzw. e</w:t>
      </w:r>
      <w:r w:rsidRPr="0014633D">
        <w:rPr>
          <w:rFonts w:ascii="Arial" w:hAnsi="Arial"/>
          <w:snapToGrid w:val="0"/>
          <w:color w:val="000000"/>
        </w:rPr>
        <w:t>ines Staates</w:t>
      </w:r>
      <w:r w:rsidR="00EE51A7" w:rsidRPr="0014633D">
        <w:rPr>
          <w:rFonts w:ascii="Arial" w:hAnsi="Arial"/>
          <w:snapToGrid w:val="0"/>
          <w:color w:val="000000"/>
        </w:rPr>
        <w:t xml:space="preserve"> durch eine Preissteigerung der eigenen Exportgüter und/oder durch eine Preissenkung der Importgüter, verbessert sich die außenwirtschaftliche Position, da sich </w:t>
      </w:r>
      <w:r w:rsidR="001532B9" w:rsidRPr="0014633D">
        <w:rPr>
          <w:rFonts w:ascii="Arial" w:hAnsi="Arial"/>
          <w:snapToGrid w:val="0"/>
          <w:color w:val="000000"/>
        </w:rPr>
        <w:t xml:space="preserve">sinngemäß </w:t>
      </w:r>
      <w:r w:rsidR="00EE51A7" w:rsidRPr="0014633D">
        <w:rPr>
          <w:rFonts w:ascii="Arial" w:hAnsi="Arial"/>
          <w:snapToGrid w:val="0"/>
          <w:color w:val="000000"/>
        </w:rPr>
        <w:t>die Fähigkeit erhöht, mit dem gleichen Exportvolumen mehr Güter zu importieren.</w:t>
      </w:r>
    </w:p>
    <w:p w14:paraId="1F5919E5" w14:textId="77777777" w:rsidR="008D7AE9" w:rsidRDefault="008D7AE9" w:rsidP="00D56EBC">
      <w:pPr>
        <w:rPr>
          <w:rFonts w:ascii="Arial" w:hAnsi="Arial"/>
          <w:snapToGrid w:val="0"/>
          <w:color w:val="000000"/>
        </w:rPr>
      </w:pPr>
    </w:p>
    <w:p w14:paraId="0CE6172B" w14:textId="2E6E138C" w:rsidR="00A8116E" w:rsidRDefault="00EE51A7">
      <w:pPr>
        <w:rPr>
          <w:rFonts w:ascii="Arial" w:hAnsi="Arial"/>
          <w:snapToGrid w:val="0"/>
          <w:color w:val="000000"/>
        </w:rPr>
      </w:pPr>
      <w:r w:rsidRPr="00A07C66">
        <w:rPr>
          <w:rFonts w:ascii="Arial" w:hAnsi="Arial"/>
          <w:snapToGrid w:val="0"/>
          <w:color w:val="000000"/>
        </w:rPr>
        <w:t xml:space="preserve">Die Terms of Trade der ökonomisch entwickelten Staaten </w:t>
      </w:r>
      <w:r w:rsidR="00795701" w:rsidRPr="00A07C66">
        <w:rPr>
          <w:rFonts w:ascii="Arial" w:hAnsi="Arial"/>
          <w:snapToGrid w:val="0"/>
          <w:color w:val="000000"/>
        </w:rPr>
        <w:t xml:space="preserve">lagen 1980 und 1990 </w:t>
      </w:r>
      <w:r w:rsidR="00787FB0" w:rsidRPr="00A07C66">
        <w:rPr>
          <w:rFonts w:ascii="Arial" w:hAnsi="Arial"/>
          <w:snapToGrid w:val="0"/>
          <w:color w:val="000000"/>
        </w:rPr>
        <w:t xml:space="preserve">in etwa auf dem Niveau des </w:t>
      </w:r>
      <w:r w:rsidR="00795701" w:rsidRPr="00A07C66">
        <w:rPr>
          <w:rFonts w:ascii="Arial" w:hAnsi="Arial"/>
          <w:snapToGrid w:val="0"/>
          <w:color w:val="000000"/>
        </w:rPr>
        <w:t>Basisjahr</w:t>
      </w:r>
      <w:r w:rsidR="00787FB0" w:rsidRPr="00A07C66">
        <w:rPr>
          <w:rFonts w:ascii="Arial" w:hAnsi="Arial"/>
          <w:snapToGrid w:val="0"/>
          <w:color w:val="000000"/>
        </w:rPr>
        <w:t>es</w:t>
      </w:r>
      <w:r w:rsidR="00795701" w:rsidRPr="00A07C66">
        <w:rPr>
          <w:rFonts w:ascii="Arial" w:hAnsi="Arial"/>
          <w:snapToGrid w:val="0"/>
          <w:color w:val="000000"/>
        </w:rPr>
        <w:t xml:space="preserve"> 2000 (=100) und </w:t>
      </w:r>
      <w:r w:rsidR="00354F0B" w:rsidRPr="00A07C66">
        <w:rPr>
          <w:rFonts w:ascii="Arial" w:hAnsi="Arial"/>
          <w:snapToGrid w:val="0"/>
          <w:color w:val="000000"/>
        </w:rPr>
        <w:t xml:space="preserve">sind in den Folgejahren weitgehend stabil geblieben </w:t>
      </w:r>
      <w:r w:rsidR="00795701" w:rsidRPr="00A07C66">
        <w:rPr>
          <w:rFonts w:ascii="Arial" w:hAnsi="Arial"/>
          <w:snapToGrid w:val="0"/>
          <w:color w:val="000000"/>
        </w:rPr>
        <w:t>(20</w:t>
      </w:r>
      <w:r w:rsidR="00A8116E" w:rsidRPr="00A07C66">
        <w:rPr>
          <w:rFonts w:ascii="Arial" w:hAnsi="Arial"/>
          <w:snapToGrid w:val="0"/>
          <w:color w:val="000000"/>
        </w:rPr>
        <w:t>21</w:t>
      </w:r>
      <w:r w:rsidR="00795701" w:rsidRPr="00A07C66">
        <w:rPr>
          <w:rFonts w:ascii="Arial" w:hAnsi="Arial"/>
          <w:snapToGrid w:val="0"/>
          <w:color w:val="000000"/>
        </w:rPr>
        <w:t xml:space="preserve"> = 10</w:t>
      </w:r>
      <w:r w:rsidR="00A8116E" w:rsidRPr="00A07C66">
        <w:rPr>
          <w:rFonts w:ascii="Arial" w:hAnsi="Arial"/>
          <w:snapToGrid w:val="0"/>
          <w:color w:val="000000"/>
        </w:rPr>
        <w:t>1,8</w:t>
      </w:r>
      <w:r w:rsidR="00795701" w:rsidRPr="00A07C66">
        <w:rPr>
          <w:rFonts w:ascii="Arial" w:hAnsi="Arial"/>
          <w:snapToGrid w:val="0"/>
          <w:color w:val="000000"/>
        </w:rPr>
        <w:t>)</w:t>
      </w:r>
      <w:r w:rsidRPr="00A07C66">
        <w:rPr>
          <w:rFonts w:ascii="Arial" w:hAnsi="Arial"/>
          <w:snapToGrid w:val="0"/>
          <w:color w:val="000000"/>
        </w:rPr>
        <w:t xml:space="preserve">. </w:t>
      </w:r>
      <w:r w:rsidR="00A8116E" w:rsidRPr="00A07C66">
        <w:rPr>
          <w:rFonts w:ascii="Arial" w:hAnsi="Arial"/>
          <w:snapToGrid w:val="0"/>
          <w:color w:val="000000"/>
        </w:rPr>
        <w:t xml:space="preserve">Allerdings gibt es zum Teil große Unterschiede zwischen den Regionen. Während die Terms </w:t>
      </w:r>
      <w:proofErr w:type="spellStart"/>
      <w:r w:rsidR="00A8116E" w:rsidRPr="00A07C66">
        <w:rPr>
          <w:rFonts w:ascii="Arial" w:hAnsi="Arial"/>
          <w:snapToGrid w:val="0"/>
          <w:color w:val="000000"/>
        </w:rPr>
        <w:t>of</w:t>
      </w:r>
      <w:proofErr w:type="spellEnd"/>
      <w:r w:rsidR="00A8116E" w:rsidRPr="00A07C66">
        <w:rPr>
          <w:rFonts w:ascii="Arial" w:hAnsi="Arial"/>
          <w:snapToGrid w:val="0"/>
          <w:color w:val="000000"/>
        </w:rPr>
        <w:t xml:space="preserve"> Trade der ökonomisch entwickelten Staaten in Europa zwischen 2000 und 2021 nur geringfügig um 100 schwankten, </w:t>
      </w:r>
      <w:r w:rsidR="00A07C66" w:rsidRPr="00A07C66">
        <w:rPr>
          <w:rFonts w:ascii="Arial" w:hAnsi="Arial"/>
          <w:snapToGrid w:val="0"/>
          <w:color w:val="000000"/>
        </w:rPr>
        <w:t xml:space="preserve">fielen </w:t>
      </w:r>
      <w:r w:rsidR="00A8116E" w:rsidRPr="00A07C66">
        <w:rPr>
          <w:rFonts w:ascii="Arial" w:hAnsi="Arial"/>
          <w:snapToGrid w:val="0"/>
          <w:color w:val="000000"/>
        </w:rPr>
        <w:t xml:space="preserve">die Terms </w:t>
      </w:r>
      <w:proofErr w:type="spellStart"/>
      <w:r w:rsidR="00A8116E" w:rsidRPr="00A07C66">
        <w:rPr>
          <w:rFonts w:ascii="Arial" w:hAnsi="Arial"/>
          <w:snapToGrid w:val="0"/>
          <w:color w:val="000000"/>
        </w:rPr>
        <w:t>of</w:t>
      </w:r>
      <w:proofErr w:type="spellEnd"/>
      <w:r w:rsidR="00A8116E" w:rsidRPr="00A07C66">
        <w:rPr>
          <w:rFonts w:ascii="Arial" w:hAnsi="Arial"/>
          <w:snapToGrid w:val="0"/>
          <w:color w:val="000000"/>
        </w:rPr>
        <w:t xml:space="preserve"> Trade </w:t>
      </w:r>
      <w:r w:rsidR="00A07C66" w:rsidRPr="00A07C66">
        <w:rPr>
          <w:rFonts w:ascii="Arial" w:hAnsi="Arial"/>
          <w:snapToGrid w:val="0"/>
          <w:color w:val="000000"/>
        </w:rPr>
        <w:t>der ökonomisch entwickelten Staaten in Asien aufgrund der Entwicklung in Japan und Südkorea zwischen 2000 und 2012 von 100 auf 58,3 (2021: 62,5).</w:t>
      </w:r>
    </w:p>
    <w:p w14:paraId="0272F8D4" w14:textId="77777777" w:rsidR="008D7AE9" w:rsidRDefault="008D7AE9">
      <w:pPr>
        <w:rPr>
          <w:rFonts w:ascii="Arial" w:hAnsi="Arial"/>
          <w:snapToGrid w:val="0"/>
          <w:color w:val="000000"/>
        </w:rPr>
      </w:pPr>
    </w:p>
    <w:p w14:paraId="0F0323D9" w14:textId="2624FEA8" w:rsidR="003072EC" w:rsidRDefault="00EE51A7" w:rsidP="009B1B59">
      <w:pPr>
        <w:rPr>
          <w:rFonts w:ascii="Arial" w:hAnsi="Arial"/>
          <w:snapToGrid w:val="0"/>
          <w:color w:val="000000"/>
        </w:rPr>
      </w:pPr>
      <w:r w:rsidRPr="00BC7E56">
        <w:rPr>
          <w:rFonts w:ascii="Arial" w:hAnsi="Arial"/>
          <w:snapToGrid w:val="0"/>
          <w:color w:val="000000"/>
        </w:rPr>
        <w:t xml:space="preserve">Bei den ökonomisch sich entwickelnden Staaten </w:t>
      </w:r>
      <w:r w:rsidR="00354F0B" w:rsidRPr="00BC7E56">
        <w:rPr>
          <w:rFonts w:ascii="Arial" w:hAnsi="Arial"/>
          <w:snapToGrid w:val="0"/>
          <w:color w:val="000000"/>
        </w:rPr>
        <w:t>verschlechtert</w:t>
      </w:r>
      <w:r w:rsidRPr="00BC7E56">
        <w:rPr>
          <w:rFonts w:ascii="Arial" w:hAnsi="Arial"/>
          <w:snapToGrid w:val="0"/>
          <w:color w:val="000000"/>
        </w:rPr>
        <w:t>en sich die Terms of Trade zwischen 19</w:t>
      </w:r>
      <w:r w:rsidR="00795701" w:rsidRPr="00BC7E56">
        <w:rPr>
          <w:rFonts w:ascii="Arial" w:hAnsi="Arial"/>
          <w:snapToGrid w:val="0"/>
          <w:color w:val="000000"/>
        </w:rPr>
        <w:t>8</w:t>
      </w:r>
      <w:r w:rsidRPr="00BC7E56">
        <w:rPr>
          <w:rFonts w:ascii="Arial" w:hAnsi="Arial"/>
          <w:snapToGrid w:val="0"/>
          <w:color w:val="000000"/>
        </w:rPr>
        <w:t xml:space="preserve">0 und </w:t>
      </w:r>
      <w:r w:rsidR="00795701" w:rsidRPr="00BC7E56">
        <w:rPr>
          <w:rFonts w:ascii="Arial" w:hAnsi="Arial"/>
          <w:snapToGrid w:val="0"/>
          <w:color w:val="000000"/>
        </w:rPr>
        <w:t>1990</w:t>
      </w:r>
      <w:r w:rsidRPr="00BC7E56">
        <w:rPr>
          <w:rFonts w:ascii="Arial" w:hAnsi="Arial"/>
          <w:snapToGrid w:val="0"/>
          <w:color w:val="000000"/>
        </w:rPr>
        <w:t xml:space="preserve"> </w:t>
      </w:r>
      <w:r w:rsidR="00795701" w:rsidRPr="00BC7E56">
        <w:rPr>
          <w:rFonts w:ascii="Arial" w:hAnsi="Arial"/>
          <w:snapToGrid w:val="0"/>
          <w:color w:val="000000"/>
        </w:rPr>
        <w:t>deutlich von 117 auf 101</w:t>
      </w:r>
      <w:r w:rsidR="009E1590" w:rsidRPr="00BC7E56">
        <w:rPr>
          <w:rFonts w:ascii="Arial" w:hAnsi="Arial"/>
          <w:snapToGrid w:val="0"/>
          <w:color w:val="000000"/>
        </w:rPr>
        <w:t xml:space="preserve"> und schwankten dann i</w:t>
      </w:r>
      <w:r w:rsidR="00787FB0" w:rsidRPr="00BC7E56">
        <w:rPr>
          <w:rFonts w:ascii="Arial" w:hAnsi="Arial"/>
          <w:snapToGrid w:val="0"/>
          <w:color w:val="000000"/>
        </w:rPr>
        <w:t xml:space="preserve">n den 1990er-Jahren </w:t>
      </w:r>
      <w:r w:rsidR="00354F0B" w:rsidRPr="00BC7E56">
        <w:rPr>
          <w:rFonts w:ascii="Arial" w:hAnsi="Arial"/>
          <w:snapToGrid w:val="0"/>
          <w:color w:val="000000"/>
        </w:rPr>
        <w:t>leicht um das erreichte Niveau</w:t>
      </w:r>
      <w:r w:rsidR="00E02005" w:rsidRPr="00BC7E56">
        <w:rPr>
          <w:rFonts w:ascii="Arial" w:hAnsi="Arial"/>
          <w:snapToGrid w:val="0"/>
          <w:color w:val="000000"/>
        </w:rPr>
        <w:t xml:space="preserve">. </w:t>
      </w:r>
      <w:r w:rsidR="009E1590" w:rsidRPr="00BC7E56">
        <w:rPr>
          <w:rFonts w:ascii="Arial" w:hAnsi="Arial"/>
          <w:snapToGrid w:val="0"/>
          <w:color w:val="000000"/>
        </w:rPr>
        <w:t xml:space="preserve">Zwischen 2002 und 2021 sind </w:t>
      </w:r>
      <w:r w:rsidR="00E02005" w:rsidRPr="00BC7E56">
        <w:rPr>
          <w:rFonts w:ascii="Arial" w:hAnsi="Arial"/>
          <w:snapToGrid w:val="0"/>
          <w:color w:val="000000"/>
        </w:rPr>
        <w:t xml:space="preserve">die </w:t>
      </w:r>
      <w:r w:rsidRPr="00BC7E56">
        <w:rPr>
          <w:rFonts w:ascii="Arial" w:hAnsi="Arial"/>
          <w:snapToGrid w:val="0"/>
          <w:color w:val="000000"/>
        </w:rPr>
        <w:t xml:space="preserve">Terms </w:t>
      </w:r>
      <w:proofErr w:type="spellStart"/>
      <w:r w:rsidRPr="00BC7E56">
        <w:rPr>
          <w:rFonts w:ascii="Arial" w:hAnsi="Arial"/>
          <w:snapToGrid w:val="0"/>
          <w:color w:val="000000"/>
        </w:rPr>
        <w:t>of</w:t>
      </w:r>
      <w:proofErr w:type="spellEnd"/>
      <w:r w:rsidRPr="00BC7E56">
        <w:rPr>
          <w:rFonts w:ascii="Arial" w:hAnsi="Arial"/>
          <w:snapToGrid w:val="0"/>
          <w:color w:val="000000"/>
        </w:rPr>
        <w:t xml:space="preserve"> Trade </w:t>
      </w:r>
      <w:r w:rsidR="009E1590" w:rsidRPr="00BC7E56">
        <w:rPr>
          <w:rFonts w:ascii="Arial" w:hAnsi="Arial"/>
          <w:snapToGrid w:val="0"/>
          <w:color w:val="000000"/>
        </w:rPr>
        <w:t>insgesamt von 96,1 auf 118,1 gestiegen.</w:t>
      </w:r>
      <w:r w:rsidR="008D7AE9">
        <w:rPr>
          <w:rFonts w:ascii="Arial" w:hAnsi="Arial"/>
          <w:snapToGrid w:val="0"/>
          <w:color w:val="000000"/>
        </w:rPr>
        <w:t xml:space="preserve"> </w:t>
      </w:r>
      <w:r w:rsidR="009B1B59" w:rsidRPr="005914C6">
        <w:rPr>
          <w:rFonts w:ascii="Arial" w:hAnsi="Arial"/>
          <w:snapToGrid w:val="0"/>
          <w:color w:val="000000"/>
        </w:rPr>
        <w:t xml:space="preserve">Auch in der Gruppe der </w:t>
      </w:r>
      <w:r w:rsidR="009B1B59" w:rsidRPr="00BC7E56">
        <w:rPr>
          <w:rFonts w:ascii="Arial" w:hAnsi="Arial"/>
          <w:snapToGrid w:val="0"/>
          <w:color w:val="000000"/>
        </w:rPr>
        <w:t>ökonomisch sich entwickelnden Staaten</w:t>
      </w:r>
      <w:r w:rsidR="009B1B59">
        <w:rPr>
          <w:rFonts w:ascii="Arial" w:hAnsi="Arial"/>
          <w:snapToGrid w:val="0"/>
          <w:color w:val="000000"/>
        </w:rPr>
        <w:t xml:space="preserve"> gibt es große Unterschiede zwischen den </w:t>
      </w:r>
      <w:r w:rsidR="00DC7CBF">
        <w:rPr>
          <w:rFonts w:ascii="Arial" w:hAnsi="Arial"/>
          <w:snapToGrid w:val="0"/>
          <w:color w:val="000000"/>
        </w:rPr>
        <w:t xml:space="preserve">Regionen bzw. </w:t>
      </w:r>
      <w:r w:rsidR="009B1B59">
        <w:rPr>
          <w:rFonts w:ascii="Arial" w:hAnsi="Arial"/>
          <w:snapToGrid w:val="0"/>
          <w:color w:val="000000"/>
        </w:rPr>
        <w:t xml:space="preserve">Untergruppen. So sind beispielsweise die Terms </w:t>
      </w:r>
      <w:proofErr w:type="spellStart"/>
      <w:r w:rsidR="009B1B59">
        <w:rPr>
          <w:rFonts w:ascii="Arial" w:hAnsi="Arial"/>
          <w:snapToGrid w:val="0"/>
          <w:color w:val="000000"/>
        </w:rPr>
        <w:t>of</w:t>
      </w:r>
      <w:proofErr w:type="spellEnd"/>
      <w:r w:rsidR="009B1B59">
        <w:rPr>
          <w:rFonts w:ascii="Arial" w:hAnsi="Arial"/>
          <w:snapToGrid w:val="0"/>
          <w:color w:val="000000"/>
        </w:rPr>
        <w:t xml:space="preserve"> Trade der Exporteure von</w:t>
      </w:r>
      <w:r w:rsidR="009B1B59" w:rsidRPr="009B1B59">
        <w:rPr>
          <w:rFonts w:ascii="Arial" w:hAnsi="Arial"/>
          <w:snapToGrid w:val="0"/>
          <w:color w:val="000000"/>
        </w:rPr>
        <w:t xml:space="preserve"> Mineralen und Minenprodukten</w:t>
      </w:r>
      <w:r w:rsidR="009B1B59">
        <w:rPr>
          <w:rFonts w:ascii="Arial" w:hAnsi="Arial"/>
          <w:snapToGrid w:val="0"/>
          <w:color w:val="000000"/>
        </w:rPr>
        <w:t xml:space="preserve"> (siehe: </w:t>
      </w:r>
      <w:r w:rsidR="009B1B59" w:rsidRPr="005914C6">
        <w:rPr>
          <w:rFonts w:ascii="Arial" w:hAnsi="Arial"/>
          <w:snapToGrid w:val="0"/>
          <w:color w:val="000000"/>
        </w:rPr>
        <w:t>Begriffe, methodische Anmerkungen oder Lesehilfen</w:t>
      </w:r>
      <w:r w:rsidR="009B1B59">
        <w:rPr>
          <w:rFonts w:ascii="Arial" w:hAnsi="Arial"/>
          <w:snapToGrid w:val="0"/>
          <w:color w:val="000000"/>
        </w:rPr>
        <w:t xml:space="preserve">) </w:t>
      </w:r>
      <w:r w:rsidR="009B1B59" w:rsidRPr="00251B47">
        <w:rPr>
          <w:rFonts w:ascii="Arial" w:hAnsi="Arial"/>
          <w:snapToGrid w:val="0"/>
          <w:color w:val="000000"/>
        </w:rPr>
        <w:t>zwischen 2000 und 2021</w:t>
      </w:r>
      <w:r w:rsidR="00DC7CBF" w:rsidRPr="00251B47">
        <w:rPr>
          <w:rFonts w:ascii="Arial" w:hAnsi="Arial"/>
          <w:snapToGrid w:val="0"/>
          <w:color w:val="000000"/>
        </w:rPr>
        <w:t xml:space="preserve"> – insgesamt – übe</w:t>
      </w:r>
      <w:r w:rsidR="009B1B59" w:rsidRPr="00251B47">
        <w:rPr>
          <w:rFonts w:ascii="Arial" w:hAnsi="Arial"/>
          <w:snapToGrid w:val="0"/>
          <w:color w:val="000000"/>
        </w:rPr>
        <w:t xml:space="preserve">rdurchschnittlich stark von 100 auf </w:t>
      </w:r>
      <w:r w:rsidR="005914C6" w:rsidRPr="00251B47">
        <w:rPr>
          <w:rFonts w:ascii="Arial" w:hAnsi="Arial"/>
          <w:snapToGrid w:val="0"/>
          <w:color w:val="000000"/>
        </w:rPr>
        <w:t xml:space="preserve">gut </w:t>
      </w:r>
      <w:r w:rsidR="009B1B59" w:rsidRPr="00251B47">
        <w:rPr>
          <w:rFonts w:ascii="Arial" w:hAnsi="Arial"/>
          <w:snapToGrid w:val="0"/>
          <w:color w:val="000000"/>
        </w:rPr>
        <w:t>202 gestiegen</w:t>
      </w:r>
      <w:r w:rsidR="00DC7CBF" w:rsidRPr="00251B47">
        <w:rPr>
          <w:rFonts w:ascii="Arial" w:hAnsi="Arial"/>
          <w:snapToGrid w:val="0"/>
          <w:color w:val="000000"/>
        </w:rPr>
        <w:t>.</w:t>
      </w:r>
    </w:p>
    <w:p w14:paraId="744A46E0" w14:textId="77777777" w:rsidR="008D7AE9" w:rsidRDefault="008D7AE9" w:rsidP="009B1B59">
      <w:pPr>
        <w:rPr>
          <w:rFonts w:ascii="Arial" w:hAnsi="Arial"/>
          <w:snapToGrid w:val="0"/>
          <w:color w:val="000000"/>
        </w:rPr>
      </w:pPr>
    </w:p>
    <w:p w14:paraId="5896455B" w14:textId="77777777" w:rsidR="008D7AE9" w:rsidRDefault="004814DD" w:rsidP="008D7AE9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</w:t>
      </w:r>
      <w:r w:rsidR="00DC7CBF" w:rsidRPr="00251B47">
        <w:rPr>
          <w:rFonts w:ascii="Arial" w:hAnsi="Arial"/>
          <w:snapToGrid w:val="0"/>
          <w:color w:val="000000"/>
        </w:rPr>
        <w:t xml:space="preserve">ei den Exporteuren von Öl fiel zwischen 1980 und Ende der 1990er-Jahre der Rückgang </w:t>
      </w:r>
      <w:r>
        <w:rPr>
          <w:rFonts w:ascii="Arial" w:hAnsi="Arial"/>
          <w:snapToGrid w:val="0"/>
          <w:color w:val="000000"/>
        </w:rPr>
        <w:t>der T</w:t>
      </w:r>
      <w:r w:rsidRPr="00BC7E56">
        <w:rPr>
          <w:rFonts w:ascii="Arial" w:hAnsi="Arial"/>
          <w:snapToGrid w:val="0"/>
          <w:color w:val="000000"/>
        </w:rPr>
        <w:t xml:space="preserve">erms </w:t>
      </w:r>
      <w:proofErr w:type="spellStart"/>
      <w:r w:rsidRPr="00BC7E56">
        <w:rPr>
          <w:rFonts w:ascii="Arial" w:hAnsi="Arial"/>
          <w:snapToGrid w:val="0"/>
          <w:color w:val="000000"/>
        </w:rPr>
        <w:t>of</w:t>
      </w:r>
      <w:proofErr w:type="spellEnd"/>
      <w:r w:rsidRPr="00BC7E56">
        <w:rPr>
          <w:rFonts w:ascii="Arial" w:hAnsi="Arial"/>
          <w:snapToGrid w:val="0"/>
          <w:color w:val="000000"/>
        </w:rPr>
        <w:t xml:space="preserve"> Trade</w:t>
      </w:r>
      <w:r w:rsidR="00C32E6D">
        <w:rPr>
          <w:rFonts w:ascii="Arial" w:hAnsi="Arial"/>
          <w:snapToGrid w:val="0"/>
          <w:color w:val="000000"/>
        </w:rPr>
        <w:t xml:space="preserve"> – aufgrund stark sinkender Energiepreise – </w:t>
      </w:r>
      <w:r>
        <w:rPr>
          <w:rFonts w:ascii="Arial" w:hAnsi="Arial"/>
          <w:snapToGrid w:val="0"/>
          <w:color w:val="000000"/>
        </w:rPr>
        <w:t>s</w:t>
      </w:r>
      <w:r w:rsidR="00DC7CBF" w:rsidRPr="00251B47">
        <w:rPr>
          <w:rFonts w:ascii="Arial" w:hAnsi="Arial"/>
          <w:snapToGrid w:val="0"/>
          <w:color w:val="000000"/>
        </w:rPr>
        <w:t xml:space="preserve">tärker aus als bei den </w:t>
      </w:r>
      <w:r w:rsidR="00DC7CBF" w:rsidRPr="00BC7E56">
        <w:rPr>
          <w:rFonts w:ascii="Arial" w:hAnsi="Arial"/>
          <w:snapToGrid w:val="0"/>
          <w:color w:val="000000"/>
        </w:rPr>
        <w:t>ökonomisch sich entwickelnden Staaten</w:t>
      </w:r>
      <w:r w:rsidR="00DC7CBF">
        <w:rPr>
          <w:rFonts w:ascii="Arial" w:hAnsi="Arial"/>
          <w:snapToGrid w:val="0"/>
          <w:color w:val="000000"/>
        </w:rPr>
        <w:t xml:space="preserve"> insgesamt</w:t>
      </w:r>
      <w:r w:rsidR="00AE356C">
        <w:rPr>
          <w:rFonts w:ascii="Arial" w:hAnsi="Arial"/>
          <w:snapToGrid w:val="0"/>
          <w:color w:val="000000"/>
        </w:rPr>
        <w:t>.</w:t>
      </w:r>
      <w:r w:rsidR="008D7AE9">
        <w:rPr>
          <w:rFonts w:ascii="Arial" w:hAnsi="Arial"/>
          <w:snapToGrid w:val="0"/>
          <w:color w:val="000000"/>
        </w:rPr>
        <w:t xml:space="preserve"> </w:t>
      </w:r>
      <w:r w:rsidR="00AE356C" w:rsidRPr="00AE356C">
        <w:rPr>
          <w:rFonts w:ascii="Arial" w:hAnsi="Arial"/>
          <w:snapToGrid w:val="0"/>
          <w:color w:val="000000"/>
        </w:rPr>
        <w:t xml:space="preserve">Ausgehend vom Basisjahr 2000 </w:t>
      </w:r>
      <w:r w:rsidR="00C32E6D">
        <w:rPr>
          <w:rFonts w:ascii="Arial" w:hAnsi="Arial"/>
          <w:snapToGrid w:val="0"/>
          <w:color w:val="000000"/>
        </w:rPr>
        <w:t xml:space="preserve">entwickelten sich </w:t>
      </w:r>
      <w:r w:rsidR="00AE356C" w:rsidRPr="00AE356C">
        <w:rPr>
          <w:rFonts w:ascii="Arial" w:hAnsi="Arial"/>
          <w:snapToGrid w:val="0"/>
          <w:color w:val="000000"/>
        </w:rPr>
        <w:t xml:space="preserve">die </w:t>
      </w:r>
      <w:r w:rsidR="00AE356C" w:rsidRPr="00BC7E56">
        <w:rPr>
          <w:rFonts w:ascii="Arial" w:hAnsi="Arial"/>
          <w:snapToGrid w:val="0"/>
          <w:color w:val="000000"/>
        </w:rPr>
        <w:t xml:space="preserve">Terms </w:t>
      </w:r>
      <w:proofErr w:type="spellStart"/>
      <w:r w:rsidR="00AE356C" w:rsidRPr="00BC7E56">
        <w:rPr>
          <w:rFonts w:ascii="Arial" w:hAnsi="Arial"/>
          <w:snapToGrid w:val="0"/>
          <w:color w:val="000000"/>
        </w:rPr>
        <w:t>of</w:t>
      </w:r>
      <w:proofErr w:type="spellEnd"/>
      <w:r w:rsidR="00AE356C" w:rsidRPr="00BC7E56">
        <w:rPr>
          <w:rFonts w:ascii="Arial" w:hAnsi="Arial"/>
          <w:snapToGrid w:val="0"/>
          <w:color w:val="000000"/>
        </w:rPr>
        <w:t xml:space="preserve"> Trade </w:t>
      </w:r>
      <w:r w:rsidR="00AE356C">
        <w:rPr>
          <w:rFonts w:ascii="Arial" w:hAnsi="Arial"/>
          <w:snapToGrid w:val="0"/>
          <w:color w:val="000000"/>
        </w:rPr>
        <w:t xml:space="preserve">der </w:t>
      </w:r>
      <w:r w:rsidR="00AE356C" w:rsidRPr="00251B47">
        <w:rPr>
          <w:rFonts w:ascii="Arial" w:hAnsi="Arial"/>
          <w:snapToGrid w:val="0"/>
          <w:color w:val="000000"/>
        </w:rPr>
        <w:t>Exporteure</w:t>
      </w:r>
      <w:r w:rsidR="00AE356C">
        <w:rPr>
          <w:rFonts w:ascii="Arial" w:hAnsi="Arial"/>
          <w:snapToGrid w:val="0"/>
          <w:color w:val="000000"/>
        </w:rPr>
        <w:t xml:space="preserve"> </w:t>
      </w:r>
      <w:r w:rsidR="00AE356C" w:rsidRPr="00251B47">
        <w:rPr>
          <w:rFonts w:ascii="Arial" w:hAnsi="Arial"/>
          <w:snapToGrid w:val="0"/>
          <w:color w:val="000000"/>
        </w:rPr>
        <w:t>von Öl</w:t>
      </w:r>
      <w:r w:rsidR="00AE356C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jedoch </w:t>
      </w:r>
      <w:r w:rsidR="00AE356C">
        <w:rPr>
          <w:rFonts w:ascii="Arial" w:hAnsi="Arial"/>
          <w:snapToGrid w:val="0"/>
          <w:color w:val="000000"/>
        </w:rPr>
        <w:t xml:space="preserve">seit 2003 </w:t>
      </w:r>
      <w:r w:rsidR="00C32E6D">
        <w:rPr>
          <w:rFonts w:ascii="Arial" w:hAnsi="Arial"/>
          <w:snapToGrid w:val="0"/>
          <w:color w:val="000000"/>
        </w:rPr>
        <w:t xml:space="preserve">positiver als die der </w:t>
      </w:r>
      <w:r w:rsidR="00AE356C" w:rsidRPr="00BC7E56">
        <w:rPr>
          <w:rFonts w:ascii="Arial" w:hAnsi="Arial"/>
          <w:snapToGrid w:val="0"/>
          <w:color w:val="000000"/>
        </w:rPr>
        <w:t>ökonomisch sich entwickelnden Staaten</w:t>
      </w:r>
      <w:r w:rsidR="00AE356C">
        <w:rPr>
          <w:rFonts w:ascii="Arial" w:hAnsi="Arial"/>
          <w:snapToGrid w:val="0"/>
          <w:color w:val="000000"/>
        </w:rPr>
        <w:t xml:space="preserve"> insgesamt – im Jahr 2008 </w:t>
      </w:r>
      <w:r w:rsidR="003072EC">
        <w:rPr>
          <w:rFonts w:ascii="Arial" w:hAnsi="Arial"/>
          <w:snapToGrid w:val="0"/>
          <w:color w:val="000000"/>
        </w:rPr>
        <w:t xml:space="preserve">sowie von </w:t>
      </w:r>
      <w:r w:rsidR="00AE356C">
        <w:rPr>
          <w:rFonts w:ascii="Arial" w:hAnsi="Arial"/>
          <w:snapToGrid w:val="0"/>
          <w:color w:val="000000"/>
        </w:rPr>
        <w:t xml:space="preserve">2011 bis 2014 war der Abstand besonders groß bzw. lagen die Terms </w:t>
      </w:r>
      <w:proofErr w:type="spellStart"/>
      <w:r w:rsidR="00AE356C">
        <w:rPr>
          <w:rFonts w:ascii="Arial" w:hAnsi="Arial"/>
          <w:snapToGrid w:val="0"/>
          <w:color w:val="000000"/>
        </w:rPr>
        <w:t>of</w:t>
      </w:r>
      <w:proofErr w:type="spellEnd"/>
      <w:r w:rsidR="00AE356C">
        <w:rPr>
          <w:rFonts w:ascii="Arial" w:hAnsi="Arial"/>
          <w:snapToGrid w:val="0"/>
          <w:color w:val="000000"/>
        </w:rPr>
        <w:t xml:space="preserve"> Trade der </w:t>
      </w:r>
      <w:r w:rsidR="00AE356C" w:rsidRPr="00251B47">
        <w:rPr>
          <w:rFonts w:ascii="Arial" w:hAnsi="Arial"/>
          <w:snapToGrid w:val="0"/>
          <w:color w:val="000000"/>
        </w:rPr>
        <w:t>Exporteure</w:t>
      </w:r>
      <w:r w:rsidR="00AE356C">
        <w:rPr>
          <w:rFonts w:ascii="Arial" w:hAnsi="Arial"/>
          <w:snapToGrid w:val="0"/>
          <w:color w:val="000000"/>
        </w:rPr>
        <w:t xml:space="preserve"> </w:t>
      </w:r>
      <w:r w:rsidR="00AE356C" w:rsidRPr="00251B47">
        <w:rPr>
          <w:rFonts w:ascii="Arial" w:hAnsi="Arial"/>
          <w:snapToGrid w:val="0"/>
          <w:color w:val="000000"/>
        </w:rPr>
        <w:t>von Öl</w:t>
      </w:r>
      <w:r w:rsidR="00AE356C">
        <w:rPr>
          <w:rFonts w:ascii="Arial" w:hAnsi="Arial"/>
          <w:snapToGrid w:val="0"/>
          <w:color w:val="000000"/>
        </w:rPr>
        <w:t xml:space="preserve"> </w:t>
      </w:r>
      <w:r w:rsidR="003072EC">
        <w:rPr>
          <w:rFonts w:ascii="Arial" w:hAnsi="Arial"/>
          <w:snapToGrid w:val="0"/>
          <w:color w:val="000000"/>
        </w:rPr>
        <w:t xml:space="preserve">in diesen Jahren </w:t>
      </w:r>
      <w:r w:rsidR="00AE356C">
        <w:rPr>
          <w:rFonts w:ascii="Arial" w:hAnsi="Arial"/>
          <w:snapToGrid w:val="0"/>
          <w:color w:val="000000"/>
        </w:rPr>
        <w:t>rund doppelt so hoch wie im Basisjahr.</w:t>
      </w:r>
      <w:r>
        <w:rPr>
          <w:rFonts w:ascii="Arial" w:hAnsi="Arial"/>
          <w:snapToGrid w:val="0"/>
          <w:color w:val="000000"/>
        </w:rPr>
        <w:t xml:space="preserve"> Auch im Jahr 2021 konnte </w:t>
      </w:r>
      <w:r w:rsidR="00846D2D">
        <w:rPr>
          <w:rFonts w:ascii="Arial" w:hAnsi="Arial"/>
          <w:snapToGrid w:val="0"/>
          <w:color w:val="000000"/>
        </w:rPr>
        <w:t xml:space="preserve">– aufgrund </w:t>
      </w:r>
      <w:r w:rsidR="003072EC">
        <w:rPr>
          <w:rFonts w:ascii="Arial" w:hAnsi="Arial"/>
          <w:snapToGrid w:val="0"/>
          <w:color w:val="000000"/>
        </w:rPr>
        <w:t>gestiegener E</w:t>
      </w:r>
      <w:r w:rsidR="00846D2D">
        <w:rPr>
          <w:rFonts w:ascii="Arial" w:hAnsi="Arial"/>
          <w:snapToGrid w:val="0"/>
          <w:color w:val="000000"/>
        </w:rPr>
        <w:t>nergie</w:t>
      </w:r>
      <w:r w:rsidR="00C32E6D">
        <w:rPr>
          <w:rFonts w:ascii="Arial" w:hAnsi="Arial"/>
          <w:snapToGrid w:val="0"/>
          <w:color w:val="000000"/>
        </w:rPr>
        <w:t>preise</w:t>
      </w:r>
      <w:r w:rsidR="00846D2D">
        <w:rPr>
          <w:rFonts w:ascii="Arial" w:hAnsi="Arial"/>
          <w:snapToGrid w:val="0"/>
          <w:color w:val="000000"/>
        </w:rPr>
        <w:t xml:space="preserve"> – </w:t>
      </w:r>
      <w:r>
        <w:rPr>
          <w:rFonts w:ascii="Arial" w:hAnsi="Arial"/>
          <w:snapToGrid w:val="0"/>
          <w:color w:val="000000"/>
        </w:rPr>
        <w:t>mit 174 ein hoher Wert erzielt werden.</w:t>
      </w:r>
    </w:p>
    <w:p w14:paraId="5C90D450" w14:textId="77777777" w:rsidR="008D7AE9" w:rsidRDefault="008D7AE9" w:rsidP="008D7AE9">
      <w:pPr>
        <w:rPr>
          <w:rFonts w:ascii="Arial" w:hAnsi="Arial"/>
          <w:snapToGrid w:val="0"/>
          <w:color w:val="000000"/>
        </w:rPr>
      </w:pPr>
    </w:p>
    <w:p w14:paraId="7D7EB317" w14:textId="7CBB6FA8" w:rsidR="000E70D0" w:rsidRPr="00A745D2" w:rsidRDefault="000E70D0" w:rsidP="008D7AE9">
      <w:pPr>
        <w:rPr>
          <w:rFonts w:ascii="Arial" w:hAnsi="Arial"/>
          <w:snapToGrid w:val="0"/>
          <w:color w:val="000000"/>
        </w:rPr>
      </w:pPr>
      <w:r w:rsidRPr="00A745D2">
        <w:rPr>
          <w:rFonts w:ascii="Arial" w:hAnsi="Arial"/>
          <w:snapToGrid w:val="0"/>
          <w:color w:val="000000"/>
        </w:rPr>
        <w:lastRenderedPageBreak/>
        <w:t>Verglichen mit dem Durchschnitt der 1960er-Jahre lagen die realen Preise für Nahrungs- und Genussmittel-Rohstoffe in den Jahren 2001/2002 bei etwa einem Drittel.</w:t>
      </w:r>
      <w:r w:rsidR="008D7AE9" w:rsidRPr="00A745D2">
        <w:rPr>
          <w:rFonts w:ascii="Arial" w:hAnsi="Arial"/>
          <w:snapToGrid w:val="0"/>
          <w:color w:val="000000"/>
        </w:rPr>
        <w:t xml:space="preserve"> </w:t>
      </w:r>
      <w:r w:rsidRPr="00A745D2">
        <w:rPr>
          <w:rFonts w:ascii="Arial" w:hAnsi="Arial"/>
          <w:snapToGrid w:val="0"/>
          <w:color w:val="000000"/>
        </w:rPr>
        <w:t xml:space="preserve">Seitdem haben sich die Preise </w:t>
      </w:r>
      <w:r w:rsidR="00FE795E" w:rsidRPr="00A745D2">
        <w:rPr>
          <w:rFonts w:ascii="Arial" w:hAnsi="Arial"/>
          <w:snapToGrid w:val="0"/>
          <w:color w:val="000000"/>
        </w:rPr>
        <w:t xml:space="preserve">insgesamt </w:t>
      </w:r>
      <w:r w:rsidRPr="00A745D2">
        <w:rPr>
          <w:rFonts w:ascii="Arial" w:hAnsi="Arial"/>
          <w:snapToGrid w:val="0"/>
          <w:color w:val="000000"/>
        </w:rPr>
        <w:t>stabilisiert</w:t>
      </w:r>
      <w:r w:rsidR="00FE795E" w:rsidRPr="00A745D2">
        <w:rPr>
          <w:rFonts w:ascii="Arial" w:hAnsi="Arial"/>
          <w:snapToGrid w:val="0"/>
          <w:color w:val="000000"/>
        </w:rPr>
        <w:t xml:space="preserve"> – mit positiven Auswirkungen auf die Terms </w:t>
      </w:r>
      <w:proofErr w:type="spellStart"/>
      <w:r w:rsidR="00FE795E" w:rsidRPr="00A745D2">
        <w:rPr>
          <w:rFonts w:ascii="Arial" w:hAnsi="Arial"/>
          <w:snapToGrid w:val="0"/>
          <w:color w:val="000000"/>
        </w:rPr>
        <w:t>of</w:t>
      </w:r>
      <w:proofErr w:type="spellEnd"/>
      <w:r w:rsidR="00FE795E" w:rsidRPr="00A745D2">
        <w:rPr>
          <w:rFonts w:ascii="Arial" w:hAnsi="Arial"/>
          <w:snapToGrid w:val="0"/>
          <w:color w:val="000000"/>
        </w:rPr>
        <w:t xml:space="preserve"> Trade der </w:t>
      </w:r>
      <w:r w:rsidR="00FE795E" w:rsidRPr="00251B47">
        <w:rPr>
          <w:rFonts w:ascii="Arial" w:hAnsi="Arial"/>
          <w:snapToGrid w:val="0"/>
          <w:color w:val="000000"/>
        </w:rPr>
        <w:t>Exporteure</w:t>
      </w:r>
      <w:r w:rsidR="00FE795E">
        <w:rPr>
          <w:rFonts w:ascii="Arial" w:hAnsi="Arial"/>
          <w:snapToGrid w:val="0"/>
          <w:color w:val="000000"/>
        </w:rPr>
        <w:t xml:space="preserve"> </w:t>
      </w:r>
      <w:r w:rsidR="00FE795E" w:rsidRPr="00FE795E">
        <w:rPr>
          <w:rFonts w:ascii="Arial" w:hAnsi="Arial"/>
          <w:snapToGrid w:val="0"/>
          <w:color w:val="000000"/>
        </w:rPr>
        <w:t>von Agrarprodukten</w:t>
      </w:r>
      <w:r w:rsidRPr="00A745D2">
        <w:rPr>
          <w:rFonts w:ascii="Arial" w:hAnsi="Arial"/>
          <w:snapToGrid w:val="0"/>
          <w:color w:val="000000"/>
        </w:rPr>
        <w:t>.</w:t>
      </w:r>
      <w:r w:rsidR="00FE795E" w:rsidRPr="00A745D2">
        <w:rPr>
          <w:rFonts w:ascii="Arial" w:hAnsi="Arial"/>
          <w:snapToGrid w:val="0"/>
          <w:color w:val="000000"/>
        </w:rPr>
        <w:t xml:space="preserve"> Bezogen auf diese Gruppe unter den </w:t>
      </w:r>
      <w:r w:rsidR="00FE795E" w:rsidRPr="00BC7E56">
        <w:rPr>
          <w:rFonts w:ascii="Arial" w:hAnsi="Arial"/>
          <w:snapToGrid w:val="0"/>
          <w:color w:val="000000"/>
        </w:rPr>
        <w:t>ökonomisch sich entwickelnden Staaten</w:t>
      </w:r>
      <w:r w:rsidR="00FE795E">
        <w:rPr>
          <w:rFonts w:ascii="Arial" w:hAnsi="Arial"/>
          <w:snapToGrid w:val="0"/>
          <w:color w:val="000000"/>
        </w:rPr>
        <w:t xml:space="preserve"> stiegen die </w:t>
      </w:r>
      <w:r w:rsidR="00FE795E" w:rsidRPr="00A745D2">
        <w:rPr>
          <w:rFonts w:ascii="Arial" w:hAnsi="Arial"/>
          <w:snapToGrid w:val="0"/>
          <w:color w:val="000000"/>
        </w:rPr>
        <w:t xml:space="preserve">Terms </w:t>
      </w:r>
      <w:proofErr w:type="spellStart"/>
      <w:r w:rsidR="00FE795E" w:rsidRPr="00A745D2">
        <w:rPr>
          <w:rFonts w:ascii="Arial" w:hAnsi="Arial"/>
          <w:snapToGrid w:val="0"/>
          <w:color w:val="000000"/>
        </w:rPr>
        <w:t>of</w:t>
      </w:r>
      <w:proofErr w:type="spellEnd"/>
      <w:r w:rsidR="00FE795E" w:rsidRPr="00A745D2">
        <w:rPr>
          <w:rFonts w:ascii="Arial" w:hAnsi="Arial"/>
          <w:snapToGrid w:val="0"/>
          <w:color w:val="000000"/>
        </w:rPr>
        <w:t xml:space="preserve"> Trade von 2000 bis 2011 von 100 auf 145,1 und schwanken seitdem grob um den Wert von 140 (2021: 147,2).</w:t>
      </w:r>
    </w:p>
    <w:p w14:paraId="3DB785DB" w14:textId="77777777" w:rsidR="008D7AE9" w:rsidRPr="00A745D2" w:rsidRDefault="008D7AE9" w:rsidP="008D7AE9">
      <w:pPr>
        <w:rPr>
          <w:rFonts w:ascii="Arial" w:hAnsi="Arial"/>
          <w:snapToGrid w:val="0"/>
          <w:color w:val="000000"/>
        </w:rPr>
      </w:pPr>
    </w:p>
    <w:p w14:paraId="28B8629E" w14:textId="7CC60A96" w:rsidR="0007002D" w:rsidRDefault="00361EFE" w:rsidP="00A745D2">
      <w:pPr>
        <w:rPr>
          <w:rFonts w:ascii="Arial" w:hAnsi="Arial"/>
          <w:snapToGrid w:val="0"/>
          <w:color w:val="000000"/>
        </w:rPr>
      </w:pPr>
      <w:r w:rsidRPr="00A745D2">
        <w:rPr>
          <w:rFonts w:ascii="Arial" w:hAnsi="Arial"/>
          <w:snapToGrid w:val="0"/>
          <w:color w:val="000000"/>
        </w:rPr>
        <w:t>Schließlich lassen sich auch innerhalb der Gruppe der ökonomisch am wenigsten entwickelten Staaten Unterschiede feststellen</w:t>
      </w:r>
      <w:r w:rsidR="001A0AC3" w:rsidRPr="00A745D2">
        <w:rPr>
          <w:rFonts w:ascii="Arial" w:hAnsi="Arial"/>
          <w:snapToGrid w:val="0"/>
          <w:color w:val="000000"/>
        </w:rPr>
        <w:t>.</w:t>
      </w:r>
      <w:r w:rsidR="00FC0EF7" w:rsidRPr="00A745D2">
        <w:rPr>
          <w:rFonts w:ascii="Arial" w:hAnsi="Arial"/>
          <w:snapToGrid w:val="0"/>
          <w:color w:val="000000"/>
        </w:rPr>
        <w:t xml:space="preserve"> Während die Terms </w:t>
      </w:r>
      <w:proofErr w:type="spellStart"/>
      <w:r w:rsidR="00FC0EF7" w:rsidRPr="00A745D2">
        <w:rPr>
          <w:rFonts w:ascii="Arial" w:hAnsi="Arial"/>
          <w:snapToGrid w:val="0"/>
          <w:color w:val="000000"/>
        </w:rPr>
        <w:t>of</w:t>
      </w:r>
      <w:proofErr w:type="spellEnd"/>
      <w:r w:rsidR="00FC0EF7" w:rsidRPr="00A745D2">
        <w:rPr>
          <w:rFonts w:ascii="Arial" w:hAnsi="Arial"/>
          <w:snapToGrid w:val="0"/>
          <w:color w:val="000000"/>
        </w:rPr>
        <w:t xml:space="preserve"> Trade der asiatischen Staaten dieser Gruppe seit dem Jahr 2000 um den Wert von 94 schwanken (2021: 95,6), haben sich die Terms </w:t>
      </w:r>
      <w:proofErr w:type="spellStart"/>
      <w:r w:rsidR="00FC0EF7" w:rsidRPr="00A745D2">
        <w:rPr>
          <w:rFonts w:ascii="Arial" w:hAnsi="Arial"/>
          <w:snapToGrid w:val="0"/>
          <w:color w:val="000000"/>
        </w:rPr>
        <w:t>of</w:t>
      </w:r>
      <w:proofErr w:type="spellEnd"/>
      <w:r w:rsidR="00FC0EF7" w:rsidRPr="00A745D2">
        <w:rPr>
          <w:rFonts w:ascii="Arial" w:hAnsi="Arial"/>
          <w:snapToGrid w:val="0"/>
          <w:color w:val="000000"/>
        </w:rPr>
        <w:t xml:space="preserve"> Trade der afrikanischen Staaten positiv entwickelt</w:t>
      </w:r>
      <w:r w:rsidR="001A0AC3" w:rsidRPr="00A745D2">
        <w:rPr>
          <w:rFonts w:ascii="Arial" w:hAnsi="Arial"/>
          <w:snapToGrid w:val="0"/>
          <w:color w:val="000000"/>
        </w:rPr>
        <w:t>:</w:t>
      </w:r>
      <w:r w:rsidR="00FC0EF7" w:rsidRPr="00A745D2">
        <w:rPr>
          <w:rFonts w:ascii="Arial" w:hAnsi="Arial"/>
          <w:snapToGrid w:val="0"/>
          <w:color w:val="000000"/>
        </w:rPr>
        <w:t xml:space="preserve"> Zwischen 2001 und 2021 stiegen die Terms </w:t>
      </w:r>
      <w:proofErr w:type="spellStart"/>
      <w:r w:rsidR="00FC0EF7" w:rsidRPr="00A745D2">
        <w:rPr>
          <w:rFonts w:ascii="Arial" w:hAnsi="Arial"/>
          <w:snapToGrid w:val="0"/>
          <w:color w:val="000000"/>
        </w:rPr>
        <w:t>of</w:t>
      </w:r>
      <w:proofErr w:type="spellEnd"/>
      <w:r w:rsidR="00FC0EF7" w:rsidRPr="00A745D2">
        <w:rPr>
          <w:rFonts w:ascii="Arial" w:hAnsi="Arial"/>
          <w:snapToGrid w:val="0"/>
          <w:color w:val="000000"/>
        </w:rPr>
        <w:t xml:space="preserve"> Trade – abseits der Schwankungen im Zeitverlauf – von rund 92 auf 182.</w:t>
      </w:r>
      <w:r w:rsidR="008D7AE9" w:rsidRPr="00A745D2">
        <w:rPr>
          <w:rFonts w:ascii="Arial" w:hAnsi="Arial"/>
          <w:snapToGrid w:val="0"/>
          <w:color w:val="000000"/>
        </w:rPr>
        <w:t xml:space="preserve"> </w:t>
      </w:r>
      <w:r w:rsidR="00FC0EF7" w:rsidRPr="00A745D2">
        <w:rPr>
          <w:rFonts w:ascii="Arial" w:hAnsi="Arial"/>
          <w:snapToGrid w:val="0"/>
          <w:color w:val="000000"/>
        </w:rPr>
        <w:t xml:space="preserve">Der Grund für die insgesamt steigenden Terms </w:t>
      </w:r>
      <w:proofErr w:type="spellStart"/>
      <w:r w:rsidR="00FC0EF7" w:rsidRPr="00A745D2">
        <w:rPr>
          <w:rFonts w:ascii="Arial" w:hAnsi="Arial"/>
          <w:snapToGrid w:val="0"/>
          <w:color w:val="000000"/>
        </w:rPr>
        <w:t>of</w:t>
      </w:r>
      <w:proofErr w:type="spellEnd"/>
      <w:r w:rsidR="00FC0EF7" w:rsidRPr="00A745D2">
        <w:rPr>
          <w:rFonts w:ascii="Arial" w:hAnsi="Arial"/>
          <w:snapToGrid w:val="0"/>
          <w:color w:val="000000"/>
        </w:rPr>
        <w:t xml:space="preserve"> Trade der afrikanischen Staaten unter den ökonomisch am wenigsten entwickelten Staaten ist, dass 16 der 31 Staaten zu den </w:t>
      </w:r>
      <w:r w:rsidR="00FC0EF7" w:rsidRPr="00251B47">
        <w:rPr>
          <w:rFonts w:ascii="Arial" w:hAnsi="Arial"/>
          <w:snapToGrid w:val="0"/>
          <w:color w:val="000000"/>
        </w:rPr>
        <w:t>Exporteure</w:t>
      </w:r>
      <w:r w:rsidR="00FC0EF7">
        <w:rPr>
          <w:rFonts w:ascii="Arial" w:hAnsi="Arial"/>
          <w:snapToGrid w:val="0"/>
          <w:color w:val="000000"/>
        </w:rPr>
        <w:t xml:space="preserve">n </w:t>
      </w:r>
      <w:r w:rsidR="00FC0EF7" w:rsidRPr="00FE795E">
        <w:rPr>
          <w:rFonts w:ascii="Arial" w:hAnsi="Arial"/>
          <w:snapToGrid w:val="0"/>
          <w:color w:val="000000"/>
        </w:rPr>
        <w:t>von</w:t>
      </w:r>
      <w:r w:rsidR="00FC0EF7">
        <w:rPr>
          <w:rFonts w:ascii="Arial" w:hAnsi="Arial"/>
          <w:snapToGrid w:val="0"/>
          <w:color w:val="000000"/>
        </w:rPr>
        <w:t xml:space="preserve"> Öl (2), A</w:t>
      </w:r>
      <w:r w:rsidR="00FC0EF7" w:rsidRPr="00FE795E">
        <w:rPr>
          <w:rFonts w:ascii="Arial" w:hAnsi="Arial"/>
          <w:snapToGrid w:val="0"/>
          <w:color w:val="000000"/>
        </w:rPr>
        <w:t>grarprodukten</w:t>
      </w:r>
      <w:r w:rsidR="00FC0EF7">
        <w:rPr>
          <w:rFonts w:ascii="Arial" w:hAnsi="Arial"/>
          <w:snapToGrid w:val="0"/>
          <w:color w:val="000000"/>
        </w:rPr>
        <w:t xml:space="preserve"> (8) oder M</w:t>
      </w:r>
      <w:r w:rsidR="00FC0EF7" w:rsidRPr="009B1B59">
        <w:rPr>
          <w:rFonts w:ascii="Arial" w:hAnsi="Arial"/>
          <w:snapToGrid w:val="0"/>
          <w:color w:val="000000"/>
        </w:rPr>
        <w:t>ineralen</w:t>
      </w:r>
      <w:r w:rsidR="00076CB6">
        <w:rPr>
          <w:rFonts w:ascii="Arial" w:hAnsi="Arial"/>
          <w:snapToGrid w:val="0"/>
          <w:color w:val="000000"/>
        </w:rPr>
        <w:t>/</w:t>
      </w:r>
      <w:r w:rsidR="00FC0EF7" w:rsidRPr="009B1B59">
        <w:rPr>
          <w:rFonts w:ascii="Arial" w:hAnsi="Arial"/>
          <w:snapToGrid w:val="0"/>
          <w:color w:val="000000"/>
        </w:rPr>
        <w:t>Minenprodukten</w:t>
      </w:r>
      <w:r w:rsidR="00FC0EF7">
        <w:rPr>
          <w:rFonts w:ascii="Arial" w:hAnsi="Arial"/>
          <w:snapToGrid w:val="0"/>
          <w:color w:val="000000"/>
        </w:rPr>
        <w:t xml:space="preserve"> (6) gehör</w:t>
      </w:r>
      <w:r w:rsidR="00334D08">
        <w:rPr>
          <w:rFonts w:ascii="Arial" w:hAnsi="Arial"/>
          <w:snapToGrid w:val="0"/>
          <w:color w:val="000000"/>
        </w:rPr>
        <w:t>t</w:t>
      </w:r>
      <w:r w:rsidR="00FC0EF7">
        <w:rPr>
          <w:rFonts w:ascii="Arial" w:hAnsi="Arial"/>
          <w:snapToGrid w:val="0"/>
          <w:color w:val="000000"/>
        </w:rPr>
        <w:t>en</w:t>
      </w:r>
      <w:r w:rsidR="00334D08">
        <w:rPr>
          <w:rFonts w:ascii="Arial" w:hAnsi="Arial"/>
          <w:snapToGrid w:val="0"/>
          <w:color w:val="000000"/>
        </w:rPr>
        <w:t xml:space="preserve"> </w:t>
      </w:r>
      <w:r w:rsidR="00076CB6">
        <w:rPr>
          <w:rFonts w:ascii="Arial" w:hAnsi="Arial"/>
          <w:snapToGrid w:val="0"/>
          <w:color w:val="000000"/>
        </w:rPr>
        <w:t xml:space="preserve">und </w:t>
      </w:r>
      <w:r w:rsidR="001A0AC3">
        <w:rPr>
          <w:rFonts w:ascii="Arial" w:hAnsi="Arial"/>
          <w:snapToGrid w:val="0"/>
          <w:color w:val="000000"/>
        </w:rPr>
        <w:t xml:space="preserve">dadurch </w:t>
      </w:r>
      <w:r w:rsidR="00076CB6">
        <w:rPr>
          <w:rFonts w:ascii="Arial" w:hAnsi="Arial"/>
          <w:snapToGrid w:val="0"/>
          <w:color w:val="000000"/>
        </w:rPr>
        <w:t>insgesamt</w:t>
      </w:r>
      <w:r w:rsidR="00021366">
        <w:rPr>
          <w:rFonts w:ascii="Arial" w:hAnsi="Arial"/>
          <w:snapToGrid w:val="0"/>
          <w:color w:val="000000"/>
        </w:rPr>
        <w:t xml:space="preserve"> von der </w:t>
      </w:r>
      <w:r w:rsidR="00076CB6">
        <w:rPr>
          <w:rFonts w:ascii="Arial" w:hAnsi="Arial"/>
          <w:snapToGrid w:val="0"/>
          <w:color w:val="000000"/>
        </w:rPr>
        <w:t>Preisen</w:t>
      </w:r>
      <w:r w:rsidR="00021366">
        <w:rPr>
          <w:rFonts w:ascii="Arial" w:hAnsi="Arial"/>
          <w:snapToGrid w:val="0"/>
          <w:color w:val="000000"/>
        </w:rPr>
        <w:t>twicklung</w:t>
      </w:r>
      <w:r w:rsidR="00076CB6">
        <w:rPr>
          <w:rFonts w:ascii="Arial" w:hAnsi="Arial"/>
          <w:snapToGrid w:val="0"/>
          <w:color w:val="000000"/>
        </w:rPr>
        <w:t xml:space="preserve"> </w:t>
      </w:r>
      <w:r w:rsidR="001A0AC3">
        <w:rPr>
          <w:rFonts w:ascii="Arial" w:hAnsi="Arial"/>
          <w:snapToGrid w:val="0"/>
          <w:color w:val="000000"/>
        </w:rPr>
        <w:t>profitiert</w:t>
      </w:r>
      <w:r w:rsidR="00076CB6">
        <w:rPr>
          <w:rFonts w:ascii="Arial" w:hAnsi="Arial"/>
          <w:snapToGrid w:val="0"/>
          <w:color w:val="000000"/>
        </w:rPr>
        <w:t>en</w:t>
      </w:r>
      <w:r w:rsidR="00FC0EF7">
        <w:rPr>
          <w:rFonts w:ascii="Arial" w:hAnsi="Arial"/>
          <w:snapToGrid w:val="0"/>
          <w:color w:val="000000"/>
        </w:rPr>
        <w:t xml:space="preserve">. </w:t>
      </w:r>
      <w:r w:rsidR="00076CB6">
        <w:rPr>
          <w:rFonts w:ascii="Arial" w:hAnsi="Arial"/>
          <w:snapToGrid w:val="0"/>
          <w:color w:val="000000"/>
        </w:rPr>
        <w:t xml:space="preserve">Bei den acht asiatischen Staaten </w:t>
      </w:r>
      <w:r w:rsidR="00021366" w:rsidRPr="00A745D2">
        <w:rPr>
          <w:rFonts w:ascii="Arial" w:hAnsi="Arial"/>
          <w:snapToGrid w:val="0"/>
          <w:color w:val="000000"/>
        </w:rPr>
        <w:t xml:space="preserve">unter den ökonomisch am wenigsten entwickelten Staaten </w:t>
      </w:r>
      <w:r w:rsidR="00076CB6">
        <w:rPr>
          <w:rFonts w:ascii="Arial" w:hAnsi="Arial"/>
          <w:snapToGrid w:val="0"/>
          <w:color w:val="000000"/>
        </w:rPr>
        <w:t xml:space="preserve">galt dies </w:t>
      </w:r>
      <w:r w:rsidR="00021366">
        <w:rPr>
          <w:rFonts w:ascii="Arial" w:hAnsi="Arial"/>
          <w:snapToGrid w:val="0"/>
          <w:color w:val="000000"/>
        </w:rPr>
        <w:t xml:space="preserve">lediglich </w:t>
      </w:r>
      <w:r w:rsidR="00076CB6">
        <w:rPr>
          <w:rFonts w:ascii="Arial" w:hAnsi="Arial"/>
          <w:snapToGrid w:val="0"/>
          <w:color w:val="000000"/>
        </w:rPr>
        <w:t>für einen Staat:</w:t>
      </w:r>
      <w:r w:rsidR="008D7AE9">
        <w:rPr>
          <w:rFonts w:ascii="Arial" w:hAnsi="Arial"/>
          <w:snapToGrid w:val="0"/>
          <w:color w:val="000000"/>
        </w:rPr>
        <w:t xml:space="preserve"> </w:t>
      </w:r>
      <w:r w:rsidR="00021366" w:rsidRPr="00076CB6">
        <w:rPr>
          <w:rFonts w:ascii="Arial" w:hAnsi="Arial"/>
          <w:snapToGrid w:val="0"/>
          <w:color w:val="000000"/>
        </w:rPr>
        <w:t>Afghanistan</w:t>
      </w:r>
      <w:r w:rsidR="00021366">
        <w:rPr>
          <w:rFonts w:ascii="Arial" w:hAnsi="Arial"/>
          <w:snapToGrid w:val="0"/>
          <w:color w:val="000000"/>
        </w:rPr>
        <w:t xml:space="preserve"> gehört</w:t>
      </w:r>
      <w:r w:rsidR="00334D08">
        <w:rPr>
          <w:rFonts w:ascii="Arial" w:hAnsi="Arial"/>
          <w:snapToGrid w:val="0"/>
          <w:color w:val="000000"/>
        </w:rPr>
        <w:t xml:space="preserve">e </w:t>
      </w:r>
      <w:r w:rsidR="00021366">
        <w:rPr>
          <w:rFonts w:ascii="Arial" w:hAnsi="Arial"/>
          <w:snapToGrid w:val="0"/>
          <w:color w:val="000000"/>
        </w:rPr>
        <w:t xml:space="preserve">zu den </w:t>
      </w:r>
      <w:r w:rsidR="0007002D" w:rsidRPr="00251B47">
        <w:rPr>
          <w:rFonts w:ascii="Arial" w:hAnsi="Arial"/>
          <w:snapToGrid w:val="0"/>
          <w:color w:val="000000"/>
        </w:rPr>
        <w:t>Exporteur</w:t>
      </w:r>
      <w:r w:rsidR="00021366">
        <w:rPr>
          <w:rFonts w:ascii="Arial" w:hAnsi="Arial"/>
          <w:snapToGrid w:val="0"/>
          <w:color w:val="000000"/>
        </w:rPr>
        <w:t>en</w:t>
      </w:r>
      <w:r w:rsidR="0007002D">
        <w:rPr>
          <w:rFonts w:ascii="Arial" w:hAnsi="Arial"/>
          <w:snapToGrid w:val="0"/>
          <w:color w:val="000000"/>
        </w:rPr>
        <w:t xml:space="preserve"> von A</w:t>
      </w:r>
      <w:r w:rsidR="0007002D" w:rsidRPr="00FE795E">
        <w:rPr>
          <w:rFonts w:ascii="Arial" w:hAnsi="Arial"/>
          <w:snapToGrid w:val="0"/>
          <w:color w:val="000000"/>
        </w:rPr>
        <w:t>grarprodukte</w:t>
      </w:r>
      <w:r w:rsidR="0007002D">
        <w:rPr>
          <w:rFonts w:ascii="Arial" w:hAnsi="Arial"/>
          <w:snapToGrid w:val="0"/>
          <w:color w:val="000000"/>
        </w:rPr>
        <w:t>n</w:t>
      </w:r>
      <w:r w:rsidR="00021366">
        <w:rPr>
          <w:rFonts w:ascii="Arial" w:hAnsi="Arial"/>
          <w:snapToGrid w:val="0"/>
          <w:color w:val="000000"/>
        </w:rPr>
        <w:t xml:space="preserve"> </w:t>
      </w:r>
      <w:r w:rsidR="00021366" w:rsidRPr="00A745D2">
        <w:rPr>
          <w:rFonts w:ascii="Arial" w:hAnsi="Arial"/>
          <w:snapToGrid w:val="0"/>
          <w:color w:val="000000"/>
        </w:rPr>
        <w:t xml:space="preserve">und </w:t>
      </w:r>
      <w:r w:rsidR="00021366">
        <w:rPr>
          <w:rFonts w:ascii="Arial" w:hAnsi="Arial"/>
          <w:snapToGrid w:val="0"/>
          <w:color w:val="000000"/>
        </w:rPr>
        <w:t xml:space="preserve">zumindest bis 2020 </w:t>
      </w:r>
      <w:r w:rsidR="0007002D">
        <w:rPr>
          <w:rFonts w:ascii="Arial" w:hAnsi="Arial"/>
          <w:snapToGrid w:val="0"/>
          <w:color w:val="000000"/>
        </w:rPr>
        <w:t xml:space="preserve">erhöhten sich </w:t>
      </w:r>
      <w:r w:rsidR="00021366">
        <w:rPr>
          <w:rFonts w:ascii="Arial" w:hAnsi="Arial"/>
          <w:snapToGrid w:val="0"/>
          <w:color w:val="000000"/>
        </w:rPr>
        <w:t xml:space="preserve">damit auch </w:t>
      </w:r>
      <w:r w:rsidR="001A0AC3">
        <w:rPr>
          <w:rFonts w:ascii="Arial" w:hAnsi="Arial"/>
          <w:snapToGrid w:val="0"/>
          <w:color w:val="000000"/>
        </w:rPr>
        <w:t xml:space="preserve">die Terms </w:t>
      </w:r>
      <w:proofErr w:type="spellStart"/>
      <w:r w:rsidR="001A0AC3">
        <w:rPr>
          <w:rFonts w:ascii="Arial" w:hAnsi="Arial"/>
          <w:snapToGrid w:val="0"/>
          <w:color w:val="000000"/>
        </w:rPr>
        <w:t>of</w:t>
      </w:r>
      <w:proofErr w:type="spellEnd"/>
      <w:r w:rsidR="001A0AC3">
        <w:rPr>
          <w:rFonts w:ascii="Arial" w:hAnsi="Arial"/>
          <w:snapToGrid w:val="0"/>
          <w:color w:val="000000"/>
        </w:rPr>
        <w:t xml:space="preserve"> Trade</w:t>
      </w:r>
      <w:r w:rsidR="00076CB6">
        <w:rPr>
          <w:rFonts w:ascii="Arial" w:hAnsi="Arial"/>
          <w:snapToGrid w:val="0"/>
          <w:color w:val="000000"/>
        </w:rPr>
        <w:t>.</w:t>
      </w:r>
    </w:p>
    <w:p w14:paraId="2B788E36" w14:textId="77777777" w:rsidR="008D7AE9" w:rsidRDefault="008D7AE9" w:rsidP="00A745D2">
      <w:pPr>
        <w:rPr>
          <w:rFonts w:ascii="Arial" w:hAnsi="Arial"/>
          <w:snapToGrid w:val="0"/>
          <w:color w:val="000000"/>
        </w:rPr>
      </w:pPr>
    </w:p>
    <w:p w14:paraId="754AD953" w14:textId="77777777" w:rsidR="00EE51A7" w:rsidRPr="00B30382" w:rsidRDefault="00EE51A7">
      <w:pPr>
        <w:rPr>
          <w:rFonts w:ascii="Arial" w:hAnsi="Arial"/>
          <w:color w:val="FF0000"/>
          <w:lang w:val="en-US"/>
        </w:rPr>
      </w:pPr>
      <w:proofErr w:type="spellStart"/>
      <w:r w:rsidRPr="00B30382">
        <w:rPr>
          <w:rFonts w:ascii="Arial" w:hAnsi="Arial"/>
          <w:color w:val="FF0000"/>
          <w:lang w:val="en-US"/>
        </w:rPr>
        <w:t>Datenquelle</w:t>
      </w:r>
      <w:proofErr w:type="spellEnd"/>
    </w:p>
    <w:p w14:paraId="538030F9" w14:textId="77777777" w:rsidR="00EE51A7" w:rsidRPr="003B19F6" w:rsidRDefault="00EE51A7" w:rsidP="003B19F6">
      <w:pPr>
        <w:autoSpaceDE w:val="0"/>
        <w:autoSpaceDN w:val="0"/>
        <w:adjustRightInd w:val="0"/>
        <w:rPr>
          <w:rFonts w:ascii="Arial" w:hAnsi="Arial"/>
          <w:snapToGrid w:val="0"/>
          <w:color w:val="000000"/>
        </w:rPr>
      </w:pPr>
    </w:p>
    <w:p w14:paraId="73D68DEE" w14:textId="4959BB93" w:rsidR="008647DC" w:rsidRDefault="003B19F6" w:rsidP="003B19F6">
      <w:pPr>
        <w:autoSpaceDE w:val="0"/>
        <w:autoSpaceDN w:val="0"/>
        <w:adjustRightInd w:val="0"/>
        <w:rPr>
          <w:rFonts w:ascii="Arial" w:hAnsi="Arial"/>
          <w:snapToGrid w:val="0"/>
          <w:color w:val="000000"/>
        </w:rPr>
      </w:pPr>
      <w:r w:rsidRPr="003B19F6">
        <w:rPr>
          <w:rFonts w:ascii="Arial" w:hAnsi="Arial"/>
          <w:snapToGrid w:val="0"/>
          <w:color w:val="000000"/>
        </w:rPr>
        <w:t xml:space="preserve">United Nations Conference on Trade and Development (UNCTAD): Handbook </w:t>
      </w:r>
      <w:proofErr w:type="spellStart"/>
      <w:r w:rsidRPr="003B19F6">
        <w:rPr>
          <w:rFonts w:ascii="Arial" w:hAnsi="Arial"/>
          <w:snapToGrid w:val="0"/>
          <w:color w:val="000000"/>
        </w:rPr>
        <w:t>of</w:t>
      </w:r>
      <w:proofErr w:type="spellEnd"/>
      <w:r w:rsidRPr="003B19F6">
        <w:rPr>
          <w:rFonts w:ascii="Arial" w:hAnsi="Arial"/>
          <w:snapToGrid w:val="0"/>
          <w:color w:val="000000"/>
        </w:rPr>
        <w:t xml:space="preserve"> </w:t>
      </w:r>
      <w:proofErr w:type="spellStart"/>
      <w:r w:rsidRPr="003B19F6">
        <w:rPr>
          <w:rFonts w:ascii="Arial" w:hAnsi="Arial"/>
          <w:snapToGrid w:val="0"/>
          <w:color w:val="000000"/>
        </w:rPr>
        <w:t>Statistics</w:t>
      </w:r>
      <w:proofErr w:type="spellEnd"/>
      <w:r w:rsidRPr="003B19F6">
        <w:rPr>
          <w:rFonts w:ascii="Arial" w:hAnsi="Arial"/>
          <w:snapToGrid w:val="0"/>
          <w:color w:val="000000"/>
        </w:rPr>
        <w:t xml:space="preserve"> 2006-2007, Online-Datenbank: </w:t>
      </w:r>
      <w:proofErr w:type="spellStart"/>
      <w:r w:rsidRPr="003B19F6">
        <w:rPr>
          <w:rFonts w:ascii="Arial" w:hAnsi="Arial"/>
          <w:snapToGrid w:val="0"/>
          <w:color w:val="000000"/>
        </w:rPr>
        <w:t>UNCTADstat</w:t>
      </w:r>
      <w:proofErr w:type="spellEnd"/>
      <w:r w:rsidRPr="003B19F6">
        <w:rPr>
          <w:rFonts w:ascii="Arial" w:hAnsi="Arial"/>
          <w:snapToGrid w:val="0"/>
          <w:color w:val="000000"/>
        </w:rPr>
        <w:t xml:space="preserve"> (Stand: 08/2023)</w:t>
      </w:r>
    </w:p>
    <w:p w14:paraId="22174404" w14:textId="77777777" w:rsidR="008D7AE9" w:rsidRDefault="008D7AE9" w:rsidP="003B19F6">
      <w:pPr>
        <w:autoSpaceDE w:val="0"/>
        <w:autoSpaceDN w:val="0"/>
        <w:adjustRightInd w:val="0"/>
        <w:rPr>
          <w:rFonts w:ascii="Arial" w:hAnsi="Arial"/>
          <w:snapToGrid w:val="0"/>
          <w:color w:val="000000"/>
        </w:rPr>
      </w:pPr>
    </w:p>
    <w:p w14:paraId="090FE145" w14:textId="77777777" w:rsidR="00EE51A7" w:rsidRDefault="00EE51A7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Begriffe, methodische Anmerkungen oder Lesehilfen</w:t>
      </w:r>
    </w:p>
    <w:p w14:paraId="4141C6A5" w14:textId="77777777" w:rsidR="00EE51A7" w:rsidRDefault="00EE51A7">
      <w:pPr>
        <w:rPr>
          <w:rFonts w:ascii="Arial" w:hAnsi="Arial"/>
          <w:color w:val="FF0000"/>
        </w:rPr>
      </w:pPr>
    </w:p>
    <w:p w14:paraId="041BE1A9" w14:textId="77777777" w:rsidR="00181E99" w:rsidRDefault="00181E99" w:rsidP="00181E99">
      <w:pPr>
        <w:rPr>
          <w:rFonts w:ascii="Arial" w:hAnsi="Arial"/>
          <w:lang w:val="en-US"/>
        </w:rPr>
      </w:pPr>
      <w:r w:rsidRPr="003A0FCC">
        <w:rPr>
          <w:rFonts w:ascii="Arial" w:hAnsi="Arial"/>
          <w:lang w:val="en-US"/>
        </w:rPr>
        <w:t>UNCTAD – United Nations Conference on Trade and Development</w:t>
      </w:r>
    </w:p>
    <w:p w14:paraId="15E51AB7" w14:textId="77777777" w:rsidR="008D7AE9" w:rsidRDefault="008D7AE9" w:rsidP="00181E99">
      <w:pPr>
        <w:rPr>
          <w:rFonts w:ascii="Arial" w:hAnsi="Arial"/>
          <w:lang w:val="en-US"/>
        </w:rPr>
      </w:pPr>
    </w:p>
    <w:p w14:paraId="717E6BDA" w14:textId="5EA556E0" w:rsidR="00032DA9" w:rsidRDefault="00DC5D18" w:rsidP="008D31FE">
      <w:pPr>
        <w:autoSpaceDE w:val="0"/>
        <w:autoSpaceDN w:val="0"/>
        <w:adjustRightInd w:val="0"/>
        <w:rPr>
          <w:rFonts w:ascii="Arial" w:hAnsi="Arial"/>
          <w:snapToGrid w:val="0"/>
          <w:color w:val="000000"/>
        </w:rPr>
      </w:pPr>
      <w:r w:rsidRPr="001532B9">
        <w:rPr>
          <w:rFonts w:ascii="Arial" w:hAnsi="Arial"/>
          <w:snapToGrid w:val="0"/>
          <w:color w:val="000000"/>
        </w:rPr>
        <w:t xml:space="preserve">Die </w:t>
      </w:r>
      <w:r w:rsidRPr="00DC5D18">
        <w:rPr>
          <w:rFonts w:ascii="Arial" w:hAnsi="Arial"/>
          <w:b/>
          <w:snapToGrid w:val="0"/>
          <w:color w:val="000000"/>
        </w:rPr>
        <w:t xml:space="preserve">Terms </w:t>
      </w:r>
      <w:proofErr w:type="spellStart"/>
      <w:r w:rsidRPr="00DC5D18">
        <w:rPr>
          <w:rFonts w:ascii="Arial" w:hAnsi="Arial"/>
          <w:b/>
          <w:snapToGrid w:val="0"/>
          <w:color w:val="000000"/>
        </w:rPr>
        <w:t>of</w:t>
      </w:r>
      <w:proofErr w:type="spellEnd"/>
      <w:r w:rsidRPr="00DC5D18">
        <w:rPr>
          <w:rFonts w:ascii="Arial" w:hAnsi="Arial"/>
          <w:b/>
          <w:snapToGrid w:val="0"/>
          <w:color w:val="000000"/>
        </w:rPr>
        <w:t xml:space="preserve"> Trade</w:t>
      </w:r>
      <w:r w:rsidRPr="001532B9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bilden das </w:t>
      </w:r>
      <w:r w:rsidRPr="00D772A8">
        <w:rPr>
          <w:rFonts w:ascii="Arial" w:hAnsi="Arial"/>
          <w:snapToGrid w:val="0"/>
          <w:color w:val="000000"/>
        </w:rPr>
        <w:t>reale Austauschverhältnis der Ex- und Importe eines Staates oder einer Staatengruppe ab</w:t>
      </w:r>
      <w:r>
        <w:rPr>
          <w:rFonts w:ascii="Arial" w:hAnsi="Arial"/>
          <w:snapToGrid w:val="0"/>
          <w:color w:val="000000"/>
        </w:rPr>
        <w:t xml:space="preserve">, indem die </w:t>
      </w:r>
      <w:r w:rsidRPr="00D772A8">
        <w:rPr>
          <w:rFonts w:ascii="Arial" w:hAnsi="Arial"/>
          <w:snapToGrid w:val="0"/>
          <w:color w:val="000000"/>
        </w:rPr>
        <w:t>Ausfuhrwerte ins Verhältnis zu den Einfuhrwerten</w:t>
      </w:r>
      <w:r>
        <w:rPr>
          <w:rFonts w:ascii="Arial" w:hAnsi="Arial"/>
          <w:snapToGrid w:val="0"/>
          <w:color w:val="000000"/>
        </w:rPr>
        <w:t xml:space="preserve"> gesetzt werden</w:t>
      </w:r>
      <w:r w:rsidRPr="00D772A8">
        <w:rPr>
          <w:rFonts w:ascii="Arial" w:hAnsi="Arial"/>
          <w:snapToGrid w:val="0"/>
          <w:color w:val="000000"/>
        </w:rPr>
        <w:t xml:space="preserve">. </w:t>
      </w:r>
      <w:r>
        <w:rPr>
          <w:rFonts w:ascii="Arial" w:hAnsi="Arial"/>
          <w:snapToGrid w:val="0"/>
          <w:color w:val="000000"/>
        </w:rPr>
        <w:t xml:space="preserve">Die </w:t>
      </w:r>
      <w:r w:rsidRPr="001532B9">
        <w:rPr>
          <w:rFonts w:ascii="Arial" w:hAnsi="Arial"/>
          <w:snapToGrid w:val="0"/>
          <w:color w:val="000000"/>
        </w:rPr>
        <w:t>Terms of Trade</w:t>
      </w:r>
      <w:r w:rsidRPr="00DC5D18">
        <w:rPr>
          <w:rFonts w:ascii="Arial" w:hAnsi="Arial"/>
          <w:snapToGrid w:val="0"/>
          <w:color w:val="000000"/>
        </w:rPr>
        <w:t xml:space="preserve"> </w:t>
      </w:r>
      <w:r w:rsidRPr="00D772A8">
        <w:rPr>
          <w:rFonts w:ascii="Arial" w:hAnsi="Arial"/>
          <w:snapToGrid w:val="0"/>
          <w:color w:val="000000"/>
        </w:rPr>
        <w:t>geben Auskunft darüber, wie hoch die Kaufkraft einer Exporteinheit gemessen in Importeinheiten</w:t>
      </w:r>
      <w:r>
        <w:rPr>
          <w:rFonts w:ascii="Arial" w:hAnsi="Arial"/>
          <w:snapToGrid w:val="0"/>
          <w:color w:val="000000"/>
        </w:rPr>
        <w:t xml:space="preserve"> ist</w:t>
      </w:r>
      <w:r w:rsidR="00646904">
        <w:rPr>
          <w:rFonts w:ascii="Arial" w:hAnsi="Arial"/>
          <w:snapToGrid w:val="0"/>
          <w:color w:val="000000"/>
        </w:rPr>
        <w:t xml:space="preserve"> u</w:t>
      </w:r>
      <w:r w:rsidR="00BF1673" w:rsidRPr="00BF1673">
        <w:rPr>
          <w:rFonts w:ascii="Arial" w:hAnsi="Arial"/>
          <w:snapToGrid w:val="0"/>
          <w:color w:val="000000"/>
        </w:rPr>
        <w:t>nd wie sie sich gegenüber dem Basisjahr verändert hat</w:t>
      </w:r>
      <w:r w:rsidRPr="00D772A8">
        <w:rPr>
          <w:rFonts w:ascii="Arial" w:hAnsi="Arial"/>
          <w:snapToGrid w:val="0"/>
          <w:color w:val="000000"/>
        </w:rPr>
        <w:t>.</w:t>
      </w:r>
    </w:p>
    <w:p w14:paraId="2758825A" w14:textId="77777777" w:rsidR="008D7AE9" w:rsidRDefault="008D7AE9" w:rsidP="008D31FE">
      <w:pPr>
        <w:autoSpaceDE w:val="0"/>
        <w:autoSpaceDN w:val="0"/>
        <w:adjustRightInd w:val="0"/>
        <w:rPr>
          <w:rFonts w:ascii="Arial" w:hAnsi="Arial"/>
          <w:snapToGrid w:val="0"/>
          <w:color w:val="000000"/>
        </w:rPr>
      </w:pPr>
    </w:p>
    <w:p w14:paraId="3913ECC1" w14:textId="3D9410DD" w:rsidR="00413DE2" w:rsidRPr="00C939B1" w:rsidRDefault="00413DE2" w:rsidP="00564122">
      <w:pPr>
        <w:rPr>
          <w:rFonts w:ascii="Arial" w:hAnsi="Arial" w:cs="Arial"/>
          <w:color w:val="FF0000"/>
        </w:rPr>
      </w:pPr>
      <w:r w:rsidRPr="008C338A">
        <w:rPr>
          <w:rFonts w:ascii="Arial" w:hAnsi="Arial"/>
        </w:rPr>
        <w:t xml:space="preserve">Ausführliche Informationen, welche Staaten die UNCTAD welcher </w:t>
      </w:r>
      <w:r w:rsidRPr="00C939B1">
        <w:rPr>
          <w:rFonts w:ascii="Arial" w:hAnsi="Arial"/>
          <w:b/>
        </w:rPr>
        <w:t>Einkommensgruppe bzw. Staatengruppe</w:t>
      </w:r>
      <w:r w:rsidRPr="008C338A">
        <w:rPr>
          <w:rFonts w:ascii="Arial" w:hAnsi="Arial"/>
        </w:rPr>
        <w:t xml:space="preserve"> zuordnet, finden Sie hier: </w:t>
      </w:r>
      <w:hyperlink r:id="rId8" w:history="1">
        <w:r w:rsidRPr="008C338A">
          <w:rPr>
            <w:rStyle w:val="Hyperlink"/>
            <w:rFonts w:ascii="Arial" w:hAnsi="Arial" w:cs="Arial"/>
          </w:rPr>
          <w:t>http://unctadstat.unctad.org/EN/Classifications.html</w:t>
        </w:r>
      </w:hyperlink>
      <w:bookmarkStart w:id="0" w:name="_GoBack"/>
      <w:bookmarkEnd w:id="0"/>
    </w:p>
    <w:p w14:paraId="4C6E8579" w14:textId="77777777" w:rsidR="00413DE2" w:rsidRPr="002E5780" w:rsidRDefault="00413DE2" w:rsidP="00413DE2">
      <w:pPr>
        <w:rPr>
          <w:rFonts w:ascii="Arial" w:hAnsi="Arial"/>
          <w:color w:val="000000"/>
        </w:rPr>
      </w:pPr>
    </w:p>
    <w:p w14:paraId="79D963FD" w14:textId="77777777" w:rsidR="008D7AE9" w:rsidRDefault="007539DC" w:rsidP="007539DC">
      <w:pPr>
        <w:rPr>
          <w:rFonts w:ascii="Arial" w:hAnsi="Arial"/>
          <w:color w:val="000000"/>
        </w:rPr>
      </w:pPr>
      <w:r w:rsidRPr="002E5780">
        <w:rPr>
          <w:rFonts w:ascii="Arial" w:hAnsi="Arial"/>
          <w:color w:val="000000"/>
        </w:rPr>
        <w:t xml:space="preserve">Bezogen auf den Zeitraum </w:t>
      </w:r>
      <w:r w:rsidR="00413DE2" w:rsidRPr="002E5780">
        <w:rPr>
          <w:rFonts w:ascii="Arial" w:hAnsi="Arial"/>
          <w:color w:val="000000"/>
        </w:rPr>
        <w:t>2000</w:t>
      </w:r>
      <w:r w:rsidRPr="002E5780">
        <w:rPr>
          <w:rFonts w:ascii="Arial" w:hAnsi="Arial"/>
          <w:color w:val="000000"/>
        </w:rPr>
        <w:t xml:space="preserve"> bis 20</w:t>
      </w:r>
      <w:r w:rsidR="00413DE2" w:rsidRPr="002E5780">
        <w:rPr>
          <w:rFonts w:ascii="Arial" w:hAnsi="Arial"/>
          <w:color w:val="000000"/>
        </w:rPr>
        <w:t>21</w:t>
      </w:r>
      <w:r w:rsidRPr="002E5780">
        <w:rPr>
          <w:rFonts w:ascii="Arial" w:hAnsi="Arial"/>
          <w:color w:val="000000"/>
        </w:rPr>
        <w:t xml:space="preserve"> und die ökonomisch sich entwickelnden Staaten fällt nach Definition der UNCTAD </w:t>
      </w:r>
      <w:r w:rsidRPr="008D7AE9">
        <w:rPr>
          <w:rFonts w:ascii="Arial" w:hAnsi="Arial"/>
          <w:color w:val="000000"/>
        </w:rPr>
        <w:t xml:space="preserve">ein Staat in die Gruppe der </w:t>
      </w:r>
      <w:r w:rsidRPr="008D7AE9">
        <w:rPr>
          <w:rFonts w:ascii="Arial" w:hAnsi="Arial"/>
          <w:b/>
          <w:color w:val="000000"/>
        </w:rPr>
        <w:t>ausgewählten Exporteure von Öl</w:t>
      </w:r>
      <w:r w:rsidRPr="008D7AE9">
        <w:rPr>
          <w:rFonts w:ascii="Arial" w:hAnsi="Arial"/>
          <w:color w:val="000000"/>
        </w:rPr>
        <w:t>, wenn seine Ölexporte an seinen Gesamtexporten im Durchschnitt der Jahre 20</w:t>
      </w:r>
      <w:r w:rsidR="00413DE2" w:rsidRPr="008D7AE9">
        <w:rPr>
          <w:rFonts w:ascii="Arial" w:hAnsi="Arial"/>
          <w:color w:val="000000"/>
        </w:rPr>
        <w:t>18</w:t>
      </w:r>
      <w:r w:rsidRPr="008D7AE9">
        <w:rPr>
          <w:rFonts w:ascii="Arial" w:hAnsi="Arial"/>
          <w:color w:val="000000"/>
        </w:rPr>
        <w:t>-20</w:t>
      </w:r>
      <w:r w:rsidR="00413DE2" w:rsidRPr="008D7AE9">
        <w:rPr>
          <w:rFonts w:ascii="Arial" w:hAnsi="Arial"/>
          <w:color w:val="000000"/>
        </w:rPr>
        <w:t>20</w:t>
      </w:r>
      <w:r w:rsidRPr="008D7AE9">
        <w:rPr>
          <w:rFonts w:ascii="Arial" w:hAnsi="Arial"/>
          <w:color w:val="000000"/>
        </w:rPr>
        <w:t xml:space="preserve"> einen Anteil von mehr als 50 Prozent hatten und der Anteil seiner Ölexporte an den weltweiten Ölexporten im selben Zeitraum bei mehr als 0,1 Prozent lag. Bei den ausgewählten </w:t>
      </w:r>
      <w:r w:rsidRPr="008D7AE9">
        <w:rPr>
          <w:rFonts w:ascii="Arial" w:hAnsi="Arial"/>
          <w:b/>
          <w:color w:val="000000"/>
        </w:rPr>
        <w:t>Exporteuren von Fertigwaren</w:t>
      </w:r>
      <w:r w:rsidRPr="008D7AE9">
        <w:rPr>
          <w:rFonts w:ascii="Arial" w:hAnsi="Arial"/>
          <w:color w:val="000000"/>
        </w:rPr>
        <w:t xml:space="preserve"> lagen die entsprechenden Werte </w:t>
      </w:r>
      <w:r w:rsidR="00413DE2" w:rsidRPr="008D7AE9">
        <w:rPr>
          <w:rFonts w:ascii="Arial" w:hAnsi="Arial"/>
          <w:color w:val="000000"/>
        </w:rPr>
        <w:t xml:space="preserve">ebenfalls </w:t>
      </w:r>
      <w:r w:rsidRPr="008D7AE9">
        <w:rPr>
          <w:rFonts w:ascii="Arial" w:hAnsi="Arial"/>
          <w:color w:val="000000"/>
        </w:rPr>
        <w:t xml:space="preserve">bei &gt; 50 Prozent und </w:t>
      </w:r>
      <w:r w:rsidR="00413DE2" w:rsidRPr="008D7AE9">
        <w:rPr>
          <w:rFonts w:ascii="Arial" w:hAnsi="Arial"/>
          <w:color w:val="000000"/>
        </w:rPr>
        <w:t>&gt;</w:t>
      </w:r>
      <w:r w:rsidRPr="008D7AE9">
        <w:rPr>
          <w:rFonts w:ascii="Arial" w:hAnsi="Arial"/>
          <w:color w:val="000000"/>
        </w:rPr>
        <w:t xml:space="preserve"> 0,1 Prozent, bei den ausgewählten </w:t>
      </w:r>
      <w:r w:rsidRPr="008D7AE9">
        <w:rPr>
          <w:rFonts w:ascii="Arial" w:hAnsi="Arial"/>
          <w:b/>
          <w:color w:val="000000"/>
        </w:rPr>
        <w:t>Exporteuren von Agrarprodukten</w:t>
      </w:r>
      <w:r w:rsidRPr="008D7AE9">
        <w:rPr>
          <w:rFonts w:ascii="Arial" w:hAnsi="Arial"/>
          <w:color w:val="000000"/>
        </w:rPr>
        <w:t xml:space="preserve"> bei &gt; 45 Prozent und &gt; 0,01 Prozent und bei den ausgewählten </w:t>
      </w:r>
      <w:r w:rsidRPr="008D7AE9">
        <w:rPr>
          <w:rFonts w:ascii="Arial" w:hAnsi="Arial"/>
          <w:b/>
          <w:color w:val="000000"/>
        </w:rPr>
        <w:t xml:space="preserve">Exporteuren von Mineralen und </w:t>
      </w:r>
      <w:r w:rsidRPr="008D7AE9">
        <w:rPr>
          <w:rFonts w:ascii="Arial" w:hAnsi="Arial"/>
          <w:b/>
          <w:color w:val="000000"/>
        </w:rPr>
        <w:lastRenderedPageBreak/>
        <w:t>Minenprodukten</w:t>
      </w:r>
      <w:r w:rsidRPr="008D7AE9">
        <w:rPr>
          <w:rFonts w:ascii="Arial" w:hAnsi="Arial"/>
          <w:color w:val="000000"/>
        </w:rPr>
        <w:t xml:space="preserve"> bei &gt; 50 Prozent und &gt; 0,01 Prozent</w:t>
      </w:r>
      <w:r w:rsidR="002E5780" w:rsidRPr="008D7AE9">
        <w:rPr>
          <w:rFonts w:ascii="Arial" w:hAnsi="Arial"/>
          <w:color w:val="000000"/>
        </w:rPr>
        <w:t xml:space="preserve"> (bezogen auf den Export von Erzen, Metallen</w:t>
      </w:r>
      <w:r w:rsidR="00023239" w:rsidRPr="008D7AE9">
        <w:rPr>
          <w:rFonts w:ascii="Arial" w:hAnsi="Arial"/>
          <w:color w:val="000000"/>
        </w:rPr>
        <w:t xml:space="preserve"> und </w:t>
      </w:r>
      <w:r w:rsidR="002E5780" w:rsidRPr="008D7AE9">
        <w:rPr>
          <w:rFonts w:ascii="Arial" w:hAnsi="Arial"/>
          <w:color w:val="000000"/>
        </w:rPr>
        <w:t>Edelsteinen)</w:t>
      </w:r>
      <w:r w:rsidRPr="008D7AE9">
        <w:rPr>
          <w:rFonts w:ascii="Arial" w:hAnsi="Arial"/>
          <w:color w:val="000000"/>
        </w:rPr>
        <w:t>.</w:t>
      </w:r>
    </w:p>
    <w:p w14:paraId="0E9C8F1E" w14:textId="77777777" w:rsidR="008D7AE9" w:rsidRDefault="008D7AE9" w:rsidP="007539DC">
      <w:pPr>
        <w:rPr>
          <w:rFonts w:ascii="Arial" w:hAnsi="Arial"/>
          <w:color w:val="000000"/>
        </w:rPr>
      </w:pPr>
    </w:p>
    <w:p w14:paraId="279E72F8" w14:textId="58CA5036" w:rsidR="00BE1C03" w:rsidRDefault="003A34AC" w:rsidP="003A34AC">
      <w:pPr>
        <w:rPr>
          <w:rFonts w:ascii="Arial" w:hAnsi="Arial"/>
          <w:color w:val="000000"/>
        </w:rPr>
      </w:pPr>
      <w:r w:rsidRPr="001F1354">
        <w:rPr>
          <w:rFonts w:ascii="Arial" w:hAnsi="Arial"/>
          <w:color w:val="000000"/>
        </w:rPr>
        <w:t xml:space="preserve">Bezogen auf </w:t>
      </w:r>
      <w:r w:rsidR="007539DC" w:rsidRPr="001F1354">
        <w:rPr>
          <w:rFonts w:ascii="Arial" w:hAnsi="Arial"/>
          <w:color w:val="000000"/>
        </w:rPr>
        <w:t xml:space="preserve">den Zeitraum 1980 bis </w:t>
      </w:r>
      <w:r w:rsidR="00413DE2">
        <w:rPr>
          <w:rFonts w:ascii="Arial" w:hAnsi="Arial"/>
          <w:color w:val="000000"/>
        </w:rPr>
        <w:t>1999</w:t>
      </w:r>
      <w:r w:rsidR="007539DC" w:rsidRPr="001F1354">
        <w:rPr>
          <w:rFonts w:ascii="Arial" w:hAnsi="Arial"/>
          <w:color w:val="000000"/>
        </w:rPr>
        <w:t xml:space="preserve"> </w:t>
      </w:r>
      <w:r w:rsidR="00D604B9">
        <w:rPr>
          <w:rFonts w:ascii="Arial" w:hAnsi="Arial"/>
          <w:color w:val="000000"/>
        </w:rPr>
        <w:t>sowie auf</w:t>
      </w:r>
      <w:r w:rsidR="007539DC" w:rsidRPr="001F1354">
        <w:rPr>
          <w:rFonts w:ascii="Arial" w:hAnsi="Arial"/>
          <w:color w:val="000000"/>
        </w:rPr>
        <w:t xml:space="preserve"> </w:t>
      </w:r>
      <w:r w:rsidRPr="001F1354">
        <w:rPr>
          <w:rFonts w:ascii="Arial" w:hAnsi="Arial"/>
          <w:color w:val="000000"/>
        </w:rPr>
        <w:t xml:space="preserve">die </w:t>
      </w:r>
      <w:r w:rsidR="00471F87" w:rsidRPr="001F1354">
        <w:rPr>
          <w:rFonts w:ascii="Arial" w:hAnsi="Arial"/>
          <w:color w:val="000000"/>
        </w:rPr>
        <w:t>ökonomisch sich entwickelnden Staaten</w:t>
      </w:r>
      <w:r w:rsidR="00D604B9">
        <w:rPr>
          <w:rFonts w:ascii="Arial" w:hAnsi="Arial"/>
          <w:color w:val="000000"/>
        </w:rPr>
        <w:t xml:space="preserve">, </w:t>
      </w:r>
      <w:r w:rsidR="00D604B9" w:rsidRPr="00D604B9">
        <w:rPr>
          <w:rFonts w:ascii="Arial" w:hAnsi="Arial"/>
          <w:color w:val="000000"/>
        </w:rPr>
        <w:t xml:space="preserve">Süd-Osteuropa und die Gemeinschaft Unabhängiger Staaten (GUS) </w:t>
      </w:r>
      <w:r w:rsidR="00471F87" w:rsidRPr="001F1354">
        <w:rPr>
          <w:rFonts w:ascii="Arial" w:hAnsi="Arial"/>
          <w:color w:val="000000"/>
        </w:rPr>
        <w:t xml:space="preserve">fällt nach Definition der UNCTAD ein Staat in die Gruppe der </w:t>
      </w:r>
      <w:r w:rsidR="007539DC" w:rsidRPr="001F1354">
        <w:rPr>
          <w:rFonts w:ascii="Arial" w:hAnsi="Arial"/>
          <w:b/>
          <w:color w:val="000000"/>
        </w:rPr>
        <w:t>Haupte</w:t>
      </w:r>
      <w:r w:rsidR="00471F87" w:rsidRPr="001F1354">
        <w:rPr>
          <w:rFonts w:ascii="Arial" w:hAnsi="Arial"/>
          <w:b/>
          <w:color w:val="000000"/>
        </w:rPr>
        <w:t>xporteure</w:t>
      </w:r>
      <w:r w:rsidR="004B43F9" w:rsidRPr="001F1354">
        <w:rPr>
          <w:rFonts w:ascii="Arial" w:hAnsi="Arial"/>
          <w:b/>
          <w:color w:val="000000"/>
        </w:rPr>
        <w:t xml:space="preserve"> von Öl</w:t>
      </w:r>
      <w:r w:rsidR="00471F87" w:rsidRPr="001F1354">
        <w:rPr>
          <w:rFonts w:ascii="Arial" w:hAnsi="Arial"/>
          <w:color w:val="000000"/>
        </w:rPr>
        <w:t xml:space="preserve">, wenn seine Ölexporte </w:t>
      </w:r>
      <w:r w:rsidR="007539DC" w:rsidRPr="001F1354">
        <w:rPr>
          <w:rFonts w:ascii="Arial" w:hAnsi="Arial"/>
          <w:color w:val="000000"/>
        </w:rPr>
        <w:t xml:space="preserve">(Öl und Ölprodukte) </w:t>
      </w:r>
      <w:r w:rsidR="00471F87" w:rsidRPr="001F1354">
        <w:rPr>
          <w:rFonts w:ascii="Arial" w:hAnsi="Arial"/>
          <w:color w:val="000000"/>
        </w:rPr>
        <w:t xml:space="preserve">an seinen Gesamtexporten </w:t>
      </w:r>
      <w:r w:rsidRPr="001F1354">
        <w:rPr>
          <w:rFonts w:ascii="Arial" w:hAnsi="Arial"/>
          <w:color w:val="000000"/>
        </w:rPr>
        <w:t>i</w:t>
      </w:r>
      <w:r w:rsidR="00B93082" w:rsidRPr="001F1354">
        <w:rPr>
          <w:rFonts w:ascii="Arial" w:hAnsi="Arial"/>
          <w:color w:val="000000"/>
        </w:rPr>
        <w:t xml:space="preserve">m Durchschnitt der </w:t>
      </w:r>
      <w:r w:rsidRPr="001F1354">
        <w:rPr>
          <w:rFonts w:ascii="Arial" w:hAnsi="Arial"/>
          <w:color w:val="000000"/>
        </w:rPr>
        <w:t xml:space="preserve">Jahre </w:t>
      </w:r>
      <w:r w:rsidR="007539DC" w:rsidRPr="001F1354">
        <w:rPr>
          <w:rFonts w:ascii="Arial" w:hAnsi="Arial"/>
          <w:color w:val="000000"/>
        </w:rPr>
        <w:t>1999</w:t>
      </w:r>
      <w:r w:rsidRPr="001F1354">
        <w:rPr>
          <w:rFonts w:ascii="Arial" w:hAnsi="Arial"/>
          <w:color w:val="000000"/>
        </w:rPr>
        <w:t>-</w:t>
      </w:r>
      <w:r w:rsidR="007539DC" w:rsidRPr="001F1354">
        <w:rPr>
          <w:rFonts w:ascii="Arial" w:hAnsi="Arial"/>
          <w:color w:val="000000"/>
        </w:rPr>
        <w:t>2001</w:t>
      </w:r>
      <w:r w:rsidRPr="001F1354">
        <w:rPr>
          <w:rFonts w:ascii="Arial" w:hAnsi="Arial"/>
          <w:color w:val="000000"/>
        </w:rPr>
        <w:t xml:space="preserve"> </w:t>
      </w:r>
      <w:r w:rsidR="00B93082" w:rsidRPr="001F1354">
        <w:rPr>
          <w:rFonts w:ascii="Arial" w:hAnsi="Arial"/>
          <w:color w:val="000000"/>
        </w:rPr>
        <w:t xml:space="preserve">einen Anteil von </w:t>
      </w:r>
      <w:r w:rsidR="007539DC" w:rsidRPr="001F1354">
        <w:rPr>
          <w:rFonts w:ascii="Arial" w:hAnsi="Arial"/>
          <w:color w:val="000000"/>
        </w:rPr>
        <w:t>mindestens 5</w:t>
      </w:r>
      <w:r w:rsidR="00471F87" w:rsidRPr="001F1354">
        <w:rPr>
          <w:rFonts w:ascii="Arial" w:hAnsi="Arial"/>
          <w:color w:val="000000"/>
        </w:rPr>
        <w:t xml:space="preserve">0 Prozent </w:t>
      </w:r>
      <w:r w:rsidR="00B93082" w:rsidRPr="001F1354">
        <w:rPr>
          <w:rFonts w:ascii="Arial" w:hAnsi="Arial"/>
          <w:color w:val="000000"/>
        </w:rPr>
        <w:t xml:space="preserve">hatten </w:t>
      </w:r>
      <w:r w:rsidR="00471F87" w:rsidRPr="001F1354">
        <w:rPr>
          <w:rFonts w:ascii="Arial" w:hAnsi="Arial"/>
          <w:color w:val="000000"/>
        </w:rPr>
        <w:t xml:space="preserve">und </w:t>
      </w:r>
      <w:r w:rsidR="007539DC" w:rsidRPr="001F1354">
        <w:rPr>
          <w:rFonts w:ascii="Arial" w:hAnsi="Arial"/>
          <w:color w:val="000000"/>
        </w:rPr>
        <w:t>sie im Durchschnitt bei mindestens 1,5 Milliarden US-Dollar lagen.</w:t>
      </w:r>
      <w:r w:rsidR="00471F87" w:rsidRPr="001F1354">
        <w:rPr>
          <w:rFonts w:ascii="Arial" w:hAnsi="Arial"/>
          <w:color w:val="000000"/>
        </w:rPr>
        <w:t xml:space="preserve"> </w:t>
      </w:r>
      <w:r w:rsidRPr="001F1354">
        <w:rPr>
          <w:rFonts w:ascii="Arial" w:hAnsi="Arial"/>
          <w:color w:val="000000"/>
        </w:rPr>
        <w:t xml:space="preserve">Bei den </w:t>
      </w:r>
      <w:r w:rsidR="001F1354" w:rsidRPr="001F1354">
        <w:rPr>
          <w:rFonts w:ascii="Arial" w:hAnsi="Arial"/>
          <w:b/>
          <w:color w:val="000000"/>
        </w:rPr>
        <w:t>Hauptexporteure</w:t>
      </w:r>
      <w:r w:rsidR="00B93082" w:rsidRPr="001F1354">
        <w:rPr>
          <w:rFonts w:ascii="Arial" w:hAnsi="Arial"/>
          <w:b/>
          <w:color w:val="000000"/>
        </w:rPr>
        <w:t>n</w:t>
      </w:r>
      <w:r w:rsidRPr="001F1354">
        <w:rPr>
          <w:rFonts w:ascii="Arial" w:hAnsi="Arial"/>
          <w:b/>
          <w:color w:val="000000"/>
        </w:rPr>
        <w:t xml:space="preserve"> von Fertigwaren</w:t>
      </w:r>
      <w:r w:rsidRPr="001F1354">
        <w:rPr>
          <w:rFonts w:ascii="Arial" w:hAnsi="Arial"/>
          <w:color w:val="000000"/>
        </w:rPr>
        <w:t xml:space="preserve"> lagen die entsprechenden Werte bei</w:t>
      </w:r>
      <w:r w:rsidR="001F1354" w:rsidRPr="001F1354">
        <w:rPr>
          <w:rFonts w:ascii="Arial" w:hAnsi="Arial"/>
          <w:color w:val="000000"/>
        </w:rPr>
        <w:t xml:space="preserve"> mindestens 50 Prozent und 20 Milliarden US-Dollar</w:t>
      </w:r>
      <w:r w:rsidR="00B93082" w:rsidRPr="001F1354">
        <w:rPr>
          <w:rFonts w:ascii="Arial" w:hAnsi="Arial"/>
          <w:color w:val="000000"/>
        </w:rPr>
        <w:t>.</w:t>
      </w:r>
    </w:p>
    <w:p w14:paraId="272B2F31" w14:textId="77777777" w:rsidR="008D7AE9" w:rsidRDefault="008D7AE9" w:rsidP="003A34AC">
      <w:pPr>
        <w:rPr>
          <w:rFonts w:ascii="Arial" w:hAnsi="Arial"/>
          <w:color w:val="000000"/>
        </w:rPr>
      </w:pPr>
    </w:p>
    <w:p w14:paraId="7EA1C86E" w14:textId="77777777" w:rsidR="00413DE2" w:rsidRDefault="00413DE2" w:rsidP="00413DE2">
      <w:pPr>
        <w:rPr>
          <w:rFonts w:ascii="Arial" w:hAnsi="Arial"/>
          <w:color w:val="000000"/>
        </w:rPr>
      </w:pPr>
      <w:r w:rsidRPr="00D6383E">
        <w:rPr>
          <w:rFonts w:ascii="Arial" w:hAnsi="Arial"/>
          <w:color w:val="000000"/>
        </w:rPr>
        <w:t>Nach der Defin</w:t>
      </w:r>
      <w:r>
        <w:rPr>
          <w:rFonts w:ascii="Arial" w:hAnsi="Arial"/>
          <w:color w:val="000000"/>
        </w:rPr>
        <w:t>i</w:t>
      </w:r>
      <w:r w:rsidRPr="00D6383E">
        <w:rPr>
          <w:rFonts w:ascii="Arial" w:hAnsi="Arial"/>
          <w:color w:val="000000"/>
        </w:rPr>
        <w:t>tion der UNCTAD lag i</w:t>
      </w:r>
      <w:r w:rsidRPr="0029317F">
        <w:rPr>
          <w:rFonts w:ascii="Arial" w:hAnsi="Arial"/>
          <w:color w:val="000000"/>
        </w:rPr>
        <w:t xml:space="preserve">n </w:t>
      </w:r>
      <w:r w:rsidRPr="0029317F">
        <w:rPr>
          <w:rFonts w:ascii="Arial" w:hAnsi="Arial"/>
          <w:b/>
          <w:color w:val="000000"/>
        </w:rPr>
        <w:t>ökonomisch sich entwickelnde</w:t>
      </w:r>
      <w:r>
        <w:rPr>
          <w:rFonts w:ascii="Arial" w:hAnsi="Arial"/>
          <w:b/>
          <w:color w:val="000000"/>
        </w:rPr>
        <w:t>n</w:t>
      </w:r>
      <w:r w:rsidRPr="0029317F">
        <w:rPr>
          <w:rFonts w:ascii="Arial" w:hAnsi="Arial"/>
          <w:b/>
          <w:color w:val="000000"/>
        </w:rPr>
        <w:t xml:space="preserve"> Staaten</w:t>
      </w:r>
      <w:r w:rsidRPr="0029317F">
        <w:rPr>
          <w:rFonts w:ascii="Arial" w:hAnsi="Arial"/>
          <w:color w:val="000000"/>
        </w:rPr>
        <w:t xml:space="preserve"> das BIP pro Kopf im Durchschnitt der Jahre 2019 bis 2021</w:t>
      </w:r>
      <w:r>
        <w:rPr>
          <w:rFonts w:ascii="Arial" w:hAnsi="Arial"/>
          <w:color w:val="000000"/>
        </w:rPr>
        <w:t>…</w:t>
      </w:r>
    </w:p>
    <w:p w14:paraId="1F931FBF" w14:textId="77777777" w:rsidR="00413DE2" w:rsidRDefault="00413DE2" w:rsidP="00413DE2">
      <w:pPr>
        <w:ind w:firstLine="708"/>
        <w:rPr>
          <w:rFonts w:ascii="Arial" w:hAnsi="Arial"/>
          <w:color w:val="000000"/>
        </w:rPr>
      </w:pPr>
    </w:p>
    <w:p w14:paraId="6A35988F" w14:textId="77777777" w:rsidR="00413DE2" w:rsidRPr="0029317F" w:rsidRDefault="00413DE2" w:rsidP="00413DE2">
      <w:pPr>
        <w:pStyle w:val="Listenabsatz"/>
        <w:numPr>
          <w:ilvl w:val="0"/>
          <w:numId w:val="1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niedrigem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bei weniger als 1.313 US$.</w:t>
      </w:r>
    </w:p>
    <w:p w14:paraId="252A8C4E" w14:textId="77777777" w:rsidR="00413DE2" w:rsidRPr="0029317F" w:rsidRDefault="00413DE2" w:rsidP="00413DE2">
      <w:pPr>
        <w:pStyle w:val="Listenabsatz"/>
        <w:numPr>
          <w:ilvl w:val="0"/>
          <w:numId w:val="1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mittlerem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zwischen 1.313 und 5.907 US$.</w:t>
      </w:r>
    </w:p>
    <w:p w14:paraId="6C554474" w14:textId="77777777" w:rsidR="00413DE2" w:rsidRDefault="00413DE2" w:rsidP="00413DE2">
      <w:pPr>
        <w:pStyle w:val="Listenabsatz"/>
        <w:numPr>
          <w:ilvl w:val="0"/>
          <w:numId w:val="1"/>
        </w:numPr>
        <w:rPr>
          <w:rFonts w:ascii="Arial" w:hAnsi="Arial"/>
          <w:color w:val="000000"/>
        </w:rPr>
      </w:pPr>
      <w:r w:rsidRPr="0029317F">
        <w:rPr>
          <w:rFonts w:ascii="Arial" w:hAnsi="Arial"/>
          <w:color w:val="000000"/>
        </w:rPr>
        <w:t xml:space="preserve">bei Staaten mit </w:t>
      </w:r>
      <w:r w:rsidRPr="0029317F">
        <w:rPr>
          <w:rFonts w:ascii="Arial" w:hAnsi="Arial"/>
          <w:b/>
          <w:color w:val="000000"/>
        </w:rPr>
        <w:t>hohem</w:t>
      </w:r>
      <w:r w:rsidRPr="0029317F">
        <w:rPr>
          <w:rFonts w:ascii="Arial" w:hAnsi="Arial"/>
          <w:color w:val="000000"/>
        </w:rPr>
        <w:t xml:space="preserve"> </w:t>
      </w:r>
      <w:r w:rsidRPr="0029317F">
        <w:rPr>
          <w:rFonts w:ascii="Arial" w:hAnsi="Arial"/>
          <w:b/>
          <w:color w:val="000000"/>
        </w:rPr>
        <w:t>Einkommen</w:t>
      </w:r>
      <w:r w:rsidRPr="0029317F">
        <w:rPr>
          <w:rFonts w:ascii="Arial" w:hAnsi="Arial"/>
          <w:color w:val="000000"/>
        </w:rPr>
        <w:t xml:space="preserve"> bei mehr als 5.907 US$.</w:t>
      </w:r>
    </w:p>
    <w:p w14:paraId="1E301838" w14:textId="77777777" w:rsidR="00413DE2" w:rsidRDefault="00413DE2" w:rsidP="00413DE2">
      <w:pPr>
        <w:rPr>
          <w:rFonts w:ascii="Arial" w:hAnsi="Arial"/>
          <w:color w:val="000000"/>
        </w:rPr>
      </w:pPr>
    </w:p>
    <w:p w14:paraId="361DDC69" w14:textId="77777777" w:rsidR="00413DE2" w:rsidRDefault="00413DE2" w:rsidP="00413DE2">
      <w:pPr>
        <w:rPr>
          <w:rFonts w:ascii="Arial" w:hAnsi="Arial"/>
          <w:color w:val="000000"/>
        </w:rPr>
      </w:pPr>
      <w:r w:rsidRPr="00DB70B2">
        <w:rPr>
          <w:rFonts w:ascii="Arial" w:hAnsi="Arial"/>
          <w:color w:val="000000"/>
        </w:rPr>
        <w:t xml:space="preserve">Bei den hier </w:t>
      </w:r>
      <w:r>
        <w:rPr>
          <w:rFonts w:ascii="Arial" w:hAnsi="Arial"/>
          <w:color w:val="000000"/>
        </w:rPr>
        <w:t xml:space="preserve">ebenfalls </w:t>
      </w:r>
      <w:r w:rsidRPr="00DB70B2">
        <w:rPr>
          <w:rFonts w:ascii="Arial" w:hAnsi="Arial"/>
          <w:color w:val="000000"/>
        </w:rPr>
        <w:t>abgebildeten Werten der Jahre 1980 bis 1999 lagen die entsprechenden Grenzen bei 1.000 bzw. 4.500 US-Dollar (Basisjahr: 2000).</w:t>
      </w:r>
    </w:p>
    <w:p w14:paraId="36E5A76A" w14:textId="77777777" w:rsidR="008D7AE9" w:rsidRDefault="008D7AE9" w:rsidP="00413DE2">
      <w:pPr>
        <w:rPr>
          <w:rFonts w:ascii="Arial" w:hAnsi="Arial"/>
          <w:color w:val="000000"/>
        </w:rPr>
      </w:pPr>
    </w:p>
    <w:p w14:paraId="5CD8C6EB" w14:textId="77777777" w:rsidR="00181E99" w:rsidRDefault="00181E99" w:rsidP="00181E99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Dieser Text ist unter der Creative Commons Lizenz CC BY-NC-ND 4.0 veröffentlicht.</w:t>
      </w:r>
    </w:p>
    <w:p w14:paraId="501182C5" w14:textId="47DE8254" w:rsidR="00BE1C03" w:rsidRDefault="00181E99" w:rsidP="00C32E6D">
      <w:pPr>
        <w:pStyle w:val="StandardWeb"/>
        <w:tabs>
          <w:tab w:val="left" w:pos="1046"/>
        </w:tabs>
        <w:spacing w:before="0" w:beforeAutospacing="0" w:after="0" w:afterAutospacing="0"/>
        <w:rPr>
          <w:rFonts w:ascii="Arial" w:hAnsi="Arial"/>
          <w:color w:val="000000"/>
        </w:rPr>
      </w:pPr>
      <w:r>
        <w:rPr>
          <w:rFonts w:ascii="Arial" w:hAnsi="Arial"/>
          <w:sz w:val="20"/>
          <w:szCs w:val="20"/>
        </w:rPr>
        <w:t>Bundeszentrale für politische Bildung 2023 | www.bpb.de</w:t>
      </w:r>
    </w:p>
    <w:sectPr w:rsidR="00BE1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D7D8" w14:textId="77777777" w:rsidR="002C0F1E" w:rsidRDefault="002C0F1E" w:rsidP="0005265D">
      <w:r>
        <w:separator/>
      </w:r>
    </w:p>
  </w:endnote>
  <w:endnote w:type="continuationSeparator" w:id="0">
    <w:p w14:paraId="7FA8A6F6" w14:textId="77777777" w:rsidR="002C0F1E" w:rsidRDefault="002C0F1E" w:rsidP="0005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C8578" w14:textId="77777777" w:rsidR="00DC7CBF" w:rsidRDefault="00DC7CB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D93E7" w14:textId="77777777" w:rsidR="00DC7CBF" w:rsidRDefault="00DC7CB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A8A91" w14:textId="77777777" w:rsidR="00DC7CBF" w:rsidRDefault="00DC7CB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C93BA" w14:textId="77777777" w:rsidR="002C0F1E" w:rsidRDefault="002C0F1E" w:rsidP="0005265D">
      <w:r>
        <w:separator/>
      </w:r>
    </w:p>
  </w:footnote>
  <w:footnote w:type="continuationSeparator" w:id="0">
    <w:p w14:paraId="6A3DA0D3" w14:textId="77777777" w:rsidR="002C0F1E" w:rsidRDefault="002C0F1E" w:rsidP="0005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AB854" w14:textId="77777777" w:rsidR="00DC7CBF" w:rsidRDefault="00DC7CB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A81C7" w14:textId="77777777" w:rsidR="00DC7CBF" w:rsidRDefault="00DC7CB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D9DE" w14:textId="77777777" w:rsidR="00DC7CBF" w:rsidRDefault="00DC7C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51ADC"/>
    <w:multiLevelType w:val="hybridMultilevel"/>
    <w:tmpl w:val="3AAAF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14376"/>
    <w:multiLevelType w:val="hybridMultilevel"/>
    <w:tmpl w:val="8166C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17"/>
    <w:rsid w:val="0001107C"/>
    <w:rsid w:val="00021366"/>
    <w:rsid w:val="00023239"/>
    <w:rsid w:val="00032DA9"/>
    <w:rsid w:val="0005265D"/>
    <w:rsid w:val="0007002D"/>
    <w:rsid w:val="00076CB6"/>
    <w:rsid w:val="00081C04"/>
    <w:rsid w:val="00084154"/>
    <w:rsid w:val="00086C47"/>
    <w:rsid w:val="000C5205"/>
    <w:rsid w:val="000E70D0"/>
    <w:rsid w:val="00144635"/>
    <w:rsid w:val="0014633D"/>
    <w:rsid w:val="001532B9"/>
    <w:rsid w:val="00181E99"/>
    <w:rsid w:val="00185A86"/>
    <w:rsid w:val="001A0AC3"/>
    <w:rsid w:val="001D0BCD"/>
    <w:rsid w:val="001F1354"/>
    <w:rsid w:val="00200F95"/>
    <w:rsid w:val="00211AFA"/>
    <w:rsid w:val="00251B47"/>
    <w:rsid w:val="002576A7"/>
    <w:rsid w:val="002758AE"/>
    <w:rsid w:val="002C0F1E"/>
    <w:rsid w:val="002E5780"/>
    <w:rsid w:val="003072EC"/>
    <w:rsid w:val="00334D08"/>
    <w:rsid w:val="00352BD0"/>
    <w:rsid w:val="00354F0B"/>
    <w:rsid w:val="00361EFE"/>
    <w:rsid w:val="00383785"/>
    <w:rsid w:val="00383F51"/>
    <w:rsid w:val="003A34AC"/>
    <w:rsid w:val="003B19F6"/>
    <w:rsid w:val="003C573A"/>
    <w:rsid w:val="004075E8"/>
    <w:rsid w:val="00413DE2"/>
    <w:rsid w:val="00442E4F"/>
    <w:rsid w:val="00471F87"/>
    <w:rsid w:val="004814DD"/>
    <w:rsid w:val="00483D23"/>
    <w:rsid w:val="00486158"/>
    <w:rsid w:val="004B43F9"/>
    <w:rsid w:val="004C2E12"/>
    <w:rsid w:val="004E5E87"/>
    <w:rsid w:val="004F6F25"/>
    <w:rsid w:val="00563F91"/>
    <w:rsid w:val="00564122"/>
    <w:rsid w:val="005914C6"/>
    <w:rsid w:val="005B5FD4"/>
    <w:rsid w:val="006330D9"/>
    <w:rsid w:val="00646904"/>
    <w:rsid w:val="006513CF"/>
    <w:rsid w:val="00681D36"/>
    <w:rsid w:val="006C7B0F"/>
    <w:rsid w:val="006D5C36"/>
    <w:rsid w:val="007539DC"/>
    <w:rsid w:val="00760166"/>
    <w:rsid w:val="00787FB0"/>
    <w:rsid w:val="007918AA"/>
    <w:rsid w:val="00795701"/>
    <w:rsid w:val="00795FAD"/>
    <w:rsid w:val="007B6581"/>
    <w:rsid w:val="007B7575"/>
    <w:rsid w:val="007E2DFA"/>
    <w:rsid w:val="00813F1B"/>
    <w:rsid w:val="00813F5E"/>
    <w:rsid w:val="008161B9"/>
    <w:rsid w:val="00846D2D"/>
    <w:rsid w:val="008647DC"/>
    <w:rsid w:val="008A47A7"/>
    <w:rsid w:val="008A7CCC"/>
    <w:rsid w:val="008B3E4C"/>
    <w:rsid w:val="008C4626"/>
    <w:rsid w:val="008D31FE"/>
    <w:rsid w:val="008D7AE9"/>
    <w:rsid w:val="00914538"/>
    <w:rsid w:val="00972017"/>
    <w:rsid w:val="009B1B59"/>
    <w:rsid w:val="009E0352"/>
    <w:rsid w:val="009E1590"/>
    <w:rsid w:val="00A07C66"/>
    <w:rsid w:val="00A56F92"/>
    <w:rsid w:val="00A745D2"/>
    <w:rsid w:val="00A8116E"/>
    <w:rsid w:val="00AD2694"/>
    <w:rsid w:val="00AE356C"/>
    <w:rsid w:val="00B011A4"/>
    <w:rsid w:val="00B05104"/>
    <w:rsid w:val="00B20C59"/>
    <w:rsid w:val="00B23674"/>
    <w:rsid w:val="00B30382"/>
    <w:rsid w:val="00B92D10"/>
    <w:rsid w:val="00B93082"/>
    <w:rsid w:val="00BA109B"/>
    <w:rsid w:val="00BB56E0"/>
    <w:rsid w:val="00BC7E56"/>
    <w:rsid w:val="00BE1C03"/>
    <w:rsid w:val="00BF1673"/>
    <w:rsid w:val="00C06177"/>
    <w:rsid w:val="00C142D6"/>
    <w:rsid w:val="00C32E6D"/>
    <w:rsid w:val="00C3501C"/>
    <w:rsid w:val="00C729E0"/>
    <w:rsid w:val="00CB5925"/>
    <w:rsid w:val="00CD6A90"/>
    <w:rsid w:val="00D050C2"/>
    <w:rsid w:val="00D1716E"/>
    <w:rsid w:val="00D24903"/>
    <w:rsid w:val="00D30DB3"/>
    <w:rsid w:val="00D33E96"/>
    <w:rsid w:val="00D3471D"/>
    <w:rsid w:val="00D56EBC"/>
    <w:rsid w:val="00D604B9"/>
    <w:rsid w:val="00D772A8"/>
    <w:rsid w:val="00D92781"/>
    <w:rsid w:val="00DA1DE7"/>
    <w:rsid w:val="00DB0B22"/>
    <w:rsid w:val="00DB70B2"/>
    <w:rsid w:val="00DC5D18"/>
    <w:rsid w:val="00DC7CBF"/>
    <w:rsid w:val="00E02005"/>
    <w:rsid w:val="00E02182"/>
    <w:rsid w:val="00E06172"/>
    <w:rsid w:val="00E25B4F"/>
    <w:rsid w:val="00E92F6D"/>
    <w:rsid w:val="00ED3C7D"/>
    <w:rsid w:val="00EE230E"/>
    <w:rsid w:val="00EE51A7"/>
    <w:rsid w:val="00EE73E7"/>
    <w:rsid w:val="00EF604B"/>
    <w:rsid w:val="00F056A2"/>
    <w:rsid w:val="00F1481B"/>
    <w:rsid w:val="00F24600"/>
    <w:rsid w:val="00F64AED"/>
    <w:rsid w:val="00F87489"/>
    <w:rsid w:val="00F96607"/>
    <w:rsid w:val="00F97C50"/>
    <w:rsid w:val="00FB129E"/>
    <w:rsid w:val="00FC0EF7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B6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2EC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B9308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C36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D5C36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C36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26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265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81E9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B70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2EC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B9308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5C36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D5C36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5C36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26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265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181E9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B7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tadstat.unctad.org/EN/Classifications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7302</CharactersWithSpaces>
  <SharedDoc>false</SharedDoc>
  <HLinks>
    <vt:vector size="18" baseType="variant">
      <vt:variant>
        <vt:i4>1245188</vt:i4>
      </vt:variant>
      <vt:variant>
        <vt:i4>6</vt:i4>
      </vt:variant>
      <vt:variant>
        <vt:i4>0</vt:i4>
      </vt:variant>
      <vt:variant>
        <vt:i4>5</vt:i4>
      </vt:variant>
      <vt:variant>
        <vt:lpwstr>http://unctadstat.unctad.org/EN/Classifications.html</vt:lpwstr>
      </vt:variant>
      <vt:variant>
        <vt:lpwstr/>
      </vt:variant>
      <vt:variant>
        <vt:i4>1704027</vt:i4>
      </vt:variant>
      <vt:variant>
        <vt:i4>3</vt:i4>
      </vt:variant>
      <vt:variant>
        <vt:i4>0</vt:i4>
      </vt:variant>
      <vt:variant>
        <vt:i4>5</vt:i4>
      </vt:variant>
      <vt:variant>
        <vt:lpwstr>http://unctadstat.unctad.org/wds/TableViewer/summary.aspx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http://www.bpb.de/52664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2024-01-16T15:55:00Z</dcterms:created>
  <dcterms:modified xsi:type="dcterms:W3CDTF">2024-02-08T22:11:00Z</dcterms:modified>
</cp:coreProperties>
</file>