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9313B" w14:textId="43AF8723" w:rsidR="001103F2" w:rsidRPr="00E15FA7" w:rsidRDefault="001103F2" w:rsidP="00E15FA7">
      <w:pPr>
        <w:pStyle w:val="Listenabsatz"/>
        <w:numPr>
          <w:ilvl w:val="0"/>
          <w:numId w:val="2"/>
        </w:numPr>
        <w:rPr>
          <w:rFonts w:ascii="Arial" w:hAnsi="Arial"/>
          <w:b/>
          <w:bCs/>
        </w:rPr>
      </w:pPr>
      <w:r w:rsidRPr="00E15FA7">
        <w:rPr>
          <w:rFonts w:ascii="Arial" w:hAnsi="Arial"/>
          <w:b/>
          <w:bCs/>
        </w:rPr>
        <w:t xml:space="preserve">44,8 Prozent der Weltbevölkerung lebten im Jahr 2025 in insgesamt 12.140 </w:t>
      </w:r>
      <w:r w:rsidR="00E15FA7" w:rsidRPr="00E15FA7">
        <w:rPr>
          <w:rFonts w:ascii="Arial" w:hAnsi="Arial"/>
          <w:b/>
          <w:bCs/>
        </w:rPr>
        <w:t>S</w:t>
      </w:r>
      <w:r w:rsidRPr="00E15FA7">
        <w:rPr>
          <w:rFonts w:ascii="Arial" w:hAnsi="Arial"/>
          <w:b/>
          <w:bCs/>
        </w:rPr>
        <w:t>tädten</w:t>
      </w:r>
      <w:r w:rsidR="00E15FA7" w:rsidRPr="00E15FA7">
        <w:rPr>
          <w:rFonts w:ascii="Arial" w:hAnsi="Arial"/>
          <w:b/>
          <w:bCs/>
        </w:rPr>
        <w:t xml:space="preserve"> mit mindestens 50.000 Einwohnern</w:t>
      </w:r>
      <w:r w:rsidRPr="00E15FA7">
        <w:rPr>
          <w:rFonts w:ascii="Arial" w:hAnsi="Arial"/>
          <w:b/>
          <w:bCs/>
        </w:rPr>
        <w:t>.</w:t>
      </w:r>
    </w:p>
    <w:p w14:paraId="1BFA64F0" w14:textId="77777777" w:rsidR="001103F2" w:rsidRPr="00E15FA7" w:rsidRDefault="001103F2" w:rsidP="001103F2">
      <w:pPr>
        <w:rPr>
          <w:rFonts w:ascii="Arial" w:hAnsi="Arial"/>
          <w:b/>
          <w:bCs/>
        </w:rPr>
      </w:pPr>
    </w:p>
    <w:p w14:paraId="5D8931EB" w14:textId="3885328F" w:rsidR="001103F2" w:rsidRPr="00E15FA7" w:rsidRDefault="001103F2" w:rsidP="00E15FA7">
      <w:pPr>
        <w:pStyle w:val="Listenabsatz"/>
        <w:numPr>
          <w:ilvl w:val="0"/>
          <w:numId w:val="2"/>
        </w:numPr>
        <w:rPr>
          <w:rFonts w:ascii="Arial" w:hAnsi="Arial"/>
          <w:b/>
          <w:bCs/>
        </w:rPr>
      </w:pPr>
      <w:r w:rsidRPr="00E15FA7">
        <w:rPr>
          <w:rFonts w:ascii="Arial" w:hAnsi="Arial"/>
          <w:b/>
          <w:bCs/>
        </w:rPr>
        <w:t>Mehr als jeder fünfte Mensch weltweit lebt in einer Stadt mit 1 Million Einwohnern oder mehr.</w:t>
      </w:r>
    </w:p>
    <w:p w14:paraId="62297A21" w14:textId="77777777" w:rsidR="001103F2" w:rsidRPr="00E15FA7" w:rsidRDefault="001103F2" w:rsidP="001103F2">
      <w:pPr>
        <w:rPr>
          <w:rFonts w:ascii="Arial" w:hAnsi="Arial"/>
          <w:b/>
          <w:bCs/>
        </w:rPr>
      </w:pPr>
    </w:p>
    <w:p w14:paraId="73657123" w14:textId="16FDCF68" w:rsidR="001103F2" w:rsidRPr="00E15FA7" w:rsidRDefault="00E15FA7" w:rsidP="00E15FA7">
      <w:pPr>
        <w:pStyle w:val="Listenabsatz"/>
        <w:numPr>
          <w:ilvl w:val="0"/>
          <w:numId w:val="2"/>
        </w:numPr>
        <w:rPr>
          <w:rFonts w:ascii="Arial" w:hAnsi="Arial"/>
          <w:b/>
          <w:bCs/>
        </w:rPr>
      </w:pPr>
      <w:r w:rsidRPr="00E15FA7">
        <w:rPr>
          <w:rFonts w:ascii="Arial" w:hAnsi="Arial"/>
          <w:b/>
          <w:bCs/>
        </w:rPr>
        <w:t>1950 gab es lediglich zwei Städte mit mindestens 10 Mio</w:t>
      </w:r>
      <w:r w:rsidR="00756107">
        <w:rPr>
          <w:rFonts w:ascii="Arial" w:hAnsi="Arial"/>
          <w:b/>
          <w:bCs/>
        </w:rPr>
        <w:t xml:space="preserve">. </w:t>
      </w:r>
      <w:r w:rsidRPr="00E15FA7">
        <w:rPr>
          <w:rFonts w:ascii="Arial" w:hAnsi="Arial"/>
          <w:b/>
          <w:bCs/>
        </w:rPr>
        <w:t>Einwohnern. 1975 waren es acht und 2025 weltweit 33 Städte</w:t>
      </w:r>
      <w:r w:rsidR="00756107">
        <w:rPr>
          <w:rFonts w:ascii="Arial" w:hAnsi="Arial"/>
          <w:b/>
          <w:bCs/>
        </w:rPr>
        <w:t>. Z</w:t>
      </w:r>
      <w:r w:rsidRPr="00E15FA7">
        <w:rPr>
          <w:rFonts w:ascii="Arial" w:hAnsi="Arial"/>
          <w:b/>
          <w:bCs/>
        </w:rPr>
        <w:t xml:space="preserve">wölf der Megastädte </w:t>
      </w:r>
      <w:r w:rsidR="00756107">
        <w:rPr>
          <w:rFonts w:ascii="Arial" w:hAnsi="Arial"/>
          <w:b/>
          <w:bCs/>
        </w:rPr>
        <w:t xml:space="preserve">im Jahr 2025 </w:t>
      </w:r>
      <w:r w:rsidRPr="00E15FA7">
        <w:rPr>
          <w:rFonts w:ascii="Arial" w:hAnsi="Arial"/>
          <w:b/>
          <w:bCs/>
        </w:rPr>
        <w:t xml:space="preserve">hatten sogar mehr als 20 </w:t>
      </w:r>
      <w:r w:rsidR="00756107">
        <w:rPr>
          <w:rFonts w:ascii="Arial" w:hAnsi="Arial"/>
          <w:b/>
          <w:bCs/>
        </w:rPr>
        <w:t xml:space="preserve">Mio. </w:t>
      </w:r>
      <w:r w:rsidRPr="00E15FA7">
        <w:rPr>
          <w:rFonts w:ascii="Arial" w:hAnsi="Arial"/>
          <w:b/>
          <w:bCs/>
        </w:rPr>
        <w:t>Einwohner.</w:t>
      </w:r>
    </w:p>
    <w:p w14:paraId="0326FAE6" w14:textId="77777777" w:rsidR="00E15FA7" w:rsidRPr="00E15FA7" w:rsidRDefault="00E15FA7" w:rsidP="001103F2">
      <w:pPr>
        <w:rPr>
          <w:rFonts w:ascii="Arial" w:hAnsi="Arial"/>
          <w:b/>
          <w:bCs/>
        </w:rPr>
      </w:pPr>
    </w:p>
    <w:p w14:paraId="42F3A10A" w14:textId="63D376E2" w:rsidR="00E15FA7" w:rsidRPr="00E15FA7" w:rsidRDefault="00E15FA7" w:rsidP="00E15FA7">
      <w:pPr>
        <w:pStyle w:val="Listenabsatz"/>
        <w:numPr>
          <w:ilvl w:val="0"/>
          <w:numId w:val="2"/>
        </w:numPr>
        <w:rPr>
          <w:rFonts w:ascii="Arial" w:hAnsi="Arial"/>
          <w:b/>
          <w:bCs/>
        </w:rPr>
      </w:pPr>
      <w:r w:rsidRPr="00E15FA7">
        <w:rPr>
          <w:rFonts w:ascii="Arial" w:hAnsi="Arial"/>
          <w:b/>
          <w:bCs/>
        </w:rPr>
        <w:t>Von den 33 Megacitys im Jahr 2025 lagen 19 in Asien, fünf in Lateinamerika, vier in Afrika, drei in Europa und zwei in Nordamerika.</w:t>
      </w:r>
    </w:p>
    <w:p w14:paraId="78A91479" w14:textId="77777777" w:rsidR="00E15FA7" w:rsidRDefault="00E15FA7" w:rsidP="00E15FA7">
      <w:pPr>
        <w:rPr>
          <w:rFonts w:ascii="Arial" w:hAnsi="Arial"/>
        </w:rPr>
      </w:pPr>
    </w:p>
    <w:p w14:paraId="07F8DB05" w14:textId="5F697C12" w:rsidR="008245E1" w:rsidRDefault="008245E1">
      <w:pPr>
        <w:rPr>
          <w:rFonts w:ascii="Arial" w:hAnsi="Arial"/>
          <w:color w:val="FF0000"/>
        </w:rPr>
      </w:pPr>
      <w:r>
        <w:rPr>
          <w:rFonts w:ascii="Arial" w:hAnsi="Arial"/>
          <w:color w:val="FF0000"/>
        </w:rPr>
        <w:t>Fakten</w:t>
      </w:r>
    </w:p>
    <w:p w14:paraId="70F70849" w14:textId="77777777" w:rsidR="008245E1" w:rsidRDefault="008245E1">
      <w:pPr>
        <w:rPr>
          <w:rFonts w:ascii="Arial" w:hAnsi="Arial"/>
        </w:rPr>
      </w:pPr>
    </w:p>
    <w:p w14:paraId="5E640A99" w14:textId="1B7FAA9B" w:rsidR="00A914E9" w:rsidRDefault="00A914E9" w:rsidP="00A914E9">
      <w:pPr>
        <w:rPr>
          <w:rFonts w:ascii="Arial" w:hAnsi="Arial"/>
        </w:rPr>
      </w:pPr>
      <w:r>
        <w:rPr>
          <w:rFonts w:ascii="Arial" w:hAnsi="Arial"/>
        </w:rPr>
        <w:t>D</w:t>
      </w:r>
      <w:r w:rsidRPr="00B84CFF">
        <w:rPr>
          <w:rFonts w:ascii="Arial" w:hAnsi="Arial"/>
        </w:rPr>
        <w:t xml:space="preserve">ie Weltbevölkerung </w:t>
      </w:r>
      <w:r>
        <w:rPr>
          <w:rFonts w:ascii="Arial" w:hAnsi="Arial"/>
        </w:rPr>
        <w:t>erhöhte sich z</w:t>
      </w:r>
      <w:r w:rsidRPr="00B84CFF">
        <w:rPr>
          <w:rFonts w:ascii="Arial" w:hAnsi="Arial"/>
        </w:rPr>
        <w:t xml:space="preserve">wischen 1950 und 2025 von 2,5 auf mehr als 8,2 Milliarden Menschen. Dabei halbierte sich der Anteil der Landbevölkerung </w:t>
      </w:r>
      <w:r>
        <w:rPr>
          <w:rFonts w:ascii="Arial" w:hAnsi="Arial"/>
        </w:rPr>
        <w:t xml:space="preserve">an der </w:t>
      </w:r>
      <w:r w:rsidRPr="00B84CFF">
        <w:rPr>
          <w:rFonts w:ascii="Arial" w:hAnsi="Arial"/>
        </w:rPr>
        <w:t>Weltbevölkerung von 40,0 auf 19,6 Prozent</w:t>
      </w:r>
      <w:r>
        <w:rPr>
          <w:rFonts w:ascii="Arial" w:hAnsi="Arial"/>
        </w:rPr>
        <w:t xml:space="preserve">. Der Anteil der Bevölkerung </w:t>
      </w:r>
      <w:r w:rsidRPr="00756107">
        <w:rPr>
          <w:rFonts w:ascii="Arial" w:hAnsi="Arial"/>
        </w:rPr>
        <w:t xml:space="preserve">in </w:t>
      </w:r>
      <w:r w:rsidR="00756107" w:rsidRPr="00756107">
        <w:rPr>
          <w:rFonts w:ascii="Arial" w:hAnsi="Arial"/>
        </w:rPr>
        <w:t xml:space="preserve">Städten mit mindestens 50.000 Einwohnern </w:t>
      </w:r>
      <w:r w:rsidRPr="00756107">
        <w:rPr>
          <w:rFonts w:ascii="Arial" w:hAnsi="Arial"/>
        </w:rPr>
        <w:t>stieg hingegen von 20,1 Prozent i</w:t>
      </w:r>
      <w:r>
        <w:rPr>
          <w:rFonts w:ascii="Arial" w:hAnsi="Arial"/>
        </w:rPr>
        <w:t xml:space="preserve">m Jahr 1950 auf 44,8 Prozent im Jahr 2025. Die </w:t>
      </w:r>
      <w:r w:rsidR="00F44BA2">
        <w:rPr>
          <w:rFonts w:ascii="Arial" w:hAnsi="Arial"/>
        </w:rPr>
        <w:t xml:space="preserve">Anzahl der Menschen, die </w:t>
      </w:r>
      <w:r>
        <w:rPr>
          <w:rFonts w:ascii="Arial" w:hAnsi="Arial"/>
        </w:rPr>
        <w:t>in d</w:t>
      </w:r>
      <w:r w:rsidR="00F44BA2">
        <w:rPr>
          <w:rFonts w:ascii="Arial" w:hAnsi="Arial"/>
        </w:rPr>
        <w:t>ies</w:t>
      </w:r>
      <w:r>
        <w:rPr>
          <w:rFonts w:ascii="Arial" w:hAnsi="Arial"/>
        </w:rPr>
        <w:t xml:space="preserve">en Städten </w:t>
      </w:r>
      <w:r w:rsidR="00F44BA2">
        <w:rPr>
          <w:rFonts w:ascii="Arial" w:hAnsi="Arial"/>
        </w:rPr>
        <w:t xml:space="preserve">wohnen, </w:t>
      </w:r>
      <w:r>
        <w:rPr>
          <w:rFonts w:ascii="Arial" w:hAnsi="Arial"/>
        </w:rPr>
        <w:t xml:space="preserve">hat sich in diesem Zeitraum mehr als versiebenfacht </w:t>
      </w:r>
      <w:r w:rsidRPr="00B84CFF">
        <w:rPr>
          <w:rFonts w:ascii="Arial" w:hAnsi="Arial"/>
        </w:rPr>
        <w:t>–</w:t>
      </w:r>
      <w:r>
        <w:rPr>
          <w:rFonts w:ascii="Arial" w:hAnsi="Arial"/>
        </w:rPr>
        <w:t xml:space="preserve"> von 500.000 auf 3,7</w:t>
      </w:r>
      <w:r w:rsidRPr="002033CB">
        <w:rPr>
          <w:rFonts w:ascii="Arial" w:hAnsi="Arial"/>
        </w:rPr>
        <w:t xml:space="preserve"> </w:t>
      </w:r>
      <w:r w:rsidRPr="00B84CFF">
        <w:rPr>
          <w:rFonts w:ascii="Arial" w:hAnsi="Arial"/>
        </w:rPr>
        <w:t>Milliarde</w:t>
      </w:r>
      <w:r>
        <w:rPr>
          <w:rFonts w:ascii="Arial" w:hAnsi="Arial"/>
        </w:rPr>
        <w:t>n.</w:t>
      </w:r>
    </w:p>
    <w:p w14:paraId="2EFA0EB1" w14:textId="77777777" w:rsidR="007677F8" w:rsidRDefault="007677F8" w:rsidP="00A914E9">
      <w:pPr>
        <w:rPr>
          <w:rFonts w:ascii="Arial" w:hAnsi="Arial"/>
        </w:rPr>
      </w:pPr>
    </w:p>
    <w:p w14:paraId="19263869" w14:textId="6972424E" w:rsidR="0032267E" w:rsidRDefault="00BB7628" w:rsidP="0032267E">
      <w:pPr>
        <w:rPr>
          <w:rFonts w:ascii="Arial" w:hAnsi="Arial"/>
        </w:rPr>
      </w:pPr>
      <w:r w:rsidRPr="00BB7628">
        <w:rPr>
          <w:rFonts w:ascii="Arial" w:hAnsi="Arial"/>
        </w:rPr>
        <w:t xml:space="preserve">Ein Großteil des Wachstums der städtischen Bevölkerung der letzten Jahrzehnte </w:t>
      </w:r>
      <w:r w:rsidR="001103F2">
        <w:rPr>
          <w:rFonts w:ascii="Arial" w:hAnsi="Arial"/>
        </w:rPr>
        <w:t xml:space="preserve">entfiel </w:t>
      </w:r>
      <w:r>
        <w:rPr>
          <w:rFonts w:ascii="Arial" w:hAnsi="Arial"/>
        </w:rPr>
        <w:t xml:space="preserve">dabei </w:t>
      </w:r>
      <w:r w:rsidR="001103F2">
        <w:rPr>
          <w:rFonts w:ascii="Arial" w:hAnsi="Arial"/>
        </w:rPr>
        <w:t xml:space="preserve">auf </w:t>
      </w:r>
      <w:r>
        <w:rPr>
          <w:rFonts w:ascii="Arial" w:hAnsi="Arial"/>
        </w:rPr>
        <w:t xml:space="preserve">bereits bestehende Städte. Nach der Definition des UN </w:t>
      </w:r>
      <w:r w:rsidRPr="00B84CFF">
        <w:rPr>
          <w:rFonts w:ascii="Arial" w:hAnsi="Arial"/>
        </w:rPr>
        <w:t>Department of Economic and Social Affairs</w:t>
      </w:r>
      <w:r>
        <w:rPr>
          <w:rFonts w:ascii="Arial" w:hAnsi="Arial"/>
        </w:rPr>
        <w:t xml:space="preserve"> (UN/DESA) lebten im Jahr 2025 44,8 Prozent der Weltbevölkerung in insgesamt 12.140 Großstädten. Darunter waren 9.807 Städte mit 50.000 bis unter 250.000 Einwohnern sowie 1.822 Städte mit 250.000 bis unter 1 Million Einwohnern</w:t>
      </w:r>
      <w:r w:rsidR="001103F2">
        <w:rPr>
          <w:rFonts w:ascii="Arial" w:hAnsi="Arial"/>
        </w:rPr>
        <w:t>,</w:t>
      </w:r>
      <w:r>
        <w:rPr>
          <w:rFonts w:ascii="Arial" w:hAnsi="Arial"/>
        </w:rPr>
        <w:t xml:space="preserve"> in denen zusammen 22,4 Prozent der Weltbevölkerung lebten. 10,7 Prozent der Weltbevölkerung lebten in den 429 Städten mit einer Million bis unter 5 Millionen Einwohnern. Auf die weltweit 49 Städte mit mindestens 5 Millionen bis unter 10 Millionen Einwohnern entfielen 4,0 Prozent der Weltbevölkerung. Schließlich lebten in den 33 Städten mit </w:t>
      </w:r>
      <w:r w:rsidR="0032267E">
        <w:rPr>
          <w:rFonts w:ascii="Arial" w:hAnsi="Arial"/>
        </w:rPr>
        <w:t xml:space="preserve">mindestens </w:t>
      </w:r>
      <w:r>
        <w:rPr>
          <w:rFonts w:ascii="Arial" w:hAnsi="Arial"/>
        </w:rPr>
        <w:t xml:space="preserve">10 Millionen Einwohnern 7,6 Prozent der Weltbevölkerung – </w:t>
      </w:r>
      <w:r w:rsidR="001103F2">
        <w:rPr>
          <w:rFonts w:ascii="Arial" w:hAnsi="Arial"/>
        </w:rPr>
        <w:t xml:space="preserve">insgesamt </w:t>
      </w:r>
      <w:r>
        <w:rPr>
          <w:rFonts w:ascii="Arial" w:hAnsi="Arial"/>
        </w:rPr>
        <w:t>625 Millionen Menschen.</w:t>
      </w:r>
      <w:r w:rsidR="0032267E">
        <w:rPr>
          <w:rFonts w:ascii="Arial" w:hAnsi="Arial"/>
        </w:rPr>
        <w:t xml:space="preserve"> Damit </w:t>
      </w:r>
      <w:r w:rsidR="0032267E" w:rsidRPr="0032267E">
        <w:rPr>
          <w:rFonts w:ascii="Arial" w:hAnsi="Arial"/>
        </w:rPr>
        <w:t>lebte im Jahr 2025 mehr als jeder fünfte Mensch weltweit in einer Stadt mit 1 Million Einwohnern oder mehr.</w:t>
      </w:r>
    </w:p>
    <w:p w14:paraId="604FD467" w14:textId="77777777" w:rsidR="007677F8" w:rsidRDefault="007677F8" w:rsidP="0032267E">
      <w:pPr>
        <w:rPr>
          <w:rFonts w:ascii="Arial" w:hAnsi="Arial"/>
        </w:rPr>
      </w:pPr>
    </w:p>
    <w:p w14:paraId="6A3DE855" w14:textId="2D94B99B" w:rsidR="00F31483" w:rsidRDefault="00F31483" w:rsidP="00F31483">
      <w:pPr>
        <w:rPr>
          <w:rFonts w:ascii="Arial" w:hAnsi="Arial"/>
        </w:rPr>
      </w:pPr>
      <w:r>
        <w:rPr>
          <w:rFonts w:ascii="Arial" w:hAnsi="Arial"/>
        </w:rPr>
        <w:t xml:space="preserve">In der UN-Publikation </w:t>
      </w:r>
      <w:r w:rsidRPr="00F31483">
        <w:rPr>
          <w:rFonts w:ascii="Arial" w:hAnsi="Arial"/>
        </w:rPr>
        <w:t>World Urbanization Prospects</w:t>
      </w:r>
      <w:r>
        <w:rPr>
          <w:rFonts w:ascii="Arial" w:hAnsi="Arial"/>
        </w:rPr>
        <w:t xml:space="preserve"> – </w:t>
      </w:r>
      <w:r w:rsidRPr="00F31483">
        <w:rPr>
          <w:rFonts w:ascii="Arial" w:hAnsi="Arial"/>
        </w:rPr>
        <w:t>The 2014 Revision</w:t>
      </w:r>
      <w:r>
        <w:rPr>
          <w:rFonts w:ascii="Arial" w:hAnsi="Arial"/>
        </w:rPr>
        <w:t xml:space="preserve"> wurden für das Jahr 1950 lediglich zwei Städte mit </w:t>
      </w:r>
      <w:r w:rsidR="0032267E">
        <w:rPr>
          <w:rFonts w:ascii="Arial" w:hAnsi="Arial"/>
        </w:rPr>
        <w:t xml:space="preserve">mindestens </w:t>
      </w:r>
      <w:r>
        <w:rPr>
          <w:rFonts w:ascii="Arial" w:hAnsi="Arial"/>
        </w:rPr>
        <w:t xml:space="preserve">10 </w:t>
      </w:r>
      <w:r w:rsidRPr="0032267E">
        <w:rPr>
          <w:rFonts w:ascii="Arial" w:hAnsi="Arial"/>
        </w:rPr>
        <w:t xml:space="preserve">Millionen Einwohnern aufgeführt: New York (12,3 Mio.) und Tokio (11,3 Mio.). Im Jahr 1975 </w:t>
      </w:r>
      <w:r w:rsidR="0032267E" w:rsidRPr="0032267E">
        <w:rPr>
          <w:rFonts w:ascii="Arial" w:hAnsi="Arial"/>
        </w:rPr>
        <w:t xml:space="preserve">gab es bereits acht </w:t>
      </w:r>
      <w:r w:rsidR="0032267E">
        <w:rPr>
          <w:rFonts w:ascii="Arial" w:hAnsi="Arial"/>
        </w:rPr>
        <w:t xml:space="preserve">sogenannte </w:t>
      </w:r>
      <w:r w:rsidRPr="0032267E">
        <w:rPr>
          <w:rFonts w:ascii="Arial" w:hAnsi="Arial"/>
        </w:rPr>
        <w:t>Mega</w:t>
      </w:r>
      <w:r w:rsidR="0032267E">
        <w:rPr>
          <w:rFonts w:ascii="Arial" w:hAnsi="Arial"/>
        </w:rPr>
        <w:t>citys</w:t>
      </w:r>
      <w:r w:rsidR="0032267E" w:rsidRPr="0032267E">
        <w:rPr>
          <w:rFonts w:ascii="Arial" w:hAnsi="Arial"/>
        </w:rPr>
        <w:t xml:space="preserve"> </w:t>
      </w:r>
      <w:r w:rsidR="0032267E">
        <w:rPr>
          <w:rFonts w:ascii="Arial" w:hAnsi="Arial"/>
        </w:rPr>
        <w:t xml:space="preserve">– </w:t>
      </w:r>
      <w:r w:rsidRPr="0032267E">
        <w:rPr>
          <w:rFonts w:ascii="Arial" w:hAnsi="Arial"/>
        </w:rPr>
        <w:t>Tokio, Osaka, New York, Jakarta, Mexiko-Stadt, São Paulo, Kalkutta</w:t>
      </w:r>
      <w:r w:rsidR="0032267E" w:rsidRPr="0032267E">
        <w:rPr>
          <w:rFonts w:ascii="Arial" w:hAnsi="Arial"/>
        </w:rPr>
        <w:t xml:space="preserve">, </w:t>
      </w:r>
      <w:r w:rsidRPr="0032267E">
        <w:rPr>
          <w:rFonts w:ascii="Arial" w:hAnsi="Arial"/>
        </w:rPr>
        <w:t>Seoul</w:t>
      </w:r>
      <w:r w:rsidR="0032267E" w:rsidRPr="0032267E">
        <w:rPr>
          <w:rFonts w:ascii="Arial" w:hAnsi="Arial"/>
        </w:rPr>
        <w:t xml:space="preserve"> </w:t>
      </w:r>
      <w:r w:rsidR="0032267E">
        <w:rPr>
          <w:rFonts w:ascii="Arial" w:hAnsi="Arial"/>
        </w:rPr>
        <w:t>– und bis zum Jahr 2000 kamen zu den acht St</w:t>
      </w:r>
      <w:r w:rsidR="0032267E" w:rsidRPr="0032267E">
        <w:rPr>
          <w:rFonts w:ascii="Arial" w:hAnsi="Arial"/>
        </w:rPr>
        <w:t xml:space="preserve">ädten </w:t>
      </w:r>
      <w:r w:rsidR="0032267E">
        <w:rPr>
          <w:rFonts w:ascii="Arial" w:hAnsi="Arial"/>
        </w:rPr>
        <w:t xml:space="preserve">mit mindestens 10 </w:t>
      </w:r>
      <w:r w:rsidR="0032267E" w:rsidRPr="0032267E">
        <w:rPr>
          <w:rFonts w:ascii="Arial" w:hAnsi="Arial"/>
        </w:rPr>
        <w:t>Millionen Einwohnern zwölf weitere hinzu: G</w:t>
      </w:r>
      <w:r w:rsidRPr="0032267E">
        <w:rPr>
          <w:rFonts w:ascii="Arial" w:hAnsi="Arial"/>
        </w:rPr>
        <w:t>uangzhou, Delhi, Manila, Dhaka, Mumbai, Kairo, Shanghai, Buenos Aires, Los Angeles, Moskau, Karatschi und Istanbul.</w:t>
      </w:r>
    </w:p>
    <w:p w14:paraId="4B51C668" w14:textId="77777777" w:rsidR="007677F8" w:rsidRDefault="007677F8" w:rsidP="00F31483">
      <w:pPr>
        <w:rPr>
          <w:rFonts w:ascii="Arial" w:hAnsi="Arial"/>
        </w:rPr>
      </w:pPr>
    </w:p>
    <w:p w14:paraId="036D2DA5" w14:textId="45C43FCB" w:rsidR="00A47F55" w:rsidRDefault="0032267E" w:rsidP="00F31483">
      <w:pPr>
        <w:rPr>
          <w:rFonts w:ascii="Arial" w:hAnsi="Arial"/>
        </w:rPr>
      </w:pPr>
      <w:r w:rsidRPr="0045525C">
        <w:rPr>
          <w:rFonts w:ascii="Arial" w:hAnsi="Arial"/>
        </w:rPr>
        <w:t xml:space="preserve">Im Jahr 2025 gab es weltweit 33 Städte mit mindestens </w:t>
      </w:r>
      <w:r w:rsidR="00F31483" w:rsidRPr="0045525C">
        <w:rPr>
          <w:rFonts w:ascii="Arial" w:hAnsi="Arial"/>
        </w:rPr>
        <w:t>10 Millionen Einwohnern</w:t>
      </w:r>
      <w:r w:rsidRPr="0045525C">
        <w:rPr>
          <w:rFonts w:ascii="Arial" w:hAnsi="Arial"/>
        </w:rPr>
        <w:t>. Zwölf dieser Megastädte hatten sogar mehr als 20 Millionen Einwohner: Jakarta (41,9 Mio.), Dhaka (36,6 Mio.), Tokio (33,4 Mio.), Delhi (30,2 Mio.), Shanghai (29,6 Mio.), Guangzhou (27,6 Mio.), Kairo (25,6 Mio.), Manila (24,7 Mio.), Kalkutta (22,5 Mio.), Seoul (22,5 Mio.), Karatschi (21,4 Mio.) und Mumbai (20,2 Mio.).</w:t>
      </w:r>
      <w:r w:rsidR="007677F8">
        <w:rPr>
          <w:rFonts w:ascii="Arial" w:hAnsi="Arial"/>
        </w:rPr>
        <w:t xml:space="preserve"> </w:t>
      </w:r>
      <w:r w:rsidR="00F31483" w:rsidRPr="00A47F55">
        <w:rPr>
          <w:rFonts w:ascii="Arial" w:hAnsi="Arial"/>
        </w:rPr>
        <w:t xml:space="preserve">Von den 33 </w:t>
      </w:r>
      <w:r w:rsidR="00F31483" w:rsidRPr="00A47F55">
        <w:rPr>
          <w:rFonts w:ascii="Arial" w:hAnsi="Arial"/>
        </w:rPr>
        <w:lastRenderedPageBreak/>
        <w:t xml:space="preserve">Megastädten mit 10 Millionen Einwohnern oder mehr </w:t>
      </w:r>
      <w:r w:rsidR="0045525C" w:rsidRPr="00A47F55">
        <w:rPr>
          <w:rFonts w:ascii="Arial" w:hAnsi="Arial"/>
        </w:rPr>
        <w:t xml:space="preserve">lagen </w:t>
      </w:r>
      <w:r w:rsidR="00F31483" w:rsidRPr="00A47F55">
        <w:rPr>
          <w:rFonts w:ascii="Arial" w:hAnsi="Arial"/>
        </w:rPr>
        <w:t>im Jahr</w:t>
      </w:r>
      <w:r w:rsidR="007677F8">
        <w:rPr>
          <w:rFonts w:ascii="Arial" w:hAnsi="Arial"/>
        </w:rPr>
        <w:t xml:space="preserve"> </w:t>
      </w:r>
      <w:r w:rsidR="00F31483" w:rsidRPr="00A47F55">
        <w:rPr>
          <w:rFonts w:ascii="Arial" w:hAnsi="Arial"/>
        </w:rPr>
        <w:t xml:space="preserve">2025 </w:t>
      </w:r>
      <w:r w:rsidR="0045525C" w:rsidRPr="00A47F55">
        <w:rPr>
          <w:rFonts w:ascii="Arial" w:hAnsi="Arial"/>
        </w:rPr>
        <w:t xml:space="preserve">allein </w:t>
      </w:r>
      <w:r w:rsidR="00F31483" w:rsidRPr="00A47F55">
        <w:rPr>
          <w:rFonts w:ascii="Arial" w:hAnsi="Arial"/>
        </w:rPr>
        <w:t>19 in Asien</w:t>
      </w:r>
      <w:r w:rsidR="0045525C" w:rsidRPr="00A47F55">
        <w:rPr>
          <w:rFonts w:ascii="Arial" w:hAnsi="Arial"/>
        </w:rPr>
        <w:t xml:space="preserve"> – darunter fünf in </w:t>
      </w:r>
      <w:r w:rsidR="00F31483" w:rsidRPr="00A47F55">
        <w:rPr>
          <w:rFonts w:ascii="Arial" w:hAnsi="Arial"/>
        </w:rPr>
        <w:t xml:space="preserve">Indien </w:t>
      </w:r>
      <w:r w:rsidR="0045525C" w:rsidRPr="00A47F55">
        <w:rPr>
          <w:rFonts w:ascii="Arial" w:hAnsi="Arial"/>
        </w:rPr>
        <w:t xml:space="preserve">und vier in </w:t>
      </w:r>
      <w:r w:rsidR="00F31483" w:rsidRPr="00A47F55">
        <w:rPr>
          <w:rFonts w:ascii="Arial" w:hAnsi="Arial"/>
        </w:rPr>
        <w:t>China. Fünf der</w:t>
      </w:r>
      <w:r w:rsidR="0045525C" w:rsidRPr="00A47F55">
        <w:rPr>
          <w:rFonts w:ascii="Arial" w:hAnsi="Arial"/>
        </w:rPr>
        <w:t xml:space="preserve"> </w:t>
      </w:r>
      <w:r w:rsidR="00F31483" w:rsidRPr="00A47F55">
        <w:rPr>
          <w:rFonts w:ascii="Arial" w:hAnsi="Arial"/>
        </w:rPr>
        <w:t>Mega</w:t>
      </w:r>
      <w:r w:rsidR="0045525C" w:rsidRPr="00A47F55">
        <w:rPr>
          <w:rFonts w:ascii="Arial" w:hAnsi="Arial"/>
        </w:rPr>
        <w:t xml:space="preserve">citys </w:t>
      </w:r>
      <w:r w:rsidR="00F31483" w:rsidRPr="00A47F55">
        <w:rPr>
          <w:rFonts w:ascii="Arial" w:hAnsi="Arial"/>
        </w:rPr>
        <w:t xml:space="preserve">befanden sich </w:t>
      </w:r>
      <w:r w:rsidR="0045525C" w:rsidRPr="00A47F55">
        <w:rPr>
          <w:rFonts w:ascii="Arial" w:hAnsi="Arial"/>
        </w:rPr>
        <w:t>im selben Jahr in La</w:t>
      </w:r>
      <w:r w:rsidR="00F31483" w:rsidRPr="00A47F55">
        <w:rPr>
          <w:rFonts w:ascii="Arial" w:hAnsi="Arial"/>
        </w:rPr>
        <w:t>teinamerika, vier in Afrika, drei in Europa und zwei in</w:t>
      </w:r>
      <w:r w:rsidR="007677F8">
        <w:rPr>
          <w:rFonts w:ascii="Arial" w:hAnsi="Arial"/>
        </w:rPr>
        <w:t xml:space="preserve"> N</w:t>
      </w:r>
      <w:r w:rsidR="00F31483" w:rsidRPr="00A47F55">
        <w:rPr>
          <w:rFonts w:ascii="Arial" w:hAnsi="Arial"/>
        </w:rPr>
        <w:t>ordamerika.</w:t>
      </w:r>
    </w:p>
    <w:p w14:paraId="111F0F41" w14:textId="77777777" w:rsidR="007677F8" w:rsidRDefault="007677F8" w:rsidP="00F31483">
      <w:pPr>
        <w:rPr>
          <w:rFonts w:ascii="Arial" w:hAnsi="Arial"/>
        </w:rPr>
      </w:pPr>
    </w:p>
    <w:p w14:paraId="6591FF5E" w14:textId="353606E3" w:rsidR="00A914E9" w:rsidRDefault="00A47F55">
      <w:pPr>
        <w:rPr>
          <w:rFonts w:ascii="Arial" w:hAnsi="Arial"/>
        </w:rPr>
      </w:pPr>
      <w:r w:rsidRPr="000967C0">
        <w:rPr>
          <w:rFonts w:ascii="Arial" w:hAnsi="Arial"/>
        </w:rPr>
        <w:t>Nach Vorausberechnungen des UN/DESA wird</w:t>
      </w:r>
      <w:r>
        <w:rPr>
          <w:rFonts w:ascii="Arial" w:hAnsi="Arial"/>
        </w:rPr>
        <w:t xml:space="preserve"> d</w:t>
      </w:r>
      <w:r w:rsidR="00F31483" w:rsidRPr="00E15CD2">
        <w:rPr>
          <w:rFonts w:ascii="Arial" w:hAnsi="Arial"/>
        </w:rPr>
        <w:t>ie Zahl der Mega</w:t>
      </w:r>
      <w:r w:rsidRPr="00E15CD2">
        <w:rPr>
          <w:rFonts w:ascii="Arial" w:hAnsi="Arial"/>
        </w:rPr>
        <w:t xml:space="preserve">citys </w:t>
      </w:r>
      <w:r w:rsidR="00F31483" w:rsidRPr="00E15CD2">
        <w:rPr>
          <w:rFonts w:ascii="Arial" w:hAnsi="Arial"/>
        </w:rPr>
        <w:t xml:space="preserve">bis </w:t>
      </w:r>
      <w:r w:rsidR="009625DE">
        <w:rPr>
          <w:rFonts w:ascii="Arial" w:hAnsi="Arial"/>
        </w:rPr>
        <w:t xml:space="preserve">zum Jahr </w:t>
      </w:r>
      <w:r w:rsidR="00F31483" w:rsidRPr="00E15CD2">
        <w:rPr>
          <w:rFonts w:ascii="Arial" w:hAnsi="Arial"/>
        </w:rPr>
        <w:t>2050 auf 37 steigen</w:t>
      </w:r>
      <w:r w:rsidRPr="00E15CD2">
        <w:rPr>
          <w:rFonts w:ascii="Arial" w:hAnsi="Arial"/>
        </w:rPr>
        <w:t>. B</w:t>
      </w:r>
      <w:r w:rsidR="00F31483" w:rsidRPr="00E15CD2">
        <w:rPr>
          <w:rFonts w:ascii="Arial" w:hAnsi="Arial"/>
        </w:rPr>
        <w:t>is dahin werden Addis Abeba (Äthiopien), Daressalam (Tansania), Hajipur (Indien)</w:t>
      </w:r>
      <w:r w:rsidRPr="00E15CD2">
        <w:rPr>
          <w:rFonts w:ascii="Arial" w:hAnsi="Arial"/>
        </w:rPr>
        <w:t xml:space="preserve"> </w:t>
      </w:r>
      <w:r w:rsidR="00F31483" w:rsidRPr="00E15CD2">
        <w:rPr>
          <w:rFonts w:ascii="Arial" w:hAnsi="Arial"/>
        </w:rPr>
        <w:t>und Kuala Lumpur (Malaysia) die 10-Millionen-Einwohner-Marke überschritten haben.</w:t>
      </w:r>
      <w:r w:rsidR="007677F8">
        <w:rPr>
          <w:rFonts w:ascii="Arial" w:hAnsi="Arial"/>
        </w:rPr>
        <w:t xml:space="preserve"> </w:t>
      </w:r>
      <w:r w:rsidR="00E15CD2" w:rsidRPr="009625DE">
        <w:rPr>
          <w:rFonts w:ascii="Arial" w:hAnsi="Arial"/>
        </w:rPr>
        <w:t xml:space="preserve">Dhaka </w:t>
      </w:r>
      <w:r w:rsidR="009625DE" w:rsidRPr="009625DE">
        <w:rPr>
          <w:rFonts w:ascii="Arial" w:hAnsi="Arial"/>
        </w:rPr>
        <w:t xml:space="preserve">und </w:t>
      </w:r>
      <w:r w:rsidR="00E15CD2" w:rsidRPr="009625DE">
        <w:rPr>
          <w:rFonts w:ascii="Arial" w:hAnsi="Arial"/>
        </w:rPr>
        <w:t>Jakarta</w:t>
      </w:r>
      <w:r w:rsidR="009625DE" w:rsidRPr="009625DE">
        <w:rPr>
          <w:rFonts w:ascii="Arial" w:hAnsi="Arial"/>
        </w:rPr>
        <w:t xml:space="preserve"> </w:t>
      </w:r>
      <w:r w:rsidR="009625DE" w:rsidRPr="00A47F55">
        <w:rPr>
          <w:rFonts w:ascii="Arial" w:hAnsi="Arial"/>
        </w:rPr>
        <w:t>–</w:t>
      </w:r>
      <w:r w:rsidR="009625DE">
        <w:rPr>
          <w:rFonts w:ascii="Arial" w:hAnsi="Arial"/>
        </w:rPr>
        <w:t xml:space="preserve"> </w:t>
      </w:r>
      <w:r w:rsidR="00E15CD2" w:rsidRPr="009625DE">
        <w:rPr>
          <w:rFonts w:ascii="Arial" w:hAnsi="Arial"/>
        </w:rPr>
        <w:t xml:space="preserve">die Hauptstädte von Bangladesch bzw. Indonesien </w:t>
      </w:r>
      <w:r w:rsidR="009625DE" w:rsidRPr="00A47F55">
        <w:rPr>
          <w:rFonts w:ascii="Arial" w:hAnsi="Arial"/>
        </w:rPr>
        <w:t>–</w:t>
      </w:r>
      <w:r w:rsidR="009625DE">
        <w:rPr>
          <w:rFonts w:ascii="Arial" w:hAnsi="Arial"/>
        </w:rPr>
        <w:t xml:space="preserve"> w</w:t>
      </w:r>
      <w:r w:rsidR="00E15CD2" w:rsidRPr="009625DE">
        <w:rPr>
          <w:rFonts w:ascii="Arial" w:hAnsi="Arial"/>
        </w:rPr>
        <w:t xml:space="preserve">erden </w:t>
      </w:r>
      <w:r w:rsidR="001103F2">
        <w:rPr>
          <w:rFonts w:ascii="Arial" w:hAnsi="Arial"/>
        </w:rPr>
        <w:t>n</w:t>
      </w:r>
      <w:r w:rsidR="001103F2" w:rsidRPr="000967C0">
        <w:rPr>
          <w:rFonts w:ascii="Arial" w:hAnsi="Arial"/>
        </w:rPr>
        <w:t>ach</w:t>
      </w:r>
      <w:r w:rsidR="001103F2">
        <w:rPr>
          <w:rFonts w:ascii="Arial" w:hAnsi="Arial"/>
        </w:rPr>
        <w:t xml:space="preserve"> den</w:t>
      </w:r>
      <w:r w:rsidR="001103F2" w:rsidRPr="000967C0">
        <w:rPr>
          <w:rFonts w:ascii="Arial" w:hAnsi="Arial"/>
        </w:rPr>
        <w:t xml:space="preserve"> Vorausberechnungen </w:t>
      </w:r>
      <w:r w:rsidR="00E15CD2" w:rsidRPr="009625DE">
        <w:rPr>
          <w:rFonts w:ascii="Arial" w:hAnsi="Arial"/>
        </w:rPr>
        <w:t>dann mehr als 50 Millionen Einwohner haben</w:t>
      </w:r>
      <w:r w:rsidR="009625DE" w:rsidRPr="009625DE">
        <w:rPr>
          <w:rFonts w:ascii="Arial" w:hAnsi="Arial"/>
        </w:rPr>
        <w:t xml:space="preserve"> (52,1 bzw. 51,8 Mio.).</w:t>
      </w:r>
    </w:p>
    <w:p w14:paraId="1AAF591C" w14:textId="77777777" w:rsidR="007677F8" w:rsidRDefault="007677F8">
      <w:pPr>
        <w:rPr>
          <w:rFonts w:ascii="Arial" w:hAnsi="Arial"/>
        </w:rPr>
      </w:pPr>
    </w:p>
    <w:p w14:paraId="6B543E56" w14:textId="77777777" w:rsidR="00A914E9" w:rsidRDefault="00A914E9" w:rsidP="00A914E9">
      <w:pPr>
        <w:rPr>
          <w:rFonts w:ascii="Arial" w:hAnsi="Arial"/>
          <w:color w:val="FF0000"/>
          <w:lang w:val="en-GB"/>
        </w:rPr>
      </w:pPr>
      <w:r>
        <w:rPr>
          <w:rFonts w:ascii="Arial" w:hAnsi="Arial"/>
          <w:color w:val="FF0000"/>
          <w:lang w:val="en-GB"/>
        </w:rPr>
        <w:t>Datenquelle</w:t>
      </w:r>
    </w:p>
    <w:p w14:paraId="19E867E0" w14:textId="77777777" w:rsidR="00A914E9" w:rsidRPr="00FF67B5" w:rsidRDefault="00A914E9" w:rsidP="00A914E9">
      <w:pPr>
        <w:rPr>
          <w:rFonts w:ascii="Arial" w:hAnsi="Arial"/>
          <w:lang w:val="en-US"/>
        </w:rPr>
      </w:pPr>
    </w:p>
    <w:p w14:paraId="03E5AEF5" w14:textId="117BF509" w:rsidR="00A914E9" w:rsidRPr="00B17773" w:rsidRDefault="00A914E9" w:rsidP="00A914E9">
      <w:pPr>
        <w:rPr>
          <w:rFonts w:ascii="Arial" w:hAnsi="Arial"/>
          <w:lang w:val="en-US"/>
        </w:rPr>
      </w:pPr>
      <w:r w:rsidRPr="00B17773">
        <w:rPr>
          <w:rFonts w:ascii="Arial" w:hAnsi="Arial"/>
          <w:lang w:val="en-US"/>
        </w:rPr>
        <w:t>United Nations – Department of Economic and Social Affairs, Population Division (2025): World Urbanization Prospects 2025</w:t>
      </w:r>
      <w:r w:rsidR="001103F2" w:rsidRPr="00B17773">
        <w:rPr>
          <w:rFonts w:ascii="Arial" w:hAnsi="Arial"/>
          <w:lang w:val="en-US"/>
        </w:rPr>
        <w:t>;</w:t>
      </w:r>
      <w:r w:rsidR="00F31483" w:rsidRPr="00B17773">
        <w:rPr>
          <w:rFonts w:ascii="Arial" w:hAnsi="Arial"/>
          <w:lang w:val="en-US"/>
        </w:rPr>
        <w:t xml:space="preserve"> UN/DESA, Population Division (2014): World Urbanization Prospects: The 2014 Revision.</w:t>
      </w:r>
    </w:p>
    <w:p w14:paraId="1D75916C" w14:textId="77777777" w:rsidR="00A914E9" w:rsidRPr="00FF67B5" w:rsidRDefault="00A914E9" w:rsidP="00A914E9">
      <w:pPr>
        <w:rPr>
          <w:rFonts w:ascii="Arial" w:hAnsi="Arial"/>
          <w:lang w:val="en-US"/>
        </w:rPr>
      </w:pPr>
    </w:p>
    <w:p w14:paraId="42589A5A" w14:textId="77777777" w:rsidR="00A914E9" w:rsidRDefault="00A914E9" w:rsidP="00A914E9">
      <w:pPr>
        <w:rPr>
          <w:rFonts w:ascii="Arial" w:hAnsi="Arial"/>
          <w:color w:val="FF0000"/>
        </w:rPr>
      </w:pPr>
      <w:r>
        <w:rPr>
          <w:rFonts w:ascii="Arial" w:hAnsi="Arial"/>
          <w:color w:val="FF0000"/>
        </w:rPr>
        <w:t>Begriffe, methodische Anmerkungen oder Lesehilfen</w:t>
      </w:r>
    </w:p>
    <w:p w14:paraId="5C26386C" w14:textId="77777777" w:rsidR="00A914E9" w:rsidRPr="002D6F47" w:rsidRDefault="00A914E9" w:rsidP="00A914E9">
      <w:pPr>
        <w:rPr>
          <w:rFonts w:ascii="Arial" w:hAnsi="Arial"/>
        </w:rPr>
      </w:pPr>
    </w:p>
    <w:p w14:paraId="1AC4BD51" w14:textId="6DAC480A" w:rsidR="00EC4935" w:rsidRDefault="00A914E9" w:rsidP="00A914E9">
      <w:pPr>
        <w:rPr>
          <w:rFonts w:ascii="Arial" w:hAnsi="Arial" w:cs="Arial"/>
        </w:rPr>
      </w:pPr>
      <w:r w:rsidRPr="002D6F47">
        <w:rPr>
          <w:rFonts w:ascii="Arial" w:hAnsi="Arial" w:cs="Arial"/>
        </w:rPr>
        <w:t xml:space="preserve">Nach der Definition des </w:t>
      </w:r>
      <w:r w:rsidRPr="002D6F47">
        <w:rPr>
          <w:rFonts w:ascii="Arial" w:hAnsi="Arial"/>
        </w:rPr>
        <w:t>United Nations – Department of Economic and Social Affairs h</w:t>
      </w:r>
      <w:r w:rsidRPr="002D6F47">
        <w:rPr>
          <w:rFonts w:ascii="Arial" w:hAnsi="Arial" w:cs="Arial"/>
        </w:rPr>
        <w:t xml:space="preserve">at eine </w:t>
      </w:r>
      <w:r>
        <w:rPr>
          <w:rFonts w:ascii="Arial" w:hAnsi="Arial" w:cs="Arial"/>
          <w:b/>
          <w:bCs/>
        </w:rPr>
        <w:t>Großs</w:t>
      </w:r>
      <w:r w:rsidRPr="002D6F47">
        <w:rPr>
          <w:rFonts w:ascii="Arial" w:hAnsi="Arial" w:cs="Arial"/>
          <w:b/>
          <w:bCs/>
        </w:rPr>
        <w:t>tadt</w:t>
      </w:r>
      <w:r w:rsidRPr="002D6F47">
        <w:rPr>
          <w:rFonts w:ascii="Arial" w:hAnsi="Arial" w:cs="Arial"/>
        </w:rPr>
        <w:t xml:space="preserve"> mindestens 50.000 Einwohner und eine Bevölkerungsdichte von mindestens 1.500 Einwohnern je Quadratkilometer.</w:t>
      </w:r>
      <w:r w:rsidRPr="00FF67B5">
        <w:rPr>
          <w:rFonts w:ascii="Arial" w:hAnsi="Arial" w:cs="Arial"/>
        </w:rPr>
        <w:t xml:space="preserve"> </w:t>
      </w:r>
      <w:r>
        <w:rPr>
          <w:rFonts w:ascii="Arial" w:hAnsi="Arial" w:cs="Arial"/>
        </w:rPr>
        <w:t xml:space="preserve">Mit </w:t>
      </w:r>
      <w:r w:rsidRPr="00B41D60">
        <w:rPr>
          <w:rFonts w:ascii="Arial" w:hAnsi="Arial" w:cs="Arial"/>
          <w:b/>
          <w:bCs/>
        </w:rPr>
        <w:t>Stadtbevölkerung</w:t>
      </w:r>
      <w:r>
        <w:rPr>
          <w:rFonts w:ascii="Arial" w:hAnsi="Arial" w:cs="Arial"/>
        </w:rPr>
        <w:t xml:space="preserve"> ist im Text ausschließlich die Bevölkerung in Großstädten gemeint.</w:t>
      </w:r>
      <w:r w:rsidR="00EC4935">
        <w:rPr>
          <w:rFonts w:ascii="Arial" w:hAnsi="Arial" w:cs="Arial"/>
        </w:rPr>
        <w:t xml:space="preserve"> </w:t>
      </w:r>
      <w:r w:rsidRPr="001649EA">
        <w:rPr>
          <w:rFonts w:ascii="Arial" w:hAnsi="Arial" w:cs="Arial"/>
        </w:rPr>
        <w:t>In</w:t>
      </w:r>
      <w:r>
        <w:rPr>
          <w:rFonts w:ascii="Arial" w:hAnsi="Arial" w:cs="Arial"/>
          <w:b/>
          <w:bCs/>
        </w:rPr>
        <w:t xml:space="preserve"> Kleins</w:t>
      </w:r>
      <w:r w:rsidRPr="002D6F47">
        <w:rPr>
          <w:rFonts w:ascii="Arial" w:hAnsi="Arial" w:cs="Arial"/>
          <w:b/>
          <w:bCs/>
        </w:rPr>
        <w:t>t</w:t>
      </w:r>
      <w:r>
        <w:rPr>
          <w:rFonts w:ascii="Arial" w:hAnsi="Arial" w:cs="Arial"/>
          <w:b/>
          <w:bCs/>
        </w:rPr>
        <w:t>ä</w:t>
      </w:r>
      <w:r w:rsidRPr="002D6F47">
        <w:rPr>
          <w:rFonts w:ascii="Arial" w:hAnsi="Arial" w:cs="Arial"/>
          <w:b/>
          <w:bCs/>
        </w:rPr>
        <w:t>dt</w:t>
      </w:r>
      <w:r>
        <w:rPr>
          <w:rFonts w:ascii="Arial" w:hAnsi="Arial" w:cs="Arial"/>
          <w:b/>
          <w:bCs/>
        </w:rPr>
        <w:t xml:space="preserve">en bzw. </w:t>
      </w:r>
      <w:r w:rsidRPr="001649EA">
        <w:rPr>
          <w:rFonts w:ascii="Arial" w:hAnsi="Arial" w:cs="Arial"/>
          <w:b/>
          <w:bCs/>
        </w:rPr>
        <w:t>Gebiete</w:t>
      </w:r>
      <w:r>
        <w:rPr>
          <w:rFonts w:ascii="Arial" w:hAnsi="Arial" w:cs="Arial"/>
          <w:b/>
          <w:bCs/>
        </w:rPr>
        <w:t>n</w:t>
      </w:r>
      <w:r w:rsidRPr="001649EA">
        <w:rPr>
          <w:rFonts w:ascii="Arial" w:hAnsi="Arial" w:cs="Arial"/>
          <w:b/>
          <w:bCs/>
        </w:rPr>
        <w:t xml:space="preserve"> mit mittlerer Bevölkerungsdichte</w:t>
      </w:r>
      <w:r w:rsidRPr="002D6F47">
        <w:rPr>
          <w:rFonts w:ascii="Arial" w:hAnsi="Arial" w:cs="Arial"/>
        </w:rPr>
        <w:t xml:space="preserve"> </w:t>
      </w:r>
      <w:r>
        <w:rPr>
          <w:rFonts w:ascii="Arial" w:hAnsi="Arial" w:cs="Arial"/>
        </w:rPr>
        <w:t xml:space="preserve">leben zwischen </w:t>
      </w:r>
      <w:r w:rsidRPr="002D6F47">
        <w:rPr>
          <w:rFonts w:ascii="Arial" w:hAnsi="Arial" w:cs="Arial"/>
        </w:rPr>
        <w:t>5.000</w:t>
      </w:r>
      <w:r>
        <w:rPr>
          <w:rFonts w:ascii="Arial" w:hAnsi="Arial" w:cs="Arial"/>
        </w:rPr>
        <w:t xml:space="preserve"> und unter 50.000</w:t>
      </w:r>
      <w:r w:rsidRPr="002D6F47">
        <w:rPr>
          <w:rFonts w:ascii="Arial" w:hAnsi="Arial" w:cs="Arial"/>
        </w:rPr>
        <w:t xml:space="preserve"> Einwohner</w:t>
      </w:r>
      <w:r>
        <w:rPr>
          <w:rFonts w:ascii="Arial" w:hAnsi="Arial" w:cs="Arial"/>
        </w:rPr>
        <w:t xml:space="preserve">. Die </w:t>
      </w:r>
      <w:r w:rsidRPr="002D6F47">
        <w:rPr>
          <w:rFonts w:ascii="Arial" w:hAnsi="Arial" w:cs="Arial"/>
        </w:rPr>
        <w:t xml:space="preserve">Bevölkerungsdichte </w:t>
      </w:r>
      <w:r>
        <w:rPr>
          <w:rFonts w:ascii="Arial" w:hAnsi="Arial" w:cs="Arial"/>
        </w:rPr>
        <w:t xml:space="preserve">liegt bei </w:t>
      </w:r>
      <w:r w:rsidRPr="002D6F47">
        <w:rPr>
          <w:rFonts w:ascii="Arial" w:hAnsi="Arial" w:cs="Arial"/>
        </w:rPr>
        <w:t xml:space="preserve">mindestens </w:t>
      </w:r>
      <w:r>
        <w:rPr>
          <w:rFonts w:ascii="Arial" w:hAnsi="Arial" w:cs="Arial"/>
        </w:rPr>
        <w:t>3</w:t>
      </w:r>
      <w:r w:rsidRPr="002D6F47">
        <w:rPr>
          <w:rFonts w:ascii="Arial" w:hAnsi="Arial" w:cs="Arial"/>
        </w:rPr>
        <w:t>00 Einwohnern je Quadratkilometer.</w:t>
      </w:r>
    </w:p>
    <w:p w14:paraId="69345743" w14:textId="77777777" w:rsidR="005223DF" w:rsidRPr="005223DF" w:rsidRDefault="005223DF" w:rsidP="005223DF">
      <w:pPr>
        <w:rPr>
          <w:rFonts w:ascii="Arial" w:hAnsi="Arial"/>
        </w:rPr>
      </w:pPr>
    </w:p>
    <w:p w14:paraId="5C1F0B8C" w14:textId="77777777" w:rsidR="004831A6" w:rsidRDefault="009129D0" w:rsidP="009129D0">
      <w:pPr>
        <w:rPr>
          <w:rFonts w:ascii="Arial" w:hAnsi="Arial"/>
        </w:rPr>
      </w:pPr>
      <w:r w:rsidRPr="00473ABB">
        <w:rPr>
          <w:rFonts w:ascii="Arial" w:hAnsi="Arial" w:cs="Arial"/>
        </w:rPr>
        <w:t xml:space="preserve">Weiterführende Informationen zur </w:t>
      </w:r>
      <w:r>
        <w:rPr>
          <w:rFonts w:ascii="Arial" w:hAnsi="Arial" w:cs="Arial"/>
          <w:b/>
        </w:rPr>
        <w:t>Verstädterung</w:t>
      </w:r>
      <w:r w:rsidRPr="00473ABB">
        <w:rPr>
          <w:rFonts w:ascii="Arial" w:hAnsi="Arial" w:cs="Arial"/>
        </w:rPr>
        <w:t xml:space="preserve"> erhalten</w:t>
      </w:r>
      <w:r>
        <w:rPr>
          <w:rFonts w:ascii="Arial" w:hAnsi="Arial"/>
        </w:rPr>
        <w:t xml:space="preserve"> Sie hier</w:t>
      </w:r>
      <w:r w:rsidR="004831A6">
        <w:rPr>
          <w:rFonts w:ascii="Arial" w:hAnsi="Arial"/>
        </w:rPr>
        <w:t>:</w:t>
      </w:r>
    </w:p>
    <w:p w14:paraId="036CACE6" w14:textId="77777777" w:rsidR="009129D0" w:rsidRDefault="009129D0" w:rsidP="005223DF">
      <w:pPr>
        <w:rPr>
          <w:rFonts w:ascii="Arial" w:hAnsi="Arial"/>
        </w:rPr>
      </w:pPr>
      <w:hyperlink r:id="rId7" w:history="1">
        <w:r w:rsidRPr="008D25EA">
          <w:rPr>
            <w:rStyle w:val="Hyperlink"/>
            <w:rFonts w:ascii="Arial" w:hAnsi="Arial"/>
          </w:rPr>
          <w:t>http://www.bpb.de/52705</w:t>
        </w:r>
      </w:hyperlink>
    </w:p>
    <w:p w14:paraId="7B31A860" w14:textId="77777777" w:rsidR="009129D0" w:rsidRDefault="009129D0" w:rsidP="005223DF">
      <w:pPr>
        <w:rPr>
          <w:rFonts w:ascii="Arial" w:hAnsi="Arial"/>
        </w:rPr>
      </w:pPr>
    </w:p>
    <w:p w14:paraId="143A17C0" w14:textId="77777777" w:rsidR="005C2AB4" w:rsidRPr="00D83506" w:rsidRDefault="005C2AB4" w:rsidP="005C2AB4">
      <w:pPr>
        <w:rPr>
          <w:rFonts w:ascii="Arial" w:hAnsi="Arial"/>
          <w:sz w:val="20"/>
          <w:szCs w:val="20"/>
        </w:rPr>
      </w:pPr>
      <w:r>
        <w:rPr>
          <w:rFonts w:ascii="Arial" w:hAnsi="Arial"/>
          <w:sz w:val="20"/>
          <w:szCs w:val="20"/>
        </w:rPr>
        <w:t>D</w:t>
      </w:r>
      <w:r w:rsidRPr="00D83506">
        <w:rPr>
          <w:rFonts w:ascii="Arial" w:hAnsi="Arial"/>
          <w:sz w:val="20"/>
          <w:szCs w:val="20"/>
        </w:rPr>
        <w:t xml:space="preserve">ieser Text ist unter der Creative Commons Lizenz CC BY-NC-ND 4.0 veröffentlicht. </w:t>
      </w:r>
    </w:p>
    <w:p w14:paraId="5A005ACE" w14:textId="748DF24B" w:rsidR="00180F4E" w:rsidRPr="005C2AB4" w:rsidRDefault="005C2AB4" w:rsidP="005C2AB4">
      <w:pPr>
        <w:rPr>
          <w:rFonts w:ascii="Arial" w:hAnsi="Arial"/>
          <w:sz w:val="20"/>
          <w:szCs w:val="20"/>
        </w:rPr>
      </w:pPr>
      <w:r>
        <w:rPr>
          <w:rFonts w:ascii="Arial" w:hAnsi="Arial"/>
          <w:sz w:val="20"/>
          <w:szCs w:val="20"/>
        </w:rPr>
        <w:t xml:space="preserve">Bundeszentrale für politische Bildung 2025 | </w:t>
      </w:r>
      <w:hyperlink r:id="rId8" w:history="1">
        <w:r w:rsidRPr="00595F8B">
          <w:rPr>
            <w:rFonts w:ascii="Arial" w:hAnsi="Arial"/>
            <w:sz w:val="20"/>
            <w:szCs w:val="20"/>
          </w:rPr>
          <w:t>www.bpb.de</w:t>
        </w:r>
      </w:hyperlink>
    </w:p>
    <w:sectPr w:rsidR="00180F4E" w:rsidRPr="005C2AB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97CD4" w14:textId="77777777" w:rsidR="008D3D33" w:rsidRDefault="008D3D33" w:rsidP="001420AF">
      <w:r>
        <w:separator/>
      </w:r>
    </w:p>
  </w:endnote>
  <w:endnote w:type="continuationSeparator" w:id="0">
    <w:p w14:paraId="63FD05EF" w14:textId="77777777" w:rsidR="008D3D33" w:rsidRDefault="008D3D33" w:rsidP="00142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F985E" w14:textId="77777777" w:rsidR="008D3D33" w:rsidRDefault="008D3D33" w:rsidP="001420AF">
      <w:r>
        <w:separator/>
      </w:r>
    </w:p>
  </w:footnote>
  <w:footnote w:type="continuationSeparator" w:id="0">
    <w:p w14:paraId="2A253EA3" w14:textId="77777777" w:rsidR="008D3D33" w:rsidRDefault="008D3D33" w:rsidP="001420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A976F9"/>
    <w:multiLevelType w:val="hybridMultilevel"/>
    <w:tmpl w:val="CF9E96A6"/>
    <w:lvl w:ilvl="0" w:tplc="D28E2B42">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8A84EDD"/>
    <w:multiLevelType w:val="hybridMultilevel"/>
    <w:tmpl w:val="55867C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60656146">
    <w:abstractNumId w:val="0"/>
  </w:num>
  <w:num w:numId="2" w16cid:durableId="10683347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A49"/>
    <w:rsid w:val="00044DC0"/>
    <w:rsid w:val="000527EB"/>
    <w:rsid w:val="00072CD3"/>
    <w:rsid w:val="000A3A49"/>
    <w:rsid w:val="000E51B9"/>
    <w:rsid w:val="001103F2"/>
    <w:rsid w:val="00126934"/>
    <w:rsid w:val="00131BFE"/>
    <w:rsid w:val="00134643"/>
    <w:rsid w:val="001420AF"/>
    <w:rsid w:val="00180F4E"/>
    <w:rsid w:val="001A691D"/>
    <w:rsid w:val="00201BD4"/>
    <w:rsid w:val="00203BF8"/>
    <w:rsid w:val="00220DE7"/>
    <w:rsid w:val="0026111C"/>
    <w:rsid w:val="00263556"/>
    <w:rsid w:val="00286917"/>
    <w:rsid w:val="00300463"/>
    <w:rsid w:val="003201EE"/>
    <w:rsid w:val="0032267E"/>
    <w:rsid w:val="00330661"/>
    <w:rsid w:val="0039539C"/>
    <w:rsid w:val="003E79E0"/>
    <w:rsid w:val="00431F67"/>
    <w:rsid w:val="0045525C"/>
    <w:rsid w:val="004831A6"/>
    <w:rsid w:val="004A127D"/>
    <w:rsid w:val="004C476A"/>
    <w:rsid w:val="004E31CF"/>
    <w:rsid w:val="005223DF"/>
    <w:rsid w:val="00536FAE"/>
    <w:rsid w:val="00564805"/>
    <w:rsid w:val="005C2AB4"/>
    <w:rsid w:val="005C2F61"/>
    <w:rsid w:val="005D51FD"/>
    <w:rsid w:val="0060705A"/>
    <w:rsid w:val="00612528"/>
    <w:rsid w:val="00615C46"/>
    <w:rsid w:val="00631AC0"/>
    <w:rsid w:val="00636A98"/>
    <w:rsid w:val="0064185A"/>
    <w:rsid w:val="00662A6E"/>
    <w:rsid w:val="006B4AFA"/>
    <w:rsid w:val="006D651B"/>
    <w:rsid w:val="00700673"/>
    <w:rsid w:val="00724237"/>
    <w:rsid w:val="0073579B"/>
    <w:rsid w:val="007358F8"/>
    <w:rsid w:val="00756107"/>
    <w:rsid w:val="007677F8"/>
    <w:rsid w:val="00781290"/>
    <w:rsid w:val="00786A6A"/>
    <w:rsid w:val="007C2226"/>
    <w:rsid w:val="007C468A"/>
    <w:rsid w:val="007D33F2"/>
    <w:rsid w:val="007F3745"/>
    <w:rsid w:val="00810EAE"/>
    <w:rsid w:val="00816AC7"/>
    <w:rsid w:val="008245E1"/>
    <w:rsid w:val="00830E76"/>
    <w:rsid w:val="00853A06"/>
    <w:rsid w:val="00865A06"/>
    <w:rsid w:val="008A407D"/>
    <w:rsid w:val="008B377D"/>
    <w:rsid w:val="008B65F1"/>
    <w:rsid w:val="008D3D33"/>
    <w:rsid w:val="00911713"/>
    <w:rsid w:val="009129D0"/>
    <w:rsid w:val="00927A00"/>
    <w:rsid w:val="00937601"/>
    <w:rsid w:val="009625DE"/>
    <w:rsid w:val="009A0E26"/>
    <w:rsid w:val="009B7D8A"/>
    <w:rsid w:val="00A47F55"/>
    <w:rsid w:val="00A6001E"/>
    <w:rsid w:val="00A914E9"/>
    <w:rsid w:val="00AB6098"/>
    <w:rsid w:val="00AE5228"/>
    <w:rsid w:val="00AF4971"/>
    <w:rsid w:val="00B17773"/>
    <w:rsid w:val="00B5307A"/>
    <w:rsid w:val="00B8493F"/>
    <w:rsid w:val="00BA4827"/>
    <w:rsid w:val="00BB7628"/>
    <w:rsid w:val="00BD4E6A"/>
    <w:rsid w:val="00C05352"/>
    <w:rsid w:val="00C66007"/>
    <w:rsid w:val="00C9275C"/>
    <w:rsid w:val="00CB177F"/>
    <w:rsid w:val="00CC26CB"/>
    <w:rsid w:val="00DA0F9D"/>
    <w:rsid w:val="00DB3EB4"/>
    <w:rsid w:val="00DC3D3C"/>
    <w:rsid w:val="00DF576B"/>
    <w:rsid w:val="00E15CD2"/>
    <w:rsid w:val="00E15FA7"/>
    <w:rsid w:val="00E216E4"/>
    <w:rsid w:val="00E7160E"/>
    <w:rsid w:val="00EA1C23"/>
    <w:rsid w:val="00EC4935"/>
    <w:rsid w:val="00ED77E6"/>
    <w:rsid w:val="00F02E43"/>
    <w:rsid w:val="00F125B1"/>
    <w:rsid w:val="00F155AF"/>
    <w:rsid w:val="00F31483"/>
    <w:rsid w:val="00F44BA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C14738"/>
  <w15:docId w15:val="{E8A71CA0-8C68-4323-B8AE-E069EB78D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15FA7"/>
    <w:rPr>
      <w:sz w:val="24"/>
      <w:szCs w:val="24"/>
    </w:rPr>
  </w:style>
  <w:style w:type="paragraph" w:styleId="berschrift3">
    <w:name w:val="heading 3"/>
    <w:basedOn w:val="Standard"/>
    <w:next w:val="Standard"/>
    <w:qFormat/>
    <w:pPr>
      <w:keepNext/>
      <w:spacing w:before="240" w:after="60"/>
      <w:outlineLvl w:val="2"/>
    </w:pPr>
    <w:rPr>
      <w:rFonts w:ascii="Arial" w:hAnsi="Arial" w:cs="Arial"/>
      <w:b/>
      <w:bCs/>
      <w:sz w:val="26"/>
      <w:szCs w:val="26"/>
    </w:rPr>
  </w:style>
  <w:style w:type="paragraph" w:styleId="berschrift4">
    <w:name w:val="heading 4"/>
    <w:basedOn w:val="Standard"/>
    <w:next w:val="Standard"/>
    <w:qFormat/>
    <w:pPr>
      <w:keepNext/>
      <w:overflowPunct w:val="0"/>
      <w:autoSpaceDE w:val="0"/>
      <w:autoSpaceDN w:val="0"/>
      <w:adjustRightInd w:val="0"/>
      <w:jc w:val="center"/>
      <w:textAlignment w:val="baseline"/>
      <w:outlineLvl w:val="3"/>
    </w:pPr>
    <w:rPr>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unotenzeichen">
    <w:name w:val="footnote reference"/>
    <w:semiHidden/>
    <w:rPr>
      <w:vertAlign w:val="superscript"/>
    </w:rPr>
  </w:style>
  <w:style w:type="paragraph" w:styleId="Funotentext">
    <w:name w:val="footnote text"/>
    <w:basedOn w:val="Standard"/>
    <w:semiHidden/>
    <w:pPr>
      <w:overflowPunct w:val="0"/>
      <w:autoSpaceDE w:val="0"/>
      <w:autoSpaceDN w:val="0"/>
      <w:adjustRightInd w:val="0"/>
      <w:textAlignment w:val="baseline"/>
    </w:pPr>
    <w:rPr>
      <w:sz w:val="20"/>
      <w:szCs w:val="20"/>
    </w:rPr>
  </w:style>
  <w:style w:type="paragraph" w:styleId="Fuzeile">
    <w:name w:val="footer"/>
    <w:basedOn w:val="Standard"/>
    <w:semiHidden/>
    <w:pPr>
      <w:tabs>
        <w:tab w:val="center" w:pos="4536"/>
        <w:tab w:val="right" w:pos="9072"/>
      </w:tabs>
      <w:overflowPunct w:val="0"/>
      <w:autoSpaceDE w:val="0"/>
      <w:autoSpaceDN w:val="0"/>
      <w:adjustRightInd w:val="0"/>
      <w:textAlignment w:val="baseline"/>
    </w:pPr>
    <w:rPr>
      <w:szCs w:val="20"/>
    </w:rPr>
  </w:style>
  <w:style w:type="paragraph" w:customStyle="1" w:styleId="Textkrper21">
    <w:name w:val="Textkörper 21"/>
    <w:basedOn w:val="Standard"/>
    <w:pPr>
      <w:overflowPunct w:val="0"/>
      <w:autoSpaceDE w:val="0"/>
      <w:autoSpaceDN w:val="0"/>
      <w:adjustRightInd w:val="0"/>
      <w:spacing w:line="480" w:lineRule="auto"/>
      <w:textAlignment w:val="baseline"/>
    </w:pPr>
    <w:rPr>
      <w:b/>
      <w:szCs w:val="20"/>
    </w:rPr>
  </w:style>
  <w:style w:type="paragraph" w:styleId="StandardWeb">
    <w:name w:val="Normal (Web)"/>
    <w:basedOn w:val="Standard"/>
    <w:pPr>
      <w:spacing w:before="100" w:beforeAutospacing="1" w:after="100" w:afterAutospacing="1"/>
    </w:pPr>
  </w:style>
  <w:style w:type="character" w:styleId="Hyperlink">
    <w:name w:val="Hyperlink"/>
    <w:semiHidden/>
    <w:rPr>
      <w:color w:val="0000FF"/>
      <w:u w:val="single"/>
    </w:rPr>
  </w:style>
  <w:style w:type="character" w:customStyle="1" w:styleId="spaced">
    <w:name w:val="spaced"/>
    <w:basedOn w:val="Absatz-Standardschriftart"/>
  </w:style>
  <w:style w:type="character" w:customStyle="1" w:styleId="caps">
    <w:name w:val="caps"/>
    <w:basedOn w:val="Absatz-Standardschriftart"/>
  </w:style>
  <w:style w:type="paragraph" w:styleId="Textkrper">
    <w:name w:val="Body Text"/>
    <w:basedOn w:val="Standard"/>
    <w:semiHidden/>
    <w:rPr>
      <w:rFonts w:ascii="Arial" w:hAnsi="Arial"/>
      <w:i/>
    </w:rPr>
  </w:style>
  <w:style w:type="character" w:styleId="Kommentarzeichen">
    <w:name w:val="annotation reference"/>
    <w:semiHidden/>
    <w:rPr>
      <w:sz w:val="16"/>
    </w:rPr>
  </w:style>
  <w:style w:type="paragraph" w:styleId="Kommentartext">
    <w:name w:val="annotation text"/>
    <w:basedOn w:val="Standard"/>
    <w:link w:val="KommentartextZchn"/>
    <w:semiHidden/>
    <w:rPr>
      <w:sz w:val="20"/>
    </w:rPr>
  </w:style>
  <w:style w:type="paragraph" w:styleId="Sprechblasentext">
    <w:name w:val="Balloon Text"/>
    <w:basedOn w:val="Standard"/>
    <w:semiHidden/>
    <w:rPr>
      <w:rFonts w:ascii="Tahoma" w:hAnsi="Tahoma" w:cs="Tahoma"/>
      <w:sz w:val="16"/>
      <w:szCs w:val="16"/>
    </w:rPr>
  </w:style>
  <w:style w:type="character" w:styleId="Fett">
    <w:name w:val="Strong"/>
    <w:basedOn w:val="Absatz-Standardschriftart"/>
    <w:uiPriority w:val="22"/>
    <w:qFormat/>
    <w:rsid w:val="009129D0"/>
    <w:rPr>
      <w:b/>
      <w:bCs/>
    </w:rPr>
  </w:style>
  <w:style w:type="paragraph" w:styleId="Kommentarthema">
    <w:name w:val="annotation subject"/>
    <w:basedOn w:val="Kommentartext"/>
    <w:next w:val="Kommentartext"/>
    <w:link w:val="KommentarthemaZchn"/>
    <w:uiPriority w:val="99"/>
    <w:semiHidden/>
    <w:unhideWhenUsed/>
    <w:rsid w:val="00B8493F"/>
    <w:rPr>
      <w:b/>
      <w:bCs/>
      <w:szCs w:val="20"/>
    </w:rPr>
  </w:style>
  <w:style w:type="character" w:customStyle="1" w:styleId="KommentartextZchn">
    <w:name w:val="Kommentartext Zchn"/>
    <w:basedOn w:val="Absatz-Standardschriftart"/>
    <w:link w:val="Kommentartext"/>
    <w:semiHidden/>
    <w:rsid w:val="00B8493F"/>
    <w:rPr>
      <w:szCs w:val="24"/>
    </w:rPr>
  </w:style>
  <w:style w:type="character" w:customStyle="1" w:styleId="KommentarthemaZchn">
    <w:name w:val="Kommentarthema Zchn"/>
    <w:basedOn w:val="KommentartextZchn"/>
    <w:link w:val="Kommentarthema"/>
    <w:uiPriority w:val="99"/>
    <w:semiHidden/>
    <w:rsid w:val="00B8493F"/>
    <w:rPr>
      <w:b/>
      <w:bCs/>
      <w:szCs w:val="24"/>
    </w:rPr>
  </w:style>
  <w:style w:type="paragraph" w:styleId="Kopfzeile">
    <w:name w:val="header"/>
    <w:basedOn w:val="Standard"/>
    <w:link w:val="KopfzeileZchn"/>
    <w:uiPriority w:val="99"/>
    <w:unhideWhenUsed/>
    <w:rsid w:val="001420AF"/>
    <w:pPr>
      <w:tabs>
        <w:tab w:val="center" w:pos="4536"/>
        <w:tab w:val="right" w:pos="9072"/>
      </w:tabs>
    </w:pPr>
  </w:style>
  <w:style w:type="character" w:customStyle="1" w:styleId="KopfzeileZchn">
    <w:name w:val="Kopfzeile Zchn"/>
    <w:basedOn w:val="Absatz-Standardschriftart"/>
    <w:link w:val="Kopfzeile"/>
    <w:uiPriority w:val="99"/>
    <w:rsid w:val="001420AF"/>
    <w:rPr>
      <w:sz w:val="24"/>
      <w:szCs w:val="24"/>
    </w:rPr>
  </w:style>
  <w:style w:type="paragraph" w:styleId="Listenabsatz">
    <w:name w:val="List Paragraph"/>
    <w:basedOn w:val="Standard"/>
    <w:uiPriority w:val="34"/>
    <w:qFormat/>
    <w:rsid w:val="00A914E9"/>
    <w:pPr>
      <w:ind w:left="720"/>
      <w:contextualSpacing/>
    </w:pPr>
  </w:style>
  <w:style w:type="paragraph" w:styleId="berarbeitung">
    <w:name w:val="Revision"/>
    <w:hidden/>
    <w:uiPriority w:val="99"/>
    <w:semiHidden/>
    <w:rsid w:val="00B1777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pb.de" TargetMode="External"/><Relationship Id="rId3" Type="http://schemas.openxmlformats.org/officeDocument/2006/relationships/settings" Target="settings.xml"/><Relationship Id="rId7" Type="http://schemas.openxmlformats.org/officeDocument/2006/relationships/hyperlink" Target="http://www.bpb.de/5270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651</Words>
  <Characters>4104</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Christian Hartmann</cp:lastModifiedBy>
  <cp:revision>3</cp:revision>
  <dcterms:created xsi:type="dcterms:W3CDTF">2026-09-16T09:17:00Z</dcterms:created>
  <dcterms:modified xsi:type="dcterms:W3CDTF">2026-10-10T18:44:00Z</dcterms:modified>
</cp:coreProperties>
</file>