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8FCB" w14:textId="77777777" w:rsidR="00525B0E" w:rsidRPr="004147C4" w:rsidRDefault="00525B0E" w:rsidP="004147C4">
      <w:pPr>
        <w:pStyle w:val="Listenabsatz"/>
        <w:numPr>
          <w:ilvl w:val="0"/>
          <w:numId w:val="1"/>
        </w:numPr>
        <w:tabs>
          <w:tab w:val="left" w:pos="3060"/>
        </w:tabs>
        <w:rPr>
          <w:rFonts w:ascii="Arial" w:hAnsi="Arial"/>
          <w:b/>
        </w:rPr>
      </w:pPr>
      <w:r w:rsidRPr="004147C4">
        <w:rPr>
          <w:rFonts w:ascii="Arial" w:hAnsi="Arial"/>
          <w:b/>
        </w:rPr>
        <w:t>Der Primärenergie-Verbrauch ist in allen Regionen der Welt gestiegen. Im Mittleren Osten lag er 2023 knapp 16-mal und in Asien etwa 10-mal höher als 1970.</w:t>
      </w:r>
    </w:p>
    <w:p w14:paraId="439C3237" w14:textId="77777777" w:rsidR="00525B0E" w:rsidRPr="004147C4" w:rsidRDefault="00525B0E" w:rsidP="004D1BB9">
      <w:pPr>
        <w:tabs>
          <w:tab w:val="left" w:pos="3060"/>
        </w:tabs>
        <w:rPr>
          <w:rFonts w:ascii="Arial" w:hAnsi="Arial"/>
          <w:b/>
        </w:rPr>
      </w:pPr>
    </w:p>
    <w:p w14:paraId="5A3F4F28" w14:textId="77777777" w:rsidR="00525B0E" w:rsidRPr="00277B75" w:rsidRDefault="00525B0E" w:rsidP="004147C4">
      <w:pPr>
        <w:pStyle w:val="Listenabsatz"/>
        <w:numPr>
          <w:ilvl w:val="0"/>
          <w:numId w:val="1"/>
        </w:numPr>
        <w:tabs>
          <w:tab w:val="left" w:pos="3060"/>
        </w:tabs>
        <w:rPr>
          <w:rFonts w:ascii="Arial" w:hAnsi="Arial"/>
          <w:b/>
        </w:rPr>
      </w:pPr>
      <w:r w:rsidRPr="00277B75">
        <w:rPr>
          <w:rFonts w:ascii="Arial" w:hAnsi="Arial"/>
          <w:b/>
        </w:rPr>
        <w:t>Der Anteil Asiens am weltweiten Primärenergie-Verbrauch erhöhte sich zwischen 1970 und 2023 von 14,8 auf 47,1 Prozent.</w:t>
      </w:r>
      <w:r w:rsidR="00277B75" w:rsidRPr="00277B75">
        <w:rPr>
          <w:rFonts w:ascii="Arial" w:hAnsi="Arial"/>
          <w:b/>
        </w:rPr>
        <w:t xml:space="preserve"> </w:t>
      </w:r>
      <w:r w:rsidRPr="00277B75">
        <w:rPr>
          <w:rFonts w:ascii="Arial" w:hAnsi="Arial"/>
          <w:b/>
        </w:rPr>
        <w:t>Auch die Anteile des Mittleren Ostens, Afrikas sowie Mittel- und Südamerikas haben sich in diesem Zeitraum erhöht.</w:t>
      </w:r>
    </w:p>
    <w:p w14:paraId="49CC8FF1" w14:textId="77777777" w:rsidR="00525B0E" w:rsidRPr="004147C4" w:rsidRDefault="00525B0E" w:rsidP="00525B0E">
      <w:pPr>
        <w:tabs>
          <w:tab w:val="left" w:pos="3060"/>
        </w:tabs>
        <w:rPr>
          <w:rFonts w:ascii="Arial" w:hAnsi="Arial"/>
          <w:b/>
        </w:rPr>
      </w:pPr>
    </w:p>
    <w:p w14:paraId="47BAE54B" w14:textId="77777777" w:rsidR="00525B0E" w:rsidRPr="004147C4" w:rsidRDefault="00525B0E" w:rsidP="004147C4">
      <w:pPr>
        <w:pStyle w:val="Listenabsatz"/>
        <w:numPr>
          <w:ilvl w:val="0"/>
          <w:numId w:val="1"/>
        </w:numPr>
        <w:tabs>
          <w:tab w:val="left" w:pos="3060"/>
        </w:tabs>
        <w:rPr>
          <w:rFonts w:ascii="Arial" w:hAnsi="Arial"/>
          <w:b/>
        </w:rPr>
      </w:pPr>
      <w:r w:rsidRPr="004147C4">
        <w:rPr>
          <w:rFonts w:ascii="Arial" w:hAnsi="Arial"/>
          <w:b/>
        </w:rPr>
        <w:t xml:space="preserve">Hingegen haben sich die Anteile der GUS und Europas </w:t>
      </w:r>
      <w:r w:rsidR="004147C4" w:rsidRPr="004147C4">
        <w:rPr>
          <w:rFonts w:ascii="Arial" w:hAnsi="Arial"/>
          <w:b/>
        </w:rPr>
        <w:t xml:space="preserve">am weltweiten Primärenergie-Verbrauch </w:t>
      </w:r>
      <w:r w:rsidRPr="004147C4">
        <w:rPr>
          <w:rFonts w:ascii="Arial" w:hAnsi="Arial"/>
          <w:b/>
        </w:rPr>
        <w:t>von 1970 bis 2023 mehr als halbiert. Und der Anteil Nordamerikas fiel in dieser Zeit von rund 36 auf 19 Prozent.</w:t>
      </w:r>
    </w:p>
    <w:p w14:paraId="67FB58CB" w14:textId="77777777" w:rsidR="00525B0E" w:rsidRDefault="00525B0E" w:rsidP="004D1BB9">
      <w:pPr>
        <w:tabs>
          <w:tab w:val="left" w:pos="3060"/>
        </w:tabs>
        <w:rPr>
          <w:rFonts w:ascii="Arial" w:hAnsi="Arial"/>
        </w:rPr>
      </w:pPr>
    </w:p>
    <w:p w14:paraId="308A48D3" w14:textId="77777777" w:rsidR="00F62D5A" w:rsidRDefault="00FA6E23">
      <w:pPr>
        <w:tabs>
          <w:tab w:val="left" w:pos="3060"/>
        </w:tabs>
        <w:rPr>
          <w:rFonts w:ascii="Arial" w:hAnsi="Arial"/>
          <w:color w:val="FF0000"/>
        </w:rPr>
      </w:pPr>
      <w:r w:rsidRPr="00117627">
        <w:rPr>
          <w:rFonts w:ascii="Arial" w:hAnsi="Arial"/>
          <w:color w:val="FF0000"/>
        </w:rPr>
        <w:t>Fakten</w:t>
      </w:r>
    </w:p>
    <w:p w14:paraId="4418A1C4" w14:textId="77777777" w:rsidR="00FA6E23" w:rsidRPr="00A4570A" w:rsidRDefault="00FA6E23">
      <w:pPr>
        <w:tabs>
          <w:tab w:val="left" w:pos="3060"/>
        </w:tabs>
        <w:rPr>
          <w:rFonts w:ascii="Arial" w:hAnsi="Arial"/>
        </w:rPr>
      </w:pPr>
    </w:p>
    <w:p w14:paraId="0002B140" w14:textId="77777777" w:rsidR="00D53EF0" w:rsidRDefault="00EE4461">
      <w:pPr>
        <w:tabs>
          <w:tab w:val="left" w:pos="3060"/>
        </w:tabs>
        <w:rPr>
          <w:rFonts w:ascii="Arial" w:hAnsi="Arial"/>
        </w:rPr>
      </w:pPr>
      <w:r w:rsidRPr="00A4570A">
        <w:rPr>
          <w:rFonts w:ascii="Arial" w:hAnsi="Arial"/>
        </w:rPr>
        <w:t>Der weltweite Verbrauch an Primärenergie</w:t>
      </w:r>
      <w:r w:rsidR="00A4570A" w:rsidRPr="00A4570A">
        <w:rPr>
          <w:rFonts w:ascii="Arial" w:hAnsi="Arial"/>
        </w:rPr>
        <w:t xml:space="preserve"> hat sich zwischen </w:t>
      </w:r>
      <w:r w:rsidRPr="00A4570A">
        <w:rPr>
          <w:rFonts w:ascii="Arial" w:hAnsi="Arial"/>
        </w:rPr>
        <w:t>1970 und 20</w:t>
      </w:r>
      <w:r w:rsidR="00A4570A" w:rsidRPr="00A4570A">
        <w:rPr>
          <w:rFonts w:ascii="Arial" w:hAnsi="Arial"/>
        </w:rPr>
        <w:t>23</w:t>
      </w:r>
      <w:r w:rsidRPr="00A4570A">
        <w:rPr>
          <w:rFonts w:ascii="Arial" w:hAnsi="Arial"/>
        </w:rPr>
        <w:t xml:space="preserve"> </w:t>
      </w:r>
      <w:r w:rsidR="00A4570A" w:rsidRPr="00A4570A">
        <w:rPr>
          <w:rFonts w:ascii="Arial" w:hAnsi="Arial"/>
        </w:rPr>
        <w:t xml:space="preserve">verdreifacht und stieg </w:t>
      </w:r>
      <w:r w:rsidRPr="00A4570A">
        <w:rPr>
          <w:rFonts w:ascii="Arial" w:hAnsi="Arial"/>
        </w:rPr>
        <w:t xml:space="preserve">von </w:t>
      </w:r>
      <w:r w:rsidR="00A4570A" w:rsidRPr="00A4570A">
        <w:rPr>
          <w:rFonts w:ascii="Arial" w:hAnsi="Arial"/>
        </w:rPr>
        <w:t>205,8 auf 619,6 Exajoule (1 Exajoule entspricht etwa 278 Terawattstunden).</w:t>
      </w:r>
      <w:r w:rsidR="00A10D87">
        <w:rPr>
          <w:rFonts w:ascii="Arial" w:hAnsi="Arial"/>
        </w:rPr>
        <w:t xml:space="preserve"> A</w:t>
      </w:r>
      <w:r w:rsidRPr="00A10D87">
        <w:rPr>
          <w:rFonts w:ascii="Arial" w:hAnsi="Arial"/>
        </w:rPr>
        <w:t xml:space="preserve">uch wenn der Primärenergie-Verbrauch in allen Regionen gestiegen ist, sind nicht alle Regionen gleichermaßen für die weltweite Zunahme verantwortlich. Im </w:t>
      </w:r>
      <w:r w:rsidR="007B3951" w:rsidRPr="00A10D87">
        <w:rPr>
          <w:rFonts w:ascii="Arial" w:hAnsi="Arial"/>
        </w:rPr>
        <w:t xml:space="preserve">Mittleren Osten hat sich </w:t>
      </w:r>
      <w:r w:rsidRPr="00A10D87">
        <w:rPr>
          <w:rFonts w:ascii="Arial" w:hAnsi="Arial"/>
        </w:rPr>
        <w:t xml:space="preserve">der Primärenergie-Verbrauch </w:t>
      </w:r>
      <w:r w:rsidR="007B3951" w:rsidRPr="00A10D87">
        <w:rPr>
          <w:rFonts w:ascii="Arial" w:hAnsi="Arial"/>
        </w:rPr>
        <w:t>zwischen 1970 und 20</w:t>
      </w:r>
      <w:r w:rsidR="009F4E83" w:rsidRPr="00A10D87">
        <w:rPr>
          <w:rFonts w:ascii="Arial" w:hAnsi="Arial"/>
        </w:rPr>
        <w:t>23</w:t>
      </w:r>
      <w:r w:rsidR="007B3951" w:rsidRPr="00A10D87">
        <w:rPr>
          <w:rFonts w:ascii="Arial" w:hAnsi="Arial"/>
        </w:rPr>
        <w:t xml:space="preserve"> </w:t>
      </w:r>
      <w:r w:rsidR="009F4E83" w:rsidRPr="00A10D87">
        <w:rPr>
          <w:rFonts w:ascii="Arial" w:hAnsi="Arial"/>
        </w:rPr>
        <w:t xml:space="preserve">knapp </w:t>
      </w:r>
      <w:proofErr w:type="spellStart"/>
      <w:r w:rsidR="007B3951" w:rsidRPr="00A10D87">
        <w:rPr>
          <w:rFonts w:ascii="Arial" w:hAnsi="Arial"/>
        </w:rPr>
        <w:t>ver</w:t>
      </w:r>
      <w:r w:rsidR="009F4E83" w:rsidRPr="00A10D87">
        <w:rPr>
          <w:rFonts w:ascii="Arial" w:hAnsi="Arial"/>
        </w:rPr>
        <w:t>sechzehn</w:t>
      </w:r>
      <w:r w:rsidR="007B3951" w:rsidRPr="00A10D87">
        <w:rPr>
          <w:rFonts w:ascii="Arial" w:hAnsi="Arial"/>
        </w:rPr>
        <w:t>facht</w:t>
      </w:r>
      <w:proofErr w:type="spellEnd"/>
      <w:r w:rsidR="007B3951" w:rsidRPr="00A10D87">
        <w:rPr>
          <w:rFonts w:ascii="Arial" w:hAnsi="Arial"/>
        </w:rPr>
        <w:t xml:space="preserve"> (</w:t>
      </w:r>
      <w:r w:rsidR="009F4E83" w:rsidRPr="00A10D87">
        <w:rPr>
          <w:rFonts w:ascii="Arial" w:hAnsi="Arial"/>
        </w:rPr>
        <w:t>Faktor 15,9</w:t>
      </w:r>
      <w:r w:rsidR="007B3951" w:rsidRPr="00A10D87">
        <w:rPr>
          <w:rFonts w:ascii="Arial" w:hAnsi="Arial"/>
        </w:rPr>
        <w:t>)</w:t>
      </w:r>
      <w:r w:rsidR="009F4E83" w:rsidRPr="00A10D87">
        <w:rPr>
          <w:rFonts w:ascii="Arial" w:hAnsi="Arial"/>
        </w:rPr>
        <w:t xml:space="preserve"> und in Asien fast verzehnfacht (Faktor 9</w:t>
      </w:r>
      <w:r w:rsidR="007B3951" w:rsidRPr="00A10D87">
        <w:rPr>
          <w:rFonts w:ascii="Arial" w:hAnsi="Arial"/>
        </w:rPr>
        <w:t>,6</w:t>
      </w:r>
      <w:r w:rsidR="009F4E83" w:rsidRPr="00A10D87">
        <w:rPr>
          <w:rFonts w:ascii="Arial" w:hAnsi="Arial"/>
        </w:rPr>
        <w:t xml:space="preserve">). Allein in China hat sich der Energieverbrauch </w:t>
      </w:r>
      <w:r w:rsidR="00A10D87">
        <w:rPr>
          <w:rFonts w:ascii="Arial" w:hAnsi="Arial"/>
        </w:rPr>
        <w:t xml:space="preserve">nahezu </w:t>
      </w:r>
      <w:r w:rsidR="009F4E83" w:rsidRPr="00A10D87">
        <w:rPr>
          <w:rFonts w:ascii="Arial" w:hAnsi="Arial"/>
        </w:rPr>
        <w:t xml:space="preserve">verzwanzigfacht (Faktor 19,8). Auch in Afrika (Faktor 6,5) sowie in Mittel- und Südamerika </w:t>
      </w:r>
      <w:r w:rsidR="007B3951" w:rsidRPr="00A10D87">
        <w:rPr>
          <w:rFonts w:ascii="Arial" w:hAnsi="Arial"/>
        </w:rPr>
        <w:t>(</w:t>
      </w:r>
      <w:r w:rsidR="009F4E83" w:rsidRPr="00A10D87">
        <w:rPr>
          <w:rFonts w:ascii="Arial" w:hAnsi="Arial"/>
        </w:rPr>
        <w:t>Faktor 4,9</w:t>
      </w:r>
      <w:r w:rsidR="007B3951" w:rsidRPr="00A10D87">
        <w:rPr>
          <w:rFonts w:ascii="Arial" w:hAnsi="Arial"/>
        </w:rPr>
        <w:t>)</w:t>
      </w:r>
      <w:r w:rsidR="009F4E83" w:rsidRPr="00A10D87">
        <w:rPr>
          <w:rFonts w:ascii="Arial" w:hAnsi="Arial"/>
        </w:rPr>
        <w:t xml:space="preserve"> lag die Steigerung des Primärenergie-Verbrauchs zwischen 1970 und 2023 über dem weltweiten Durchschnitt (Faktor 3,0). </w:t>
      </w:r>
      <w:r w:rsidRPr="00A10D87">
        <w:rPr>
          <w:rFonts w:ascii="Arial" w:hAnsi="Arial"/>
        </w:rPr>
        <w:t>Deutlich unter dem Durchschnitt lag die Steigerung des Primärenergie-Verbrauchs hingegen in Nordamerika (</w:t>
      </w:r>
      <w:r w:rsidR="000B4D29" w:rsidRPr="00A10D87">
        <w:rPr>
          <w:rFonts w:ascii="Arial" w:hAnsi="Arial"/>
        </w:rPr>
        <w:t>Faktor 1,6</w:t>
      </w:r>
      <w:r w:rsidRPr="00A10D87">
        <w:rPr>
          <w:rFonts w:ascii="Arial" w:hAnsi="Arial"/>
        </w:rPr>
        <w:t xml:space="preserve">) sowie in Europa und </w:t>
      </w:r>
      <w:r w:rsidR="009F4E83" w:rsidRPr="00A10D87">
        <w:rPr>
          <w:rFonts w:ascii="Arial" w:hAnsi="Arial"/>
        </w:rPr>
        <w:t xml:space="preserve">der Gemeinschaft Unabhängiger Staaten </w:t>
      </w:r>
      <w:r w:rsidRPr="00A10D87">
        <w:rPr>
          <w:rFonts w:ascii="Arial" w:hAnsi="Arial"/>
        </w:rPr>
        <w:t>(</w:t>
      </w:r>
      <w:r w:rsidR="009F4E83" w:rsidRPr="00A10D87">
        <w:rPr>
          <w:rFonts w:ascii="Arial" w:hAnsi="Arial"/>
        </w:rPr>
        <w:t xml:space="preserve">jeweils </w:t>
      </w:r>
      <w:r w:rsidR="000B4D29" w:rsidRPr="00A10D87">
        <w:rPr>
          <w:rFonts w:ascii="Arial" w:hAnsi="Arial"/>
        </w:rPr>
        <w:t>Faktor 1,3</w:t>
      </w:r>
      <w:r w:rsidRPr="00A10D87">
        <w:rPr>
          <w:rFonts w:ascii="Arial" w:hAnsi="Arial"/>
        </w:rPr>
        <w:t>).</w:t>
      </w:r>
      <w:r w:rsidR="00436794">
        <w:rPr>
          <w:rFonts w:ascii="Arial" w:hAnsi="Arial"/>
        </w:rPr>
        <w:t xml:space="preserve"> </w:t>
      </w:r>
      <w:r w:rsidRPr="00BF64DB">
        <w:rPr>
          <w:rFonts w:ascii="Arial" w:hAnsi="Arial"/>
        </w:rPr>
        <w:t xml:space="preserve">In Deutschland stieg der Verbrauch zwischen 1970 und 1979 von </w:t>
      </w:r>
      <w:r w:rsidR="00BF64DB">
        <w:rPr>
          <w:rFonts w:ascii="Arial" w:hAnsi="Arial"/>
        </w:rPr>
        <w:t>13,0</w:t>
      </w:r>
      <w:r w:rsidRPr="00BF64DB">
        <w:rPr>
          <w:rFonts w:ascii="Arial" w:hAnsi="Arial"/>
        </w:rPr>
        <w:t xml:space="preserve"> auf </w:t>
      </w:r>
      <w:r w:rsidR="00BF64DB">
        <w:rPr>
          <w:rFonts w:ascii="Arial" w:hAnsi="Arial"/>
        </w:rPr>
        <w:t>15,8 E</w:t>
      </w:r>
      <w:r w:rsidR="00BF64DB" w:rsidRPr="00A4570A">
        <w:rPr>
          <w:rFonts w:ascii="Arial" w:hAnsi="Arial"/>
        </w:rPr>
        <w:t>xajoule</w:t>
      </w:r>
      <w:r w:rsidR="00BF64DB">
        <w:rPr>
          <w:rFonts w:ascii="Arial" w:hAnsi="Arial"/>
        </w:rPr>
        <w:t>, bis 2023 sank er jedoch relativ stetig auf 11,4 E</w:t>
      </w:r>
      <w:r w:rsidR="00BF64DB" w:rsidRPr="00A4570A">
        <w:rPr>
          <w:rFonts w:ascii="Arial" w:hAnsi="Arial"/>
        </w:rPr>
        <w:t>xajoule</w:t>
      </w:r>
      <w:r w:rsidR="00D53EF0" w:rsidRPr="00BF64DB">
        <w:rPr>
          <w:rFonts w:ascii="Arial" w:hAnsi="Arial"/>
        </w:rPr>
        <w:t>.</w:t>
      </w:r>
    </w:p>
    <w:p w14:paraId="02569DF3" w14:textId="77777777" w:rsidR="00436794" w:rsidRDefault="00436794">
      <w:pPr>
        <w:tabs>
          <w:tab w:val="left" w:pos="3060"/>
        </w:tabs>
        <w:rPr>
          <w:rFonts w:ascii="Arial" w:hAnsi="Arial"/>
        </w:rPr>
      </w:pPr>
    </w:p>
    <w:p w14:paraId="4FF62182" w14:textId="77777777" w:rsidR="006F7FA2" w:rsidRDefault="00EE4461" w:rsidP="005C01BC">
      <w:pPr>
        <w:tabs>
          <w:tab w:val="left" w:pos="3060"/>
        </w:tabs>
        <w:rPr>
          <w:rFonts w:ascii="Arial" w:hAnsi="Arial"/>
        </w:rPr>
      </w:pPr>
      <w:r w:rsidRPr="00D20236">
        <w:rPr>
          <w:rFonts w:ascii="Arial" w:hAnsi="Arial"/>
        </w:rPr>
        <w:t xml:space="preserve">Entsprechend der unterschiedlichen Steigerung in den einzelnen Regionen haben sich auch die Anteile am weltweiten Primärenergie-Verbrauch verändert. </w:t>
      </w:r>
      <w:r w:rsidR="00D20236" w:rsidRPr="00D20236">
        <w:rPr>
          <w:rFonts w:ascii="Arial" w:hAnsi="Arial"/>
        </w:rPr>
        <w:t xml:space="preserve">Am auffälligsten ist die Entwicklung in Asien. Der Anteil Asiens </w:t>
      </w:r>
      <w:r w:rsidRPr="00D20236">
        <w:rPr>
          <w:rFonts w:ascii="Arial" w:hAnsi="Arial"/>
        </w:rPr>
        <w:t>erhöhte sich zwischen 1970 und 20</w:t>
      </w:r>
      <w:r w:rsidR="00D20236" w:rsidRPr="00D20236">
        <w:rPr>
          <w:rFonts w:ascii="Arial" w:hAnsi="Arial"/>
        </w:rPr>
        <w:t>23</w:t>
      </w:r>
      <w:r w:rsidRPr="00D20236">
        <w:rPr>
          <w:rFonts w:ascii="Arial" w:hAnsi="Arial"/>
        </w:rPr>
        <w:t xml:space="preserve"> von 14,</w:t>
      </w:r>
      <w:r w:rsidR="00D20236" w:rsidRPr="00D20236">
        <w:rPr>
          <w:rFonts w:ascii="Arial" w:hAnsi="Arial"/>
        </w:rPr>
        <w:t>8</w:t>
      </w:r>
      <w:r w:rsidRPr="00D20236">
        <w:rPr>
          <w:rFonts w:ascii="Arial" w:hAnsi="Arial"/>
        </w:rPr>
        <w:t xml:space="preserve"> auf </w:t>
      </w:r>
      <w:r w:rsidR="000B4D29" w:rsidRPr="00D20236">
        <w:rPr>
          <w:rFonts w:ascii="Arial" w:hAnsi="Arial"/>
        </w:rPr>
        <w:t>4</w:t>
      </w:r>
      <w:r w:rsidR="00D20236" w:rsidRPr="00D20236">
        <w:rPr>
          <w:rFonts w:ascii="Arial" w:hAnsi="Arial"/>
        </w:rPr>
        <w:t>7</w:t>
      </w:r>
      <w:r w:rsidRPr="00D20236">
        <w:rPr>
          <w:rFonts w:ascii="Arial" w:hAnsi="Arial"/>
        </w:rPr>
        <w:t>,</w:t>
      </w:r>
      <w:r w:rsidR="00D20236" w:rsidRPr="00D20236">
        <w:rPr>
          <w:rFonts w:ascii="Arial" w:hAnsi="Arial"/>
        </w:rPr>
        <w:t>1</w:t>
      </w:r>
      <w:r w:rsidRPr="00D20236">
        <w:rPr>
          <w:rFonts w:ascii="Arial" w:hAnsi="Arial"/>
        </w:rPr>
        <w:t xml:space="preserve"> Prozent</w:t>
      </w:r>
      <w:r w:rsidR="00D20236" w:rsidRPr="00D20236">
        <w:rPr>
          <w:rFonts w:ascii="Arial" w:hAnsi="Arial"/>
        </w:rPr>
        <w:t xml:space="preserve">. Damit </w:t>
      </w:r>
      <w:r w:rsidR="008A164F">
        <w:rPr>
          <w:rFonts w:ascii="Arial" w:hAnsi="Arial"/>
        </w:rPr>
        <w:t xml:space="preserve">wurde </w:t>
      </w:r>
      <w:r w:rsidR="00D20236" w:rsidRPr="00D20236">
        <w:rPr>
          <w:rFonts w:ascii="Arial" w:hAnsi="Arial"/>
        </w:rPr>
        <w:t xml:space="preserve">Asien auch </w:t>
      </w:r>
      <w:r w:rsidR="008A164F">
        <w:rPr>
          <w:rFonts w:ascii="Arial" w:hAnsi="Arial"/>
        </w:rPr>
        <w:t xml:space="preserve">zur </w:t>
      </w:r>
      <w:r w:rsidRPr="00D20236">
        <w:rPr>
          <w:rFonts w:ascii="Arial" w:hAnsi="Arial"/>
        </w:rPr>
        <w:t xml:space="preserve">Region </w:t>
      </w:r>
      <w:r w:rsidR="00D20236" w:rsidRPr="00D20236">
        <w:rPr>
          <w:rFonts w:ascii="Arial" w:hAnsi="Arial"/>
        </w:rPr>
        <w:t xml:space="preserve">mit dem </w:t>
      </w:r>
      <w:r w:rsidR="008A164F">
        <w:rPr>
          <w:rFonts w:ascii="Arial" w:hAnsi="Arial"/>
        </w:rPr>
        <w:t>weltweit</w:t>
      </w:r>
      <w:r w:rsidR="008A164F" w:rsidRPr="00D20236">
        <w:rPr>
          <w:rFonts w:ascii="Arial" w:hAnsi="Arial"/>
        </w:rPr>
        <w:t xml:space="preserve"> </w:t>
      </w:r>
      <w:r w:rsidR="00D20236" w:rsidRPr="00D20236">
        <w:rPr>
          <w:rFonts w:ascii="Arial" w:hAnsi="Arial"/>
        </w:rPr>
        <w:t xml:space="preserve">höchsten </w:t>
      </w:r>
      <w:r w:rsidRPr="00D20236">
        <w:rPr>
          <w:rFonts w:ascii="Arial" w:hAnsi="Arial"/>
        </w:rPr>
        <w:t>Anteil am</w:t>
      </w:r>
      <w:r w:rsidR="005E3129" w:rsidRPr="00D20236">
        <w:rPr>
          <w:rFonts w:ascii="Arial" w:hAnsi="Arial"/>
        </w:rPr>
        <w:t xml:space="preserve"> </w:t>
      </w:r>
      <w:r w:rsidRPr="00D20236">
        <w:rPr>
          <w:rFonts w:ascii="Arial" w:hAnsi="Arial"/>
        </w:rPr>
        <w:t>Primärenergie-Verbrauch.</w:t>
      </w:r>
      <w:r w:rsidR="00436794">
        <w:rPr>
          <w:rFonts w:ascii="Arial" w:hAnsi="Arial"/>
        </w:rPr>
        <w:t xml:space="preserve"> </w:t>
      </w:r>
      <w:r w:rsidR="00D20236" w:rsidRPr="00D20236">
        <w:rPr>
          <w:rFonts w:ascii="Arial" w:hAnsi="Arial"/>
        </w:rPr>
        <w:t xml:space="preserve">Insbesondere </w:t>
      </w:r>
      <w:r w:rsidRPr="00D20236">
        <w:rPr>
          <w:rFonts w:ascii="Arial" w:hAnsi="Arial"/>
        </w:rPr>
        <w:t>China</w:t>
      </w:r>
      <w:r w:rsidR="00D20236" w:rsidRPr="00D20236">
        <w:rPr>
          <w:rFonts w:ascii="Arial" w:hAnsi="Arial"/>
        </w:rPr>
        <w:t xml:space="preserve"> ist für diese Entwicklung verantwortlich: Der </w:t>
      </w:r>
      <w:r w:rsidRPr="00D20236">
        <w:rPr>
          <w:rFonts w:ascii="Arial" w:hAnsi="Arial"/>
        </w:rPr>
        <w:t xml:space="preserve">Anteil am weltweiten Primärenergie-Verbrauch </w:t>
      </w:r>
      <w:r w:rsidR="000B4D29" w:rsidRPr="00D20236">
        <w:rPr>
          <w:rFonts w:ascii="Arial" w:hAnsi="Arial"/>
        </w:rPr>
        <w:t xml:space="preserve">erhöhte sich </w:t>
      </w:r>
      <w:r w:rsidRPr="00D20236">
        <w:rPr>
          <w:rFonts w:ascii="Arial" w:hAnsi="Arial"/>
        </w:rPr>
        <w:t>von 4,</w:t>
      </w:r>
      <w:r w:rsidR="001A75DF" w:rsidRPr="00D20236">
        <w:rPr>
          <w:rFonts w:ascii="Arial" w:hAnsi="Arial"/>
        </w:rPr>
        <w:t>2</w:t>
      </w:r>
      <w:r w:rsidRPr="00D20236">
        <w:rPr>
          <w:rFonts w:ascii="Arial" w:hAnsi="Arial"/>
        </w:rPr>
        <w:t xml:space="preserve"> </w:t>
      </w:r>
      <w:r w:rsidR="009E7392" w:rsidRPr="00D20236">
        <w:rPr>
          <w:rFonts w:ascii="Arial" w:hAnsi="Arial"/>
        </w:rPr>
        <w:t xml:space="preserve">Prozent </w:t>
      </w:r>
      <w:r w:rsidR="005E3129" w:rsidRPr="00D20236">
        <w:rPr>
          <w:rFonts w:ascii="Arial" w:hAnsi="Arial"/>
        </w:rPr>
        <w:t xml:space="preserve">1970 </w:t>
      </w:r>
      <w:r w:rsidRPr="00D20236">
        <w:rPr>
          <w:rFonts w:ascii="Arial" w:hAnsi="Arial"/>
        </w:rPr>
        <w:t xml:space="preserve">auf </w:t>
      </w:r>
      <w:r w:rsidR="00D20236" w:rsidRPr="00D20236">
        <w:rPr>
          <w:rFonts w:ascii="Arial" w:hAnsi="Arial"/>
        </w:rPr>
        <w:t>27</w:t>
      </w:r>
      <w:r w:rsidRPr="00D20236">
        <w:rPr>
          <w:rFonts w:ascii="Arial" w:hAnsi="Arial"/>
        </w:rPr>
        <w:t>,</w:t>
      </w:r>
      <w:r w:rsidR="00D20236" w:rsidRPr="00D20236">
        <w:rPr>
          <w:rFonts w:ascii="Arial" w:hAnsi="Arial"/>
        </w:rPr>
        <w:t>7</w:t>
      </w:r>
      <w:r w:rsidRPr="00D20236">
        <w:rPr>
          <w:rFonts w:ascii="Arial" w:hAnsi="Arial"/>
        </w:rPr>
        <w:t xml:space="preserve"> Prozent</w:t>
      </w:r>
      <w:r w:rsidR="005E3129" w:rsidRPr="00D20236">
        <w:rPr>
          <w:rFonts w:ascii="Arial" w:hAnsi="Arial"/>
        </w:rPr>
        <w:t xml:space="preserve"> </w:t>
      </w:r>
      <w:r w:rsidR="008A164F" w:rsidRPr="00D20236">
        <w:rPr>
          <w:rFonts w:ascii="Arial" w:hAnsi="Arial"/>
        </w:rPr>
        <w:t xml:space="preserve">im Jahr </w:t>
      </w:r>
      <w:r w:rsidR="005E3129" w:rsidRPr="00D20236">
        <w:rPr>
          <w:rFonts w:ascii="Arial" w:hAnsi="Arial"/>
        </w:rPr>
        <w:t>20</w:t>
      </w:r>
      <w:r w:rsidR="00D20236" w:rsidRPr="00D20236">
        <w:rPr>
          <w:rFonts w:ascii="Arial" w:hAnsi="Arial"/>
        </w:rPr>
        <w:t>23</w:t>
      </w:r>
      <w:r w:rsidRPr="00D20236">
        <w:rPr>
          <w:rFonts w:ascii="Arial" w:hAnsi="Arial"/>
        </w:rPr>
        <w:t xml:space="preserve">. </w:t>
      </w:r>
      <w:r w:rsidR="00D20236" w:rsidRPr="00D20236">
        <w:rPr>
          <w:rFonts w:ascii="Arial" w:hAnsi="Arial"/>
        </w:rPr>
        <w:t>Der Anteil Indiens nahm im gleichen Zeitraum von 1,3 auf 6,3 Prozent ebenfalls deutlich zu.</w:t>
      </w:r>
      <w:r w:rsidR="00436794">
        <w:rPr>
          <w:rFonts w:ascii="Arial" w:hAnsi="Arial"/>
        </w:rPr>
        <w:t xml:space="preserve"> </w:t>
      </w:r>
      <w:r w:rsidR="00115A39" w:rsidRPr="006F7FA2">
        <w:rPr>
          <w:rFonts w:ascii="Arial" w:hAnsi="Arial"/>
        </w:rPr>
        <w:t xml:space="preserve">Bezogen auf die Regionen </w:t>
      </w:r>
      <w:r w:rsidR="006F7FA2" w:rsidRPr="006F7FA2">
        <w:rPr>
          <w:rFonts w:ascii="Arial" w:hAnsi="Arial"/>
        </w:rPr>
        <w:t xml:space="preserve">nahm </w:t>
      </w:r>
      <w:r w:rsidR="00115A39" w:rsidRPr="006F7FA2">
        <w:rPr>
          <w:rFonts w:ascii="Arial" w:hAnsi="Arial"/>
        </w:rPr>
        <w:t xml:space="preserve">der Anteil </w:t>
      </w:r>
      <w:r w:rsidR="006F7FA2" w:rsidRPr="006F7FA2">
        <w:rPr>
          <w:rFonts w:ascii="Arial" w:hAnsi="Arial"/>
        </w:rPr>
        <w:t xml:space="preserve">des Mittleren Ostens am </w:t>
      </w:r>
      <w:r w:rsidR="00115A39">
        <w:rPr>
          <w:rFonts w:ascii="Arial" w:hAnsi="Arial"/>
        </w:rPr>
        <w:t xml:space="preserve">weltweiten </w:t>
      </w:r>
      <w:r w:rsidR="00115A39" w:rsidRPr="00D20236">
        <w:rPr>
          <w:rFonts w:ascii="Arial" w:hAnsi="Arial"/>
        </w:rPr>
        <w:t>Primärenergie-Verbrauch</w:t>
      </w:r>
      <w:r w:rsidR="00115A39">
        <w:rPr>
          <w:rFonts w:ascii="Arial" w:hAnsi="Arial"/>
        </w:rPr>
        <w:t xml:space="preserve"> </w:t>
      </w:r>
      <w:r w:rsidR="006F7FA2">
        <w:rPr>
          <w:rFonts w:ascii="Arial" w:hAnsi="Arial"/>
        </w:rPr>
        <w:t xml:space="preserve">zwischen 1970 und 2023 relativ am stärksten zu. Er stieg von </w:t>
      </w:r>
      <w:r w:rsidRPr="006F7FA2">
        <w:rPr>
          <w:rFonts w:ascii="Arial" w:hAnsi="Arial"/>
        </w:rPr>
        <w:t>1,</w:t>
      </w:r>
      <w:r w:rsidR="006F7FA2" w:rsidRPr="006F7FA2">
        <w:rPr>
          <w:rFonts w:ascii="Arial" w:hAnsi="Arial"/>
        </w:rPr>
        <w:t xml:space="preserve">2 auf 6,5 Prozent. Der Anteil </w:t>
      </w:r>
      <w:r w:rsidR="001A75DF" w:rsidRPr="006F7FA2">
        <w:rPr>
          <w:rFonts w:ascii="Arial" w:hAnsi="Arial"/>
        </w:rPr>
        <w:t xml:space="preserve">Afrikas </w:t>
      </w:r>
      <w:r w:rsidR="006F7FA2" w:rsidRPr="006F7FA2">
        <w:rPr>
          <w:rFonts w:ascii="Arial" w:hAnsi="Arial"/>
        </w:rPr>
        <w:t xml:space="preserve">erhöhte sich in dieser Zeit von </w:t>
      </w:r>
      <w:r w:rsidR="001A75DF" w:rsidRPr="006F7FA2">
        <w:rPr>
          <w:rFonts w:ascii="Arial" w:hAnsi="Arial"/>
        </w:rPr>
        <w:t>1,</w:t>
      </w:r>
      <w:r w:rsidR="006F7FA2" w:rsidRPr="006F7FA2">
        <w:rPr>
          <w:rFonts w:ascii="Arial" w:hAnsi="Arial"/>
        </w:rPr>
        <w:t xml:space="preserve">6 auf 3,4 Prozent, der Anteil </w:t>
      </w:r>
      <w:r w:rsidRPr="006F7FA2">
        <w:rPr>
          <w:rFonts w:ascii="Arial" w:hAnsi="Arial"/>
        </w:rPr>
        <w:t xml:space="preserve">Mittel- und Südamerikas </w:t>
      </w:r>
      <w:r w:rsidR="006F7FA2" w:rsidRPr="006F7FA2">
        <w:rPr>
          <w:rFonts w:ascii="Arial" w:hAnsi="Arial"/>
        </w:rPr>
        <w:t>von 3,1</w:t>
      </w:r>
      <w:r w:rsidRPr="006F7FA2">
        <w:rPr>
          <w:rFonts w:ascii="Arial" w:hAnsi="Arial"/>
        </w:rPr>
        <w:t xml:space="preserve"> </w:t>
      </w:r>
      <w:r w:rsidR="006F7FA2" w:rsidRPr="006F7FA2">
        <w:rPr>
          <w:rFonts w:ascii="Arial" w:hAnsi="Arial"/>
        </w:rPr>
        <w:t xml:space="preserve">auf 5,0 </w:t>
      </w:r>
      <w:r w:rsidRPr="006F7FA2">
        <w:rPr>
          <w:rFonts w:ascii="Arial" w:hAnsi="Arial"/>
        </w:rPr>
        <w:t>Prozent.</w:t>
      </w:r>
    </w:p>
    <w:p w14:paraId="307062AD" w14:textId="77777777" w:rsidR="00436794" w:rsidRDefault="00436794" w:rsidP="005C01BC">
      <w:pPr>
        <w:tabs>
          <w:tab w:val="left" w:pos="3060"/>
        </w:tabs>
        <w:rPr>
          <w:rFonts w:ascii="Arial" w:hAnsi="Arial"/>
        </w:rPr>
      </w:pPr>
    </w:p>
    <w:p w14:paraId="62864E2D" w14:textId="77777777" w:rsidR="007A0CD1" w:rsidRDefault="006F7FA2" w:rsidP="005C01BC">
      <w:pPr>
        <w:tabs>
          <w:tab w:val="left" w:pos="3060"/>
        </w:tabs>
        <w:rPr>
          <w:rFonts w:ascii="Arial" w:hAnsi="Arial"/>
        </w:rPr>
      </w:pPr>
      <w:r w:rsidRPr="007A0CD1">
        <w:rPr>
          <w:rFonts w:ascii="Arial" w:hAnsi="Arial"/>
        </w:rPr>
        <w:t xml:space="preserve">Ganz anders verlief die Entwicklung bei </w:t>
      </w:r>
      <w:r w:rsidRPr="00A10D87">
        <w:rPr>
          <w:rFonts w:ascii="Arial" w:hAnsi="Arial"/>
        </w:rPr>
        <w:t>der Gemeinschaft Unabhängiger Staaten</w:t>
      </w:r>
      <w:r>
        <w:rPr>
          <w:rFonts w:ascii="Arial" w:hAnsi="Arial"/>
        </w:rPr>
        <w:t xml:space="preserve"> sowie in Europa und Nordamerika</w:t>
      </w:r>
      <w:r w:rsidR="0000408A">
        <w:rPr>
          <w:rFonts w:ascii="Arial" w:hAnsi="Arial"/>
        </w:rPr>
        <w:t xml:space="preserve">: </w:t>
      </w:r>
      <w:r w:rsidR="007A0CD1">
        <w:rPr>
          <w:rFonts w:ascii="Arial" w:hAnsi="Arial"/>
        </w:rPr>
        <w:t xml:space="preserve">Der Anteil </w:t>
      </w:r>
      <w:r w:rsidR="0000408A">
        <w:rPr>
          <w:rFonts w:ascii="Arial" w:hAnsi="Arial"/>
        </w:rPr>
        <w:t xml:space="preserve">der GUS am weltweiten </w:t>
      </w:r>
      <w:r w:rsidR="0000408A" w:rsidRPr="00D20236">
        <w:rPr>
          <w:rFonts w:ascii="Arial" w:hAnsi="Arial"/>
        </w:rPr>
        <w:t>Primärenergie-Verbrauch</w:t>
      </w:r>
      <w:r w:rsidR="0000408A">
        <w:rPr>
          <w:rFonts w:ascii="Arial" w:hAnsi="Arial"/>
        </w:rPr>
        <w:t xml:space="preserve"> </w:t>
      </w:r>
      <w:r w:rsidR="007A0CD1">
        <w:rPr>
          <w:rFonts w:ascii="Arial" w:hAnsi="Arial"/>
        </w:rPr>
        <w:t xml:space="preserve">hat sich </w:t>
      </w:r>
      <w:r w:rsidR="0000408A">
        <w:rPr>
          <w:rFonts w:ascii="Arial" w:hAnsi="Arial"/>
        </w:rPr>
        <w:t>zwischen 1970 und 2023 mehr als halbiert – von 15,4 auf 6,6 Prozent</w:t>
      </w:r>
      <w:r w:rsidR="007A0CD1">
        <w:rPr>
          <w:rFonts w:ascii="Arial" w:hAnsi="Arial"/>
        </w:rPr>
        <w:t xml:space="preserve">. Dasselbe gilt für Europa, wo der Anteil </w:t>
      </w:r>
      <w:r w:rsidR="0000408A">
        <w:rPr>
          <w:rFonts w:ascii="Arial" w:hAnsi="Arial"/>
        </w:rPr>
        <w:t>von 28,1 auf 12,6 Prozent</w:t>
      </w:r>
      <w:r w:rsidR="007A0CD1">
        <w:rPr>
          <w:rFonts w:ascii="Arial" w:hAnsi="Arial"/>
        </w:rPr>
        <w:t xml:space="preserve"> fiel</w:t>
      </w:r>
      <w:r w:rsidR="0000408A">
        <w:rPr>
          <w:rFonts w:ascii="Arial" w:hAnsi="Arial"/>
        </w:rPr>
        <w:t>. Der Anteil Nordamerikas</w:t>
      </w:r>
      <w:r w:rsidR="007A0CD1">
        <w:rPr>
          <w:rFonts w:ascii="Arial" w:hAnsi="Arial"/>
        </w:rPr>
        <w:t xml:space="preserve"> am weltweiten </w:t>
      </w:r>
      <w:r w:rsidR="007A0CD1" w:rsidRPr="00D20236">
        <w:rPr>
          <w:rFonts w:ascii="Arial" w:hAnsi="Arial"/>
        </w:rPr>
        <w:t>Primärenergie-Verbrauch</w:t>
      </w:r>
      <w:r w:rsidR="0000408A">
        <w:rPr>
          <w:rFonts w:ascii="Arial" w:hAnsi="Arial"/>
        </w:rPr>
        <w:t xml:space="preserve"> </w:t>
      </w:r>
      <w:r w:rsidR="007A0CD1">
        <w:rPr>
          <w:rFonts w:ascii="Arial" w:hAnsi="Arial"/>
        </w:rPr>
        <w:t>lag 1970 noch bei deutlich mehr als einem Drittel (35,8 Prozent), im Jahr 2023 war es weniger als ein Viertel (18,8 Prozent).</w:t>
      </w:r>
    </w:p>
    <w:p w14:paraId="5572118D" w14:textId="77777777" w:rsidR="00436794" w:rsidRDefault="00436794" w:rsidP="005C01BC">
      <w:pPr>
        <w:tabs>
          <w:tab w:val="left" w:pos="3060"/>
        </w:tabs>
        <w:rPr>
          <w:rFonts w:ascii="Arial" w:hAnsi="Arial"/>
        </w:rPr>
      </w:pPr>
    </w:p>
    <w:p w14:paraId="14183C12" w14:textId="77777777" w:rsidR="008142CF" w:rsidRDefault="00EE4461">
      <w:pPr>
        <w:tabs>
          <w:tab w:val="left" w:pos="3060"/>
        </w:tabs>
        <w:rPr>
          <w:rFonts w:ascii="Arial" w:hAnsi="Arial"/>
        </w:rPr>
      </w:pPr>
      <w:r w:rsidRPr="00783E00">
        <w:rPr>
          <w:rFonts w:ascii="Arial" w:hAnsi="Arial"/>
        </w:rPr>
        <w:lastRenderedPageBreak/>
        <w:t>In den meisten Regionen verbrauchen we</w:t>
      </w:r>
      <w:r w:rsidR="009E7392" w:rsidRPr="00783E00">
        <w:rPr>
          <w:rFonts w:ascii="Arial" w:hAnsi="Arial"/>
        </w:rPr>
        <w:t xml:space="preserve">nige Staaten einen großen Teil der </w:t>
      </w:r>
      <w:r w:rsidRPr="00783E00">
        <w:rPr>
          <w:rFonts w:ascii="Arial" w:hAnsi="Arial"/>
        </w:rPr>
        <w:t>Energie. I</w:t>
      </w:r>
      <w:r w:rsidR="007A0CD1" w:rsidRPr="00783E00">
        <w:rPr>
          <w:rFonts w:ascii="Arial" w:hAnsi="Arial"/>
        </w:rPr>
        <w:t xml:space="preserve">n </w:t>
      </w:r>
      <w:r w:rsidR="00742D6E" w:rsidRPr="00783E00">
        <w:rPr>
          <w:rFonts w:ascii="Arial" w:hAnsi="Arial"/>
        </w:rPr>
        <w:t>A</w:t>
      </w:r>
      <w:r w:rsidRPr="00783E00">
        <w:rPr>
          <w:rFonts w:ascii="Arial" w:hAnsi="Arial"/>
        </w:rPr>
        <w:t>si</w:t>
      </w:r>
      <w:r w:rsidR="00742D6E" w:rsidRPr="00783E00">
        <w:rPr>
          <w:rFonts w:ascii="Arial" w:hAnsi="Arial"/>
        </w:rPr>
        <w:t xml:space="preserve">en </w:t>
      </w:r>
      <w:r w:rsidRPr="00783E00">
        <w:rPr>
          <w:rFonts w:ascii="Arial" w:hAnsi="Arial"/>
        </w:rPr>
        <w:t>war</w:t>
      </w:r>
      <w:r w:rsidR="00742D6E" w:rsidRPr="00783E00">
        <w:rPr>
          <w:rFonts w:ascii="Arial" w:hAnsi="Arial"/>
        </w:rPr>
        <w:t>en</w:t>
      </w:r>
      <w:r w:rsidRPr="00783E00">
        <w:rPr>
          <w:rFonts w:ascii="Arial" w:hAnsi="Arial"/>
        </w:rPr>
        <w:t xml:space="preserve"> es </w:t>
      </w:r>
      <w:r w:rsidR="00742D6E" w:rsidRPr="00783E00">
        <w:rPr>
          <w:rFonts w:ascii="Arial" w:hAnsi="Arial"/>
        </w:rPr>
        <w:t xml:space="preserve">im Jahr </w:t>
      </w:r>
      <w:r w:rsidRPr="00783E00">
        <w:rPr>
          <w:rFonts w:ascii="Arial" w:hAnsi="Arial"/>
        </w:rPr>
        <w:t>20</w:t>
      </w:r>
      <w:r w:rsidR="00742D6E" w:rsidRPr="00783E00">
        <w:rPr>
          <w:rFonts w:ascii="Arial" w:hAnsi="Arial"/>
        </w:rPr>
        <w:t>23</w:t>
      </w:r>
      <w:r w:rsidRPr="00783E00">
        <w:rPr>
          <w:rFonts w:ascii="Arial" w:hAnsi="Arial"/>
        </w:rPr>
        <w:t xml:space="preserve"> vor allem China (</w:t>
      </w:r>
      <w:r w:rsidR="002A54E9" w:rsidRPr="00783E00">
        <w:rPr>
          <w:rFonts w:ascii="Arial" w:hAnsi="Arial"/>
        </w:rPr>
        <w:t>5</w:t>
      </w:r>
      <w:r w:rsidR="00742D6E" w:rsidRPr="00783E00">
        <w:rPr>
          <w:rFonts w:ascii="Arial" w:hAnsi="Arial"/>
        </w:rPr>
        <w:t>8</w:t>
      </w:r>
      <w:r w:rsidRPr="00783E00">
        <w:rPr>
          <w:rFonts w:ascii="Arial" w:hAnsi="Arial"/>
        </w:rPr>
        <w:t>,</w:t>
      </w:r>
      <w:r w:rsidR="00742D6E" w:rsidRPr="00783E00">
        <w:rPr>
          <w:rFonts w:ascii="Arial" w:hAnsi="Arial"/>
        </w:rPr>
        <w:t>8</w:t>
      </w:r>
      <w:r w:rsidRPr="00783E00">
        <w:rPr>
          <w:rFonts w:ascii="Arial" w:hAnsi="Arial"/>
        </w:rPr>
        <w:t xml:space="preserve"> Prozent)</w:t>
      </w:r>
      <w:r w:rsidR="00742D6E" w:rsidRPr="00783E00">
        <w:rPr>
          <w:rFonts w:ascii="Arial" w:hAnsi="Arial"/>
        </w:rPr>
        <w:t xml:space="preserve"> und </w:t>
      </w:r>
      <w:r w:rsidR="002A54E9" w:rsidRPr="00783E00">
        <w:rPr>
          <w:rFonts w:ascii="Arial" w:hAnsi="Arial"/>
        </w:rPr>
        <w:t>Indien</w:t>
      </w:r>
      <w:r w:rsidR="00742D6E" w:rsidRPr="00783E00">
        <w:rPr>
          <w:rFonts w:ascii="Arial" w:hAnsi="Arial"/>
        </w:rPr>
        <w:t xml:space="preserve"> (</w:t>
      </w:r>
      <w:r w:rsidRPr="00783E00">
        <w:rPr>
          <w:rFonts w:ascii="Arial" w:hAnsi="Arial"/>
        </w:rPr>
        <w:t>1</w:t>
      </w:r>
      <w:r w:rsidR="00742D6E" w:rsidRPr="00783E00">
        <w:rPr>
          <w:rFonts w:ascii="Arial" w:hAnsi="Arial"/>
        </w:rPr>
        <w:t>3</w:t>
      </w:r>
      <w:r w:rsidRPr="00783E00">
        <w:rPr>
          <w:rFonts w:ascii="Arial" w:hAnsi="Arial"/>
        </w:rPr>
        <w:t>,</w:t>
      </w:r>
      <w:r w:rsidR="00742D6E" w:rsidRPr="00783E00">
        <w:rPr>
          <w:rFonts w:ascii="Arial" w:hAnsi="Arial"/>
        </w:rPr>
        <w:t>4</w:t>
      </w:r>
      <w:r w:rsidRPr="00783E00">
        <w:rPr>
          <w:rFonts w:ascii="Arial" w:hAnsi="Arial"/>
        </w:rPr>
        <w:t xml:space="preserve"> Prozent)</w:t>
      </w:r>
      <w:r w:rsidR="00742D6E" w:rsidRPr="00783E00">
        <w:rPr>
          <w:rFonts w:ascii="Arial" w:hAnsi="Arial"/>
        </w:rPr>
        <w:t xml:space="preserve">. Japans Anteil am </w:t>
      </w:r>
      <w:r w:rsidR="00742D6E" w:rsidRPr="00D20236">
        <w:rPr>
          <w:rFonts w:ascii="Arial" w:hAnsi="Arial"/>
        </w:rPr>
        <w:t>Primärenergie-Verbrauch</w:t>
      </w:r>
      <w:r w:rsidR="00742D6E">
        <w:rPr>
          <w:rFonts w:ascii="Arial" w:hAnsi="Arial"/>
        </w:rPr>
        <w:t xml:space="preserve"> Asiens </w:t>
      </w:r>
      <w:r w:rsidR="00742D6E" w:rsidRPr="00783E00">
        <w:rPr>
          <w:rFonts w:ascii="Arial" w:hAnsi="Arial"/>
        </w:rPr>
        <w:t>lag 1970 noch bei 40,5 Prozent, 2023 waren es</w:t>
      </w:r>
      <w:r w:rsidR="00783E00">
        <w:rPr>
          <w:rFonts w:ascii="Arial" w:hAnsi="Arial"/>
        </w:rPr>
        <w:t xml:space="preserve"> lediglich</w:t>
      </w:r>
      <w:r w:rsidR="00742D6E" w:rsidRPr="00783E00">
        <w:rPr>
          <w:rFonts w:ascii="Arial" w:hAnsi="Arial"/>
        </w:rPr>
        <w:t xml:space="preserve"> 6,0 Prozent. Auf die USA entfielen 2023 gut vier Fünftel des Primärenergie-Verbrauchs von Nordamerika (80,8 Prozent). Einen ähnlich hohen Anteil hat Russland am Energieverbrauch der GUS (2023: 76,8 Prozent). </w:t>
      </w:r>
      <w:r w:rsidR="00783E00" w:rsidRPr="00783E00">
        <w:rPr>
          <w:rFonts w:ascii="Arial" w:hAnsi="Arial"/>
        </w:rPr>
        <w:t xml:space="preserve">In Mittel- und Südamerika steht Brasilien mit großem Abstand an Spitze – der Anteil am </w:t>
      </w:r>
      <w:r w:rsidR="00783E00" w:rsidRPr="00D20236">
        <w:rPr>
          <w:rFonts w:ascii="Arial" w:hAnsi="Arial"/>
        </w:rPr>
        <w:t>Primärenergie-Verbrauch</w:t>
      </w:r>
      <w:r w:rsidR="00783E00">
        <w:rPr>
          <w:rFonts w:ascii="Arial" w:hAnsi="Arial"/>
        </w:rPr>
        <w:t xml:space="preserve"> lag 2023 bei 44,4 Prozent. </w:t>
      </w:r>
      <w:r w:rsidR="00742D6E" w:rsidRPr="00783E00">
        <w:rPr>
          <w:rFonts w:ascii="Arial" w:hAnsi="Arial"/>
        </w:rPr>
        <w:t xml:space="preserve">Im Mittleren Osten hatten 2023 Iran und Saudi-Arabien mit 31,4 bzw. 28,7 Prozent die größten Anteile am </w:t>
      </w:r>
      <w:r w:rsidR="00742D6E" w:rsidRPr="00D20236">
        <w:rPr>
          <w:rFonts w:ascii="Arial" w:hAnsi="Arial"/>
        </w:rPr>
        <w:t>Primärenergie-Verbrauch</w:t>
      </w:r>
      <w:r w:rsidR="00742D6E">
        <w:rPr>
          <w:rFonts w:ascii="Arial" w:hAnsi="Arial"/>
        </w:rPr>
        <w:t xml:space="preserve"> der Region, in Afrika waren es im selben Jahr Südafrika und Ägypten mit Anteilen von 23,3 bzw. 18,9 Prozent.</w:t>
      </w:r>
      <w:r w:rsidR="008C59B7">
        <w:rPr>
          <w:rFonts w:ascii="Arial" w:hAnsi="Arial"/>
        </w:rPr>
        <w:t xml:space="preserve"> </w:t>
      </w:r>
      <w:r w:rsidR="00277B75">
        <w:rPr>
          <w:rFonts w:ascii="Arial" w:hAnsi="Arial"/>
        </w:rPr>
        <w:t>Europa ist die einzige Region, bei der sich d</w:t>
      </w:r>
      <w:r w:rsidR="008142CF" w:rsidRPr="008C59B7">
        <w:rPr>
          <w:rFonts w:ascii="Arial" w:hAnsi="Arial"/>
        </w:rPr>
        <w:t>e</w:t>
      </w:r>
      <w:r w:rsidR="00277B75">
        <w:rPr>
          <w:rFonts w:ascii="Arial" w:hAnsi="Arial"/>
        </w:rPr>
        <w:t xml:space="preserve">r </w:t>
      </w:r>
      <w:r w:rsidR="008142CF" w:rsidRPr="00D20236">
        <w:rPr>
          <w:rFonts w:ascii="Arial" w:hAnsi="Arial"/>
        </w:rPr>
        <w:t>Primärenergie-Verbrauch</w:t>
      </w:r>
      <w:r w:rsidR="008142CF">
        <w:rPr>
          <w:rFonts w:ascii="Arial" w:hAnsi="Arial"/>
        </w:rPr>
        <w:t xml:space="preserve"> </w:t>
      </w:r>
      <w:r w:rsidR="008142CF" w:rsidRPr="008C59B7">
        <w:rPr>
          <w:rFonts w:ascii="Arial" w:hAnsi="Arial"/>
        </w:rPr>
        <w:t>gleichmäßiger auf meh</w:t>
      </w:r>
      <w:r w:rsidR="008C59B7" w:rsidRPr="008C59B7">
        <w:rPr>
          <w:rFonts w:ascii="Arial" w:hAnsi="Arial"/>
        </w:rPr>
        <w:t>r</w:t>
      </w:r>
      <w:r w:rsidR="008142CF" w:rsidRPr="008C59B7">
        <w:rPr>
          <w:rFonts w:ascii="Arial" w:hAnsi="Arial"/>
        </w:rPr>
        <w:t>ere Staaten</w:t>
      </w:r>
      <w:r w:rsidR="00277B75" w:rsidRPr="00277B75">
        <w:rPr>
          <w:rFonts w:ascii="Arial" w:hAnsi="Arial"/>
        </w:rPr>
        <w:t xml:space="preserve"> </w:t>
      </w:r>
      <w:r w:rsidR="00277B75" w:rsidRPr="008C59B7">
        <w:rPr>
          <w:rFonts w:ascii="Arial" w:hAnsi="Arial"/>
        </w:rPr>
        <w:t>verteil</w:t>
      </w:r>
      <w:r w:rsidR="00277B75">
        <w:rPr>
          <w:rFonts w:ascii="Arial" w:hAnsi="Arial"/>
        </w:rPr>
        <w:t>t</w:t>
      </w:r>
      <w:r w:rsidR="008C59B7" w:rsidRPr="008C59B7">
        <w:rPr>
          <w:rFonts w:ascii="Arial" w:hAnsi="Arial"/>
        </w:rPr>
        <w:t>:</w:t>
      </w:r>
      <w:r w:rsidR="008142CF" w:rsidRPr="008C59B7">
        <w:rPr>
          <w:rFonts w:ascii="Arial" w:hAnsi="Arial"/>
        </w:rPr>
        <w:t xml:space="preserve"> An erster Stelle stand </w:t>
      </w:r>
      <w:r w:rsidR="00ED5679">
        <w:rPr>
          <w:rFonts w:ascii="Arial" w:hAnsi="Arial"/>
        </w:rPr>
        <w:t xml:space="preserve">im Jahr </w:t>
      </w:r>
      <w:r w:rsidR="008142CF" w:rsidRPr="008C59B7">
        <w:rPr>
          <w:rFonts w:ascii="Arial" w:hAnsi="Arial"/>
        </w:rPr>
        <w:t xml:space="preserve">2023 Deutschland mit einem Anteil von 11,4 Prozent. Es folgten Frankreich (8,7 Prozent), Türkei </w:t>
      </w:r>
      <w:r w:rsidR="008C59B7" w:rsidRPr="008C59B7">
        <w:rPr>
          <w:rFonts w:ascii="Arial" w:hAnsi="Arial"/>
        </w:rPr>
        <w:t xml:space="preserve">und </w:t>
      </w:r>
      <w:r w:rsidR="008142CF" w:rsidRPr="008C59B7">
        <w:rPr>
          <w:rFonts w:ascii="Arial" w:hAnsi="Arial"/>
        </w:rPr>
        <w:t>das Vereinigte Königreich (</w:t>
      </w:r>
      <w:r w:rsidR="008C59B7" w:rsidRPr="008C59B7">
        <w:rPr>
          <w:rFonts w:ascii="Arial" w:hAnsi="Arial"/>
        </w:rPr>
        <w:t xml:space="preserve">jeweils </w:t>
      </w:r>
      <w:r w:rsidR="008142CF" w:rsidRPr="008C59B7">
        <w:rPr>
          <w:rFonts w:ascii="Arial" w:hAnsi="Arial"/>
        </w:rPr>
        <w:t xml:space="preserve">7,0 Prozent), Italien (5,9 Prozent) </w:t>
      </w:r>
      <w:r w:rsidR="008C59B7" w:rsidRPr="008C59B7">
        <w:rPr>
          <w:rFonts w:ascii="Arial" w:hAnsi="Arial"/>
        </w:rPr>
        <w:t xml:space="preserve">sowie </w:t>
      </w:r>
      <w:r w:rsidR="008142CF" w:rsidRPr="008C59B7">
        <w:rPr>
          <w:rFonts w:ascii="Arial" w:hAnsi="Arial"/>
        </w:rPr>
        <w:t>Spanien (5,7 Prozent).</w:t>
      </w:r>
    </w:p>
    <w:p w14:paraId="00C53CF5" w14:textId="77777777" w:rsidR="00436794" w:rsidRDefault="00436794">
      <w:pPr>
        <w:tabs>
          <w:tab w:val="left" w:pos="3060"/>
        </w:tabs>
        <w:rPr>
          <w:rFonts w:ascii="Arial" w:hAnsi="Arial"/>
        </w:rPr>
      </w:pPr>
    </w:p>
    <w:p w14:paraId="29C0423F" w14:textId="77777777" w:rsidR="00F62D5A" w:rsidRPr="00D55D3F" w:rsidRDefault="00F62D5A">
      <w:pPr>
        <w:tabs>
          <w:tab w:val="left" w:pos="3060"/>
        </w:tabs>
        <w:rPr>
          <w:rFonts w:ascii="Arial" w:hAnsi="Arial"/>
          <w:color w:val="FF0000"/>
          <w:lang w:val="en-US"/>
        </w:rPr>
      </w:pPr>
      <w:r w:rsidRPr="00D55D3F">
        <w:rPr>
          <w:rFonts w:ascii="Arial" w:hAnsi="Arial"/>
          <w:color w:val="FF0000"/>
          <w:lang w:val="en-US"/>
        </w:rPr>
        <w:t>Datenquelle</w:t>
      </w:r>
    </w:p>
    <w:p w14:paraId="4FBA2A0D" w14:textId="77777777" w:rsidR="00F62D5A" w:rsidRPr="00D55D3F" w:rsidRDefault="00F62D5A">
      <w:pPr>
        <w:tabs>
          <w:tab w:val="left" w:pos="3060"/>
        </w:tabs>
        <w:rPr>
          <w:rFonts w:ascii="Arial" w:hAnsi="Arial"/>
          <w:lang w:val="en-US"/>
        </w:rPr>
      </w:pPr>
    </w:p>
    <w:p w14:paraId="33EC1EC9" w14:textId="77777777" w:rsidR="00F62D5A" w:rsidRDefault="00DB2B44">
      <w:pPr>
        <w:tabs>
          <w:tab w:val="left" w:pos="3060"/>
        </w:tabs>
        <w:rPr>
          <w:rFonts w:ascii="Arial" w:hAnsi="Arial"/>
          <w:color w:val="000000"/>
          <w:lang w:val="en-GB"/>
        </w:rPr>
      </w:pPr>
      <w:r w:rsidRPr="00DB2B44">
        <w:rPr>
          <w:rFonts w:ascii="Arial" w:hAnsi="Arial"/>
          <w:color w:val="000000"/>
          <w:lang w:val="en-GB"/>
        </w:rPr>
        <w:t>Energy Institute</w:t>
      </w:r>
      <w:r>
        <w:rPr>
          <w:rFonts w:ascii="Arial" w:hAnsi="Arial"/>
          <w:color w:val="000000"/>
          <w:lang w:val="en-GB"/>
        </w:rPr>
        <w:t>:</w:t>
      </w:r>
      <w:r w:rsidRPr="00DB2B44">
        <w:rPr>
          <w:rFonts w:ascii="Arial" w:hAnsi="Arial"/>
          <w:color w:val="000000"/>
          <w:lang w:val="en-GB"/>
        </w:rPr>
        <w:t xml:space="preserve"> Statistical Review of World Energy</w:t>
      </w:r>
      <w:r>
        <w:rPr>
          <w:rFonts w:ascii="Arial" w:hAnsi="Arial"/>
          <w:color w:val="000000"/>
          <w:lang w:val="en-GB"/>
        </w:rPr>
        <w:t xml:space="preserve"> 2024</w:t>
      </w:r>
    </w:p>
    <w:p w14:paraId="0465CFF4" w14:textId="77777777" w:rsidR="00DB2B44" w:rsidRDefault="00DB2B44">
      <w:pPr>
        <w:tabs>
          <w:tab w:val="left" w:pos="3060"/>
        </w:tabs>
        <w:rPr>
          <w:rFonts w:ascii="Arial" w:hAnsi="Arial"/>
          <w:color w:val="000000"/>
          <w:lang w:val="en-GB"/>
        </w:rPr>
      </w:pPr>
    </w:p>
    <w:p w14:paraId="50E76954" w14:textId="77777777" w:rsidR="00F62D5A" w:rsidRDefault="00F62D5A">
      <w:pPr>
        <w:tabs>
          <w:tab w:val="left" w:pos="3060"/>
        </w:tabs>
        <w:rPr>
          <w:rFonts w:ascii="Arial" w:hAnsi="Arial"/>
          <w:color w:val="FF0000"/>
        </w:rPr>
      </w:pPr>
      <w:r>
        <w:rPr>
          <w:rFonts w:ascii="Arial" w:hAnsi="Arial"/>
          <w:color w:val="FF0000"/>
        </w:rPr>
        <w:t>Begriffe, methodische Anmerkungen oder Lesehilfen</w:t>
      </w:r>
    </w:p>
    <w:p w14:paraId="58C0A35D" w14:textId="77777777" w:rsidR="00F62D5A" w:rsidRPr="00007656" w:rsidRDefault="00F62D5A">
      <w:pPr>
        <w:rPr>
          <w:rFonts w:ascii="Arial" w:hAnsi="Arial"/>
          <w:color w:val="000000"/>
        </w:rPr>
      </w:pPr>
    </w:p>
    <w:p w14:paraId="71481D8B" w14:textId="77777777" w:rsidR="00D53EF0" w:rsidRPr="00007656" w:rsidRDefault="00EE4461">
      <w:pPr>
        <w:rPr>
          <w:rFonts w:ascii="Arial" w:hAnsi="Arial" w:cs="Arial"/>
        </w:rPr>
      </w:pPr>
      <w:bookmarkStart w:id="0" w:name="Primaerenergie"/>
      <w:r w:rsidRPr="00007656">
        <w:rPr>
          <w:rStyle w:val="Fett"/>
          <w:rFonts w:ascii="Arial" w:hAnsi="Arial" w:cs="Arial"/>
        </w:rPr>
        <w:t>Primärenergie</w:t>
      </w:r>
      <w:bookmarkEnd w:id="0"/>
      <w:r w:rsidRPr="00007656">
        <w:rPr>
          <w:rFonts w:ascii="Arial" w:hAnsi="Arial" w:cs="Arial"/>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007656">
        <w:rPr>
          <w:rStyle w:val="Fett"/>
          <w:rFonts w:ascii="Arial" w:hAnsi="Arial" w:cs="Arial"/>
        </w:rPr>
        <w:t>Endenergie</w:t>
      </w:r>
      <w:r w:rsidRPr="00007656">
        <w:rPr>
          <w:rFonts w:ascii="Arial" w:hAnsi="Arial" w:cs="Arial"/>
        </w:rPr>
        <w:t xml:space="preserve"> (Sekundärenergie). Die Form der Energie, in der sie tatsächlich vom Anwender verwendet wird, wird </w:t>
      </w:r>
      <w:r w:rsidRPr="00007656">
        <w:rPr>
          <w:rStyle w:val="Fett"/>
          <w:rFonts w:ascii="Arial" w:hAnsi="Arial" w:cs="Arial"/>
        </w:rPr>
        <w:t>Nutzenergie</w:t>
      </w:r>
      <w:r w:rsidRPr="00007656">
        <w:rPr>
          <w:rFonts w:ascii="Arial" w:hAnsi="Arial" w:cs="Arial"/>
        </w:rPr>
        <w:t xml:space="preserve"> genannt. Ein Beispiel: Rohöl (Primärenergie) wird zu Heizöl (Endenergie/Sekundärenergie) wird zu Wärme (Nutzenergie).</w:t>
      </w:r>
    </w:p>
    <w:p w14:paraId="76A259E0" w14:textId="77777777" w:rsidR="00D53EF0" w:rsidRDefault="00D53EF0">
      <w:pPr>
        <w:rPr>
          <w:rFonts w:ascii="Arial" w:hAnsi="Arial" w:cs="Arial"/>
        </w:rPr>
      </w:pPr>
    </w:p>
    <w:p w14:paraId="4D5ED44B" w14:textId="77777777" w:rsidR="00D53EF0" w:rsidRPr="00007656" w:rsidRDefault="00F62D5A" w:rsidP="00EE4461">
      <w:pPr>
        <w:rPr>
          <w:rFonts w:ascii="Arial" w:hAnsi="Arial" w:cs="Arial"/>
        </w:rPr>
      </w:pPr>
      <w:r w:rsidRPr="00007656">
        <w:rPr>
          <w:rFonts w:ascii="Arial" w:hAnsi="Arial" w:cs="Arial"/>
        </w:rPr>
        <w:t xml:space="preserve">Die hier gemachten Angaben beziehen sich auf </w:t>
      </w:r>
      <w:r w:rsidR="00007656" w:rsidRPr="00007656">
        <w:rPr>
          <w:rFonts w:ascii="Arial" w:hAnsi="Arial" w:cs="Arial"/>
        </w:rPr>
        <w:t>Öl, Kohle, Erdgas, Wasserkraft, Kernenergie und neue erneuerbare Energien (darunter Geothermie, Wind- und Solarenergie sowie Energie aus Biomasse).</w:t>
      </w:r>
    </w:p>
    <w:p w14:paraId="4A032D11" w14:textId="77777777" w:rsidR="00D53EF0" w:rsidRPr="00007656" w:rsidRDefault="00D53EF0" w:rsidP="00EE4461">
      <w:pPr>
        <w:rPr>
          <w:rFonts w:ascii="Arial" w:hAnsi="Arial" w:cs="Arial"/>
        </w:rPr>
      </w:pPr>
    </w:p>
    <w:p w14:paraId="76E4CD9F" w14:textId="77777777" w:rsidR="00F62D5A" w:rsidRDefault="00F62D5A" w:rsidP="002E1896">
      <w:pPr>
        <w:rPr>
          <w:rFonts w:ascii="Arial" w:hAnsi="Arial" w:cs="Arial"/>
        </w:rPr>
      </w:pPr>
      <w:r w:rsidRPr="00007656">
        <w:rPr>
          <w:rFonts w:ascii="Arial" w:hAnsi="Arial" w:cs="Arial"/>
        </w:rPr>
        <w:t xml:space="preserve">OECD – Organisation </w:t>
      </w:r>
      <w:proofErr w:type="spellStart"/>
      <w:r w:rsidRPr="00007656">
        <w:rPr>
          <w:rFonts w:ascii="Arial" w:hAnsi="Arial" w:cs="Arial"/>
        </w:rPr>
        <w:t>for</w:t>
      </w:r>
      <w:proofErr w:type="spellEnd"/>
      <w:r w:rsidRPr="00007656">
        <w:rPr>
          <w:rFonts w:ascii="Arial" w:hAnsi="Arial" w:cs="Arial"/>
        </w:rPr>
        <w:t xml:space="preserve"> </w:t>
      </w:r>
      <w:proofErr w:type="spellStart"/>
      <w:r w:rsidRPr="00007656">
        <w:rPr>
          <w:rFonts w:ascii="Arial" w:hAnsi="Arial" w:cs="Arial"/>
        </w:rPr>
        <w:t>Economic</w:t>
      </w:r>
      <w:proofErr w:type="spellEnd"/>
      <w:r w:rsidRPr="00007656">
        <w:rPr>
          <w:rFonts w:ascii="Arial" w:hAnsi="Arial" w:cs="Arial"/>
        </w:rPr>
        <w:t xml:space="preserve"> Co-operation and Development (Organisation für wirtschaftliche Zusammenarbeit und Entwicklung)</w:t>
      </w:r>
    </w:p>
    <w:p w14:paraId="42B154E8" w14:textId="77777777" w:rsidR="00640D3E" w:rsidRDefault="00640D3E" w:rsidP="002E1896">
      <w:pPr>
        <w:rPr>
          <w:rFonts w:ascii="Arial" w:hAnsi="Arial" w:cs="Arial"/>
        </w:rPr>
      </w:pPr>
    </w:p>
    <w:p w14:paraId="01500E18" w14:textId="6D1544EF" w:rsidR="00D378A0" w:rsidRPr="00E03AFE" w:rsidRDefault="00640D3E" w:rsidP="00D378A0">
      <w:pPr>
        <w:rPr>
          <w:rStyle w:val="Hyperlink"/>
        </w:rPr>
      </w:pPr>
      <w:r>
        <w:rPr>
          <w:rFonts w:ascii="Arial" w:hAnsi="Arial" w:cs="Arial"/>
        </w:rPr>
        <w:t xml:space="preserve">Der </w:t>
      </w:r>
      <w:r w:rsidRPr="00640D3E">
        <w:rPr>
          <w:rFonts w:ascii="Arial" w:hAnsi="Arial" w:cs="Arial"/>
          <w:b/>
        </w:rPr>
        <w:t>Statistical Review</w:t>
      </w:r>
      <w:r>
        <w:rPr>
          <w:rFonts w:ascii="Arial" w:hAnsi="Arial" w:cs="Arial"/>
        </w:rPr>
        <w:t xml:space="preserve"> wurde bis 2022 vom </w:t>
      </w:r>
      <w:r w:rsidRPr="00640D3E">
        <w:rPr>
          <w:rFonts w:ascii="Arial" w:hAnsi="Arial" w:cs="Arial"/>
        </w:rPr>
        <w:t xml:space="preserve">Energiekonzern British Petroleum (BP) herausgegeben. Seit 2023 wird der Review </w:t>
      </w:r>
      <w:r>
        <w:rPr>
          <w:rFonts w:ascii="Arial" w:hAnsi="Arial" w:cs="Arial"/>
          <w:color w:val="000000"/>
          <w:shd w:val="clear" w:color="auto" w:fill="FFFFFF"/>
        </w:rPr>
        <w:t xml:space="preserve">vom Energy Institute in Zusammenarbeit mit den </w:t>
      </w:r>
      <w:r w:rsidRPr="00640D3E">
        <w:rPr>
          <w:rFonts w:ascii="Arial" w:hAnsi="Arial" w:cs="Arial"/>
        </w:rPr>
        <w:t xml:space="preserve">Beratungsunternehmen KPMG und Kearney herausgegeben. </w:t>
      </w:r>
      <w:r w:rsidR="00ED5679">
        <w:rPr>
          <w:rFonts w:ascii="Arial" w:hAnsi="Arial" w:cs="Arial"/>
        </w:rPr>
        <w:t>D</w:t>
      </w:r>
      <w:r w:rsidRPr="00640D3E">
        <w:rPr>
          <w:rFonts w:ascii="Arial" w:hAnsi="Arial" w:cs="Arial"/>
        </w:rPr>
        <w:t xml:space="preserve">ie Veröffentlichung </w:t>
      </w:r>
      <w:r w:rsidR="00ED5679">
        <w:rPr>
          <w:rFonts w:ascii="Arial" w:hAnsi="Arial" w:cs="Arial"/>
        </w:rPr>
        <w:t xml:space="preserve">wird </w:t>
      </w:r>
      <w:r w:rsidRPr="00640D3E">
        <w:rPr>
          <w:rFonts w:ascii="Arial" w:hAnsi="Arial" w:cs="Arial"/>
        </w:rPr>
        <w:t>weiterhin</w:t>
      </w:r>
      <w:r w:rsidR="00ED5679">
        <w:rPr>
          <w:rFonts w:ascii="Arial" w:hAnsi="Arial" w:cs="Arial"/>
        </w:rPr>
        <w:t xml:space="preserve"> von BP </w:t>
      </w:r>
      <w:r w:rsidR="00ED5679" w:rsidRPr="00640D3E">
        <w:rPr>
          <w:rFonts w:ascii="Arial" w:hAnsi="Arial" w:cs="Arial"/>
        </w:rPr>
        <w:t>unterstützt</w:t>
      </w:r>
      <w:r w:rsidR="00474B8E">
        <w:rPr>
          <w:rFonts w:ascii="Arial" w:hAnsi="Arial" w:cs="Arial"/>
        </w:rPr>
        <w:t xml:space="preserve">: </w:t>
      </w:r>
      <w:hyperlink r:id="rId7" w:history="1">
        <w:r w:rsidR="00D378A0" w:rsidRPr="00E03AFE">
          <w:rPr>
            <w:rStyle w:val="Hyperlink"/>
            <w:rFonts w:ascii="Arial" w:hAnsi="Arial" w:cs="Arial"/>
          </w:rPr>
          <w:t>https://www.energyinst.org/statistical-review/about</w:t>
        </w:r>
      </w:hyperlink>
    </w:p>
    <w:p w14:paraId="773953CE" w14:textId="77777777" w:rsidR="00B86516" w:rsidRDefault="00B86516" w:rsidP="00640D3E">
      <w:pPr>
        <w:rPr>
          <w:rFonts w:ascii="Arial" w:hAnsi="Arial" w:cs="Arial"/>
        </w:rPr>
      </w:pPr>
    </w:p>
    <w:p w14:paraId="4EB7BBCE" w14:textId="7FE8FC7E" w:rsidR="00640D3E" w:rsidRDefault="00B86516" w:rsidP="00640D3E">
      <w:pPr>
        <w:rPr>
          <w:rFonts w:ascii="Arial" w:hAnsi="Arial" w:cs="Arial"/>
        </w:rPr>
      </w:pPr>
      <w:r>
        <w:rPr>
          <w:rFonts w:ascii="Arial" w:hAnsi="Arial" w:cs="Arial"/>
        </w:rPr>
        <w:t xml:space="preserve">Informationen zur </w:t>
      </w:r>
      <w:r w:rsidRPr="00B86516">
        <w:rPr>
          <w:rFonts w:ascii="Arial" w:hAnsi="Arial" w:cs="Arial"/>
          <w:b/>
        </w:rPr>
        <w:t>Zusammensetzung der Regionen</w:t>
      </w:r>
      <w:r>
        <w:rPr>
          <w:rFonts w:ascii="Arial" w:hAnsi="Arial" w:cs="Arial"/>
        </w:rPr>
        <w:t xml:space="preserve"> finden Sie im Anhang des </w:t>
      </w:r>
      <w:r w:rsidRPr="00B86516">
        <w:rPr>
          <w:rFonts w:ascii="Arial" w:hAnsi="Arial" w:cs="Arial"/>
        </w:rPr>
        <w:t>Statistical Review</w:t>
      </w:r>
      <w:r w:rsidR="00E03AFE">
        <w:rPr>
          <w:rFonts w:ascii="Arial" w:hAnsi="Arial" w:cs="Arial"/>
        </w:rPr>
        <w:t xml:space="preserve">: </w:t>
      </w:r>
      <w:hyperlink r:id="rId8" w:history="1">
        <w:r w:rsidR="00E03AFE" w:rsidRPr="00D845EB">
          <w:rPr>
            <w:rStyle w:val="Hyperlink"/>
            <w:rFonts w:ascii="Arial" w:hAnsi="Arial" w:cs="Arial"/>
          </w:rPr>
          <w:t>https://www.energyinst.org/statistical-review</w:t>
        </w:r>
      </w:hyperlink>
    </w:p>
    <w:p w14:paraId="742B3D39" w14:textId="77777777" w:rsidR="00E03AFE" w:rsidRDefault="00E03AFE" w:rsidP="00640D3E">
      <w:pPr>
        <w:rPr>
          <w:rFonts w:ascii="Arial" w:hAnsi="Arial" w:cs="Arial"/>
        </w:rPr>
      </w:pPr>
    </w:p>
    <w:p w14:paraId="79ACA3B3" w14:textId="77777777" w:rsidR="00AB2707" w:rsidRPr="00AB2707" w:rsidRDefault="00AB2707" w:rsidP="00AB2707">
      <w:pPr>
        <w:rPr>
          <w:rFonts w:ascii="Arial" w:hAnsi="Arial"/>
          <w:sz w:val="20"/>
          <w:szCs w:val="20"/>
        </w:rPr>
      </w:pPr>
      <w:r w:rsidRPr="00AB2707">
        <w:rPr>
          <w:rFonts w:ascii="Arial" w:hAnsi="Arial"/>
          <w:sz w:val="20"/>
          <w:szCs w:val="20"/>
        </w:rPr>
        <w:t>Dieser Text ist unter der Creative Commons Lizenz CC BY-NC-ND 4.0 veröffentlicht.</w:t>
      </w:r>
    </w:p>
    <w:p w14:paraId="6F11105F" w14:textId="7985EE16" w:rsidR="00BD0C18" w:rsidRPr="002E1896" w:rsidRDefault="00AB2707" w:rsidP="00AB2707">
      <w:pPr>
        <w:rPr>
          <w:rFonts w:ascii="Arial" w:hAnsi="Arial" w:cs="Arial"/>
        </w:rPr>
      </w:pPr>
      <w:r w:rsidRPr="00AB2707">
        <w:rPr>
          <w:rFonts w:ascii="Arial" w:hAnsi="Arial"/>
          <w:sz w:val="20"/>
          <w:szCs w:val="20"/>
        </w:rPr>
        <w:t>Bundeszentrale für politische Bildung 202</w:t>
      </w:r>
      <w:r w:rsidR="00181588">
        <w:rPr>
          <w:rFonts w:ascii="Arial" w:hAnsi="Arial"/>
          <w:sz w:val="20"/>
          <w:szCs w:val="20"/>
        </w:rPr>
        <w:t>5</w:t>
      </w:r>
      <w:r w:rsidRPr="00AB2707">
        <w:rPr>
          <w:rFonts w:ascii="Arial" w:hAnsi="Arial"/>
          <w:sz w:val="20"/>
          <w:szCs w:val="20"/>
        </w:rPr>
        <w:t xml:space="preserve"> | www.bpb.de</w:t>
      </w:r>
    </w:p>
    <w:sectPr w:rsidR="00BD0C18" w:rsidRPr="002E189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32D6" w14:textId="77777777" w:rsidR="00F6248E" w:rsidRDefault="00F6248E" w:rsidP="0001288A">
      <w:r>
        <w:separator/>
      </w:r>
    </w:p>
  </w:endnote>
  <w:endnote w:type="continuationSeparator" w:id="0">
    <w:p w14:paraId="6EC972C5" w14:textId="77777777" w:rsidR="00F6248E" w:rsidRDefault="00F6248E" w:rsidP="0001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8B839" w14:textId="77777777" w:rsidR="0001288A" w:rsidRDefault="000128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C3FD" w14:textId="77777777" w:rsidR="0001288A" w:rsidRDefault="000128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020D" w14:textId="77777777" w:rsidR="0001288A" w:rsidRDefault="000128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3C9F" w14:textId="77777777" w:rsidR="00F6248E" w:rsidRDefault="00F6248E" w:rsidP="0001288A">
      <w:r>
        <w:separator/>
      </w:r>
    </w:p>
  </w:footnote>
  <w:footnote w:type="continuationSeparator" w:id="0">
    <w:p w14:paraId="076DFED5" w14:textId="77777777" w:rsidR="00F6248E" w:rsidRDefault="00F6248E" w:rsidP="0001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45AC7" w14:textId="77777777" w:rsidR="0001288A" w:rsidRDefault="000128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1523" w14:textId="77777777" w:rsidR="0001288A" w:rsidRDefault="000128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8634" w14:textId="77777777" w:rsidR="0001288A" w:rsidRDefault="000128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804DE"/>
    <w:multiLevelType w:val="hybridMultilevel"/>
    <w:tmpl w:val="E08E4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467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63"/>
    <w:rsid w:val="0000408A"/>
    <w:rsid w:val="00007656"/>
    <w:rsid w:val="0001288A"/>
    <w:rsid w:val="0002128B"/>
    <w:rsid w:val="000534D0"/>
    <w:rsid w:val="000B061C"/>
    <w:rsid w:val="000B1501"/>
    <w:rsid w:val="000B4D29"/>
    <w:rsid w:val="00115A39"/>
    <w:rsid w:val="0012766C"/>
    <w:rsid w:val="00151514"/>
    <w:rsid w:val="001527DC"/>
    <w:rsid w:val="00181588"/>
    <w:rsid w:val="001A75DF"/>
    <w:rsid w:val="001B3D8C"/>
    <w:rsid w:val="001C0420"/>
    <w:rsid w:val="001E2591"/>
    <w:rsid w:val="002156A0"/>
    <w:rsid w:val="0023024E"/>
    <w:rsid w:val="00240B1F"/>
    <w:rsid w:val="002721FE"/>
    <w:rsid w:val="0027550C"/>
    <w:rsid w:val="00277B75"/>
    <w:rsid w:val="00295173"/>
    <w:rsid w:val="002A3298"/>
    <w:rsid w:val="002A54E9"/>
    <w:rsid w:val="002E1896"/>
    <w:rsid w:val="00374480"/>
    <w:rsid w:val="003A0895"/>
    <w:rsid w:val="004147C4"/>
    <w:rsid w:val="00425AFE"/>
    <w:rsid w:val="00436794"/>
    <w:rsid w:val="00474B8E"/>
    <w:rsid w:val="004C2C36"/>
    <w:rsid w:val="004D1BB9"/>
    <w:rsid w:val="00525B0E"/>
    <w:rsid w:val="00573001"/>
    <w:rsid w:val="005C01BC"/>
    <w:rsid w:val="005C5335"/>
    <w:rsid w:val="005E3129"/>
    <w:rsid w:val="006332BD"/>
    <w:rsid w:val="00640D3E"/>
    <w:rsid w:val="00651D64"/>
    <w:rsid w:val="006B3B86"/>
    <w:rsid w:val="006F7FA2"/>
    <w:rsid w:val="00742D6E"/>
    <w:rsid w:val="00774EA6"/>
    <w:rsid w:val="00783E00"/>
    <w:rsid w:val="007940CB"/>
    <w:rsid w:val="007A0CD1"/>
    <w:rsid w:val="007A32B7"/>
    <w:rsid w:val="007B3951"/>
    <w:rsid w:val="007C7D4D"/>
    <w:rsid w:val="008142CF"/>
    <w:rsid w:val="00854CAB"/>
    <w:rsid w:val="00897379"/>
    <w:rsid w:val="008A164F"/>
    <w:rsid w:val="008C59B7"/>
    <w:rsid w:val="00921DCE"/>
    <w:rsid w:val="00942967"/>
    <w:rsid w:val="009B1950"/>
    <w:rsid w:val="009C150C"/>
    <w:rsid w:val="009D3F93"/>
    <w:rsid w:val="009E7392"/>
    <w:rsid w:val="009F4E83"/>
    <w:rsid w:val="00A10D87"/>
    <w:rsid w:val="00A4570A"/>
    <w:rsid w:val="00A54F91"/>
    <w:rsid w:val="00AA2882"/>
    <w:rsid w:val="00AB2707"/>
    <w:rsid w:val="00B86516"/>
    <w:rsid w:val="00B95794"/>
    <w:rsid w:val="00BD0C18"/>
    <w:rsid w:val="00BF64DB"/>
    <w:rsid w:val="00C04B2E"/>
    <w:rsid w:val="00CB1FCD"/>
    <w:rsid w:val="00CD0FF0"/>
    <w:rsid w:val="00D20236"/>
    <w:rsid w:val="00D378A0"/>
    <w:rsid w:val="00D501AD"/>
    <w:rsid w:val="00D53EF0"/>
    <w:rsid w:val="00D55D3F"/>
    <w:rsid w:val="00D70F94"/>
    <w:rsid w:val="00DA34A3"/>
    <w:rsid w:val="00DB2B44"/>
    <w:rsid w:val="00DF1947"/>
    <w:rsid w:val="00E03AFE"/>
    <w:rsid w:val="00E22002"/>
    <w:rsid w:val="00EC0512"/>
    <w:rsid w:val="00ED5679"/>
    <w:rsid w:val="00EE4461"/>
    <w:rsid w:val="00F45E63"/>
    <w:rsid w:val="00F6248E"/>
    <w:rsid w:val="00F62D5A"/>
    <w:rsid w:val="00F713A9"/>
    <w:rsid w:val="00FA6E23"/>
    <w:rsid w:val="00FB3014"/>
    <w:rsid w:val="00FD3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6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B0E"/>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F45E63"/>
    <w:rPr>
      <w:rFonts w:ascii="Tahoma" w:hAnsi="Tahoma" w:cs="Tahoma"/>
      <w:sz w:val="16"/>
      <w:szCs w:val="16"/>
    </w:rPr>
  </w:style>
  <w:style w:type="character" w:styleId="Fett">
    <w:name w:val="Strong"/>
    <w:uiPriority w:val="22"/>
    <w:qFormat/>
    <w:rsid w:val="00EE4461"/>
    <w:rPr>
      <w:b/>
      <w:bCs/>
    </w:rPr>
  </w:style>
  <w:style w:type="paragraph" w:styleId="Kopfzeile">
    <w:name w:val="header"/>
    <w:basedOn w:val="Standard"/>
    <w:link w:val="KopfzeileZchn"/>
    <w:uiPriority w:val="99"/>
    <w:unhideWhenUsed/>
    <w:rsid w:val="0001288A"/>
    <w:pPr>
      <w:tabs>
        <w:tab w:val="center" w:pos="4536"/>
        <w:tab w:val="right" w:pos="9072"/>
      </w:tabs>
    </w:pPr>
  </w:style>
  <w:style w:type="character" w:customStyle="1" w:styleId="KopfzeileZchn">
    <w:name w:val="Kopfzeile Zchn"/>
    <w:basedOn w:val="Absatz-Standardschriftart"/>
    <w:link w:val="Kopfzeile"/>
    <w:uiPriority w:val="99"/>
    <w:rsid w:val="0001288A"/>
    <w:rPr>
      <w:sz w:val="24"/>
      <w:szCs w:val="24"/>
    </w:rPr>
  </w:style>
  <w:style w:type="paragraph" w:styleId="Fuzeile">
    <w:name w:val="footer"/>
    <w:basedOn w:val="Standard"/>
    <w:link w:val="FuzeileZchn"/>
    <w:uiPriority w:val="99"/>
    <w:unhideWhenUsed/>
    <w:rsid w:val="0001288A"/>
    <w:pPr>
      <w:tabs>
        <w:tab w:val="center" w:pos="4536"/>
        <w:tab w:val="right" w:pos="9072"/>
      </w:tabs>
    </w:pPr>
  </w:style>
  <w:style w:type="character" w:customStyle="1" w:styleId="FuzeileZchn">
    <w:name w:val="Fußzeile Zchn"/>
    <w:basedOn w:val="Absatz-Standardschriftart"/>
    <w:link w:val="Fuzeile"/>
    <w:uiPriority w:val="99"/>
    <w:rsid w:val="0001288A"/>
    <w:rPr>
      <w:sz w:val="24"/>
      <w:szCs w:val="24"/>
    </w:rPr>
  </w:style>
  <w:style w:type="character" w:styleId="Hervorhebung">
    <w:name w:val="Emphasis"/>
    <w:basedOn w:val="Absatz-Standardschriftart"/>
    <w:uiPriority w:val="20"/>
    <w:qFormat/>
    <w:rsid w:val="00A4570A"/>
    <w:rPr>
      <w:i/>
      <w:iCs/>
    </w:rPr>
  </w:style>
  <w:style w:type="paragraph" w:styleId="Listenabsatz">
    <w:name w:val="List Paragraph"/>
    <w:basedOn w:val="Standard"/>
    <w:uiPriority w:val="34"/>
    <w:qFormat/>
    <w:rsid w:val="004147C4"/>
    <w:pPr>
      <w:ind w:left="720"/>
      <w:contextualSpacing/>
    </w:pPr>
  </w:style>
  <w:style w:type="character" w:styleId="NichtaufgelsteErwhnung">
    <w:name w:val="Unresolved Mention"/>
    <w:basedOn w:val="Absatz-Standardschriftart"/>
    <w:uiPriority w:val="99"/>
    <w:semiHidden/>
    <w:unhideWhenUsed/>
    <w:rsid w:val="00E03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yinst.org/statistical-re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nergyinst.org/statistical-review/abou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6106</CharactersWithSpaces>
  <SharedDoc>false</SharedDoc>
  <HLinks>
    <vt:vector size="6" baseType="variant">
      <vt:variant>
        <vt:i4>6750313</vt:i4>
      </vt:variant>
      <vt:variant>
        <vt:i4>0</vt:i4>
      </vt:variant>
      <vt:variant>
        <vt:i4>0</vt:i4>
      </vt:variant>
      <vt:variant>
        <vt:i4>5</vt:i4>
      </vt:variant>
      <vt:variant>
        <vt:lpwstr>http://www.bpb.de/52754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2025-04-16T10:00:00Z</dcterms:created>
  <dcterms:modified xsi:type="dcterms:W3CDTF">2025-05-10T13:08:00Z</dcterms:modified>
</cp:coreProperties>
</file>