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B9" w:rsidRPr="00EC0512" w:rsidRDefault="004D1BB9" w:rsidP="004D1BB9">
      <w:pPr>
        <w:tabs>
          <w:tab w:val="left" w:pos="3060"/>
        </w:tabs>
        <w:rPr>
          <w:rFonts w:ascii="Arial" w:hAnsi="Arial"/>
          <w:b/>
        </w:rPr>
      </w:pPr>
      <w:bookmarkStart w:id="0" w:name="_GoBack"/>
      <w:bookmarkEnd w:id="0"/>
      <w:r w:rsidRPr="00EC0512">
        <w:rPr>
          <w:rFonts w:ascii="Arial" w:hAnsi="Arial"/>
          <w:b/>
        </w:rPr>
        <w:t xml:space="preserve">Der Primärenergie-Verbrauch ist in allen Regionen der Welt gestiegen. </w:t>
      </w:r>
      <w:r>
        <w:rPr>
          <w:rFonts w:ascii="Arial" w:hAnsi="Arial"/>
          <w:b/>
        </w:rPr>
        <w:t>Relativ a</w:t>
      </w:r>
      <w:r w:rsidRPr="00EC0512">
        <w:rPr>
          <w:rFonts w:ascii="Arial" w:hAnsi="Arial"/>
          <w:b/>
        </w:rPr>
        <w:t>m stärksten im Mittleren Osten und im asiatisch-pazifischen Raum, am schwächsten in Nordamerika sowie in Europa und Eurasien. Auf Asien entfielen 2014 mehr als zwei Fünftel des weltweiten Primärenergie-Verbrauchs – der mit Abstand höchste Anteil unter den Regionen.</w:t>
      </w:r>
      <w:r w:rsidRPr="00C04B2E">
        <w:rPr>
          <w:rFonts w:ascii="Arial" w:hAnsi="Arial"/>
          <w:b/>
        </w:rPr>
        <w:t xml:space="preserve"> Allein Chinas Anteil am weltweiten Primärenergie-Verbrauch lag 2014 bei gut 23</w:t>
      </w:r>
      <w:r>
        <w:rPr>
          <w:rFonts w:ascii="Arial" w:hAnsi="Arial"/>
          <w:b/>
        </w:rPr>
        <w:t xml:space="preserve"> </w:t>
      </w:r>
      <w:r w:rsidRPr="00C04B2E">
        <w:rPr>
          <w:rFonts w:ascii="Arial" w:hAnsi="Arial"/>
          <w:b/>
        </w:rPr>
        <w:t>Prozent</w:t>
      </w:r>
      <w:r>
        <w:rPr>
          <w:rFonts w:ascii="Arial" w:hAnsi="Arial"/>
          <w:b/>
        </w:rPr>
        <w:t xml:space="preserve"> und damit höher als der Anteil Nordamerikas</w:t>
      </w:r>
      <w:r w:rsidRPr="00C04B2E">
        <w:rPr>
          <w:rFonts w:ascii="Arial" w:hAnsi="Arial"/>
          <w:b/>
        </w:rPr>
        <w:t>.</w:t>
      </w:r>
    </w:p>
    <w:p w:rsidR="004D1BB9" w:rsidRPr="00C04B2E" w:rsidRDefault="004D1BB9" w:rsidP="004D1BB9">
      <w:pPr>
        <w:tabs>
          <w:tab w:val="left" w:pos="3060"/>
        </w:tabs>
        <w:rPr>
          <w:rFonts w:ascii="Arial" w:hAnsi="Arial"/>
          <w:b/>
        </w:rPr>
      </w:pPr>
    </w:p>
    <w:p w:rsidR="00F62D5A" w:rsidRDefault="00FA6E23">
      <w:pPr>
        <w:tabs>
          <w:tab w:val="left" w:pos="3060"/>
        </w:tabs>
        <w:rPr>
          <w:rFonts w:ascii="Arial" w:hAnsi="Arial"/>
          <w:color w:val="FF0000"/>
        </w:rPr>
      </w:pPr>
      <w:r w:rsidRPr="00117627">
        <w:rPr>
          <w:rFonts w:ascii="Arial" w:hAnsi="Arial"/>
          <w:color w:val="FF0000"/>
        </w:rPr>
        <w:t>Fakten</w:t>
      </w:r>
    </w:p>
    <w:p w:rsidR="00FA6E23" w:rsidRPr="005E3129" w:rsidRDefault="00FA6E23">
      <w:pPr>
        <w:tabs>
          <w:tab w:val="left" w:pos="3060"/>
        </w:tabs>
        <w:rPr>
          <w:rFonts w:ascii="Arial" w:hAnsi="Arial"/>
        </w:rPr>
      </w:pPr>
    </w:p>
    <w:p w:rsidR="00D53EF0" w:rsidRDefault="00EE4461">
      <w:pPr>
        <w:tabs>
          <w:tab w:val="left" w:pos="3060"/>
        </w:tabs>
        <w:rPr>
          <w:rFonts w:ascii="Arial" w:hAnsi="Arial"/>
        </w:rPr>
      </w:pPr>
      <w:r w:rsidRPr="005E3129">
        <w:rPr>
          <w:rFonts w:ascii="Arial" w:hAnsi="Arial"/>
        </w:rPr>
        <w:t>Der weltweite Verbrauch an Primärenergie stieg zwischen 1970 und 20</w:t>
      </w:r>
      <w:r w:rsidR="00D501AD" w:rsidRPr="005E3129">
        <w:rPr>
          <w:rFonts w:ascii="Arial" w:hAnsi="Arial"/>
        </w:rPr>
        <w:t>14</w:t>
      </w:r>
      <w:r w:rsidRPr="005E3129">
        <w:rPr>
          <w:rFonts w:ascii="Arial" w:hAnsi="Arial"/>
        </w:rPr>
        <w:t xml:space="preserve"> von 4.9</w:t>
      </w:r>
      <w:r w:rsidR="005C01BC" w:rsidRPr="005E3129">
        <w:rPr>
          <w:rFonts w:ascii="Arial" w:hAnsi="Arial"/>
        </w:rPr>
        <w:t>13</w:t>
      </w:r>
      <w:r w:rsidRPr="005E3129">
        <w:rPr>
          <w:rFonts w:ascii="Arial" w:hAnsi="Arial"/>
        </w:rPr>
        <w:t xml:space="preserve"> auf 1</w:t>
      </w:r>
      <w:r w:rsidR="005C01BC" w:rsidRPr="005E3129">
        <w:rPr>
          <w:rFonts w:ascii="Arial" w:hAnsi="Arial"/>
        </w:rPr>
        <w:t>2</w:t>
      </w:r>
      <w:r w:rsidRPr="005E3129">
        <w:rPr>
          <w:rFonts w:ascii="Arial" w:hAnsi="Arial"/>
        </w:rPr>
        <w:t>.</w:t>
      </w:r>
      <w:r w:rsidR="005C01BC" w:rsidRPr="005E3129">
        <w:rPr>
          <w:rFonts w:ascii="Arial" w:hAnsi="Arial"/>
        </w:rPr>
        <w:t>928</w:t>
      </w:r>
      <w:r w:rsidRPr="005E3129">
        <w:rPr>
          <w:rFonts w:ascii="Arial" w:hAnsi="Arial"/>
        </w:rPr>
        <w:t xml:space="preserve"> Millionen Tonnen Öläquivalent – eine Steigerung um 1</w:t>
      </w:r>
      <w:r w:rsidR="005C01BC" w:rsidRPr="005E3129">
        <w:rPr>
          <w:rFonts w:ascii="Arial" w:hAnsi="Arial"/>
        </w:rPr>
        <w:t>6</w:t>
      </w:r>
      <w:r w:rsidRPr="005E3129">
        <w:rPr>
          <w:rFonts w:ascii="Arial" w:hAnsi="Arial"/>
        </w:rPr>
        <w:t>3 Prozent</w:t>
      </w:r>
      <w:r w:rsidR="007B3951" w:rsidRPr="005E3129">
        <w:rPr>
          <w:rFonts w:ascii="Arial" w:hAnsi="Arial"/>
        </w:rPr>
        <w:t xml:space="preserve"> (Faktor 2,6)</w:t>
      </w:r>
      <w:r w:rsidRPr="005E3129">
        <w:rPr>
          <w:rFonts w:ascii="Arial" w:hAnsi="Arial"/>
        </w:rPr>
        <w:t xml:space="preserve">. Auch wenn der Primärenergie-Verbrauch in allen Regionen gestiegen ist, sind nicht alle Regionen gleichermaßen für die weltweite Zunahme verantwortlich. Im </w:t>
      </w:r>
      <w:r w:rsidR="007B3951" w:rsidRPr="005E3129">
        <w:rPr>
          <w:rFonts w:ascii="Arial" w:hAnsi="Arial"/>
        </w:rPr>
        <w:t xml:space="preserve">Mittleren Osten hat sich </w:t>
      </w:r>
      <w:r w:rsidRPr="005E3129">
        <w:rPr>
          <w:rFonts w:ascii="Arial" w:hAnsi="Arial"/>
        </w:rPr>
        <w:t xml:space="preserve">der Primärenergie-Verbrauch </w:t>
      </w:r>
      <w:r w:rsidR="007B3951" w:rsidRPr="005E3129">
        <w:rPr>
          <w:rFonts w:ascii="Arial" w:hAnsi="Arial"/>
        </w:rPr>
        <w:t xml:space="preserve">zwischen 1970 und 2014 mehr als verdreizehnfacht (plus 1.230 Prozent). Parallel nahm der Primärenergie-Verbrauch im asiatisch-pazifischen Raum um den Faktor 7,6 zu (plus 657 Prozent). Allein in China hat sich der Energieverbrauch fast verfünfzehnfacht (plus 1.355 Prozent). Ebenfalls über dem weltweiten Durchschnitt lag die Steigerung des Primärenergie-Verbrauchs in den Jahren 1970 bis 2014 in </w:t>
      </w:r>
      <w:r w:rsidRPr="005E3129">
        <w:rPr>
          <w:rFonts w:ascii="Arial" w:hAnsi="Arial"/>
        </w:rPr>
        <w:t>Afrika (</w:t>
      </w:r>
      <w:r w:rsidR="007B3951" w:rsidRPr="005E3129">
        <w:rPr>
          <w:rFonts w:ascii="Arial" w:hAnsi="Arial"/>
        </w:rPr>
        <w:t xml:space="preserve">Faktor 5,7 / </w:t>
      </w:r>
      <w:r w:rsidRPr="005E3129">
        <w:rPr>
          <w:rFonts w:ascii="Arial" w:hAnsi="Arial"/>
        </w:rPr>
        <w:t xml:space="preserve">plus </w:t>
      </w:r>
      <w:r w:rsidR="007B3951" w:rsidRPr="005E3129">
        <w:rPr>
          <w:rFonts w:ascii="Arial" w:hAnsi="Arial"/>
        </w:rPr>
        <w:t>469</w:t>
      </w:r>
      <w:r w:rsidRPr="005E3129">
        <w:rPr>
          <w:rFonts w:ascii="Arial" w:hAnsi="Arial"/>
        </w:rPr>
        <w:t xml:space="preserve"> Prozent) sowie Mittel- und Südamerika (</w:t>
      </w:r>
      <w:r w:rsidR="007B3951" w:rsidRPr="005E3129">
        <w:rPr>
          <w:rFonts w:ascii="Arial" w:hAnsi="Arial"/>
        </w:rPr>
        <w:t>Faktor 4,9 /</w:t>
      </w:r>
      <w:r w:rsidR="00921DCE">
        <w:rPr>
          <w:rFonts w:ascii="Arial" w:hAnsi="Arial"/>
        </w:rPr>
        <w:t xml:space="preserve"> plus</w:t>
      </w:r>
      <w:r w:rsidR="007B3951" w:rsidRPr="005E3129">
        <w:rPr>
          <w:rFonts w:ascii="Arial" w:hAnsi="Arial"/>
        </w:rPr>
        <w:t xml:space="preserve"> 388 Prozent).</w:t>
      </w:r>
      <w:r w:rsidRPr="005E3129">
        <w:rPr>
          <w:rFonts w:ascii="Arial" w:hAnsi="Arial"/>
        </w:rPr>
        <w:t xml:space="preserve"> Deutlich unter dem Durchschnitt lag die Steigerung des Primärenergie-Verbrauchs hingegen in Nordamerika (</w:t>
      </w:r>
      <w:r w:rsidR="000B4D29" w:rsidRPr="005E3129">
        <w:rPr>
          <w:rFonts w:ascii="Arial" w:hAnsi="Arial"/>
        </w:rPr>
        <w:t>Faktor 1,6 / plus 55</w:t>
      </w:r>
      <w:r w:rsidRPr="005E3129">
        <w:rPr>
          <w:rFonts w:ascii="Arial" w:hAnsi="Arial"/>
        </w:rPr>
        <w:t xml:space="preserve"> Prozent) sowie in Europa und Eurasien (</w:t>
      </w:r>
      <w:r w:rsidR="000B4D29" w:rsidRPr="005E3129">
        <w:rPr>
          <w:rFonts w:ascii="Arial" w:hAnsi="Arial"/>
        </w:rPr>
        <w:t xml:space="preserve">Faktor 1,3 / </w:t>
      </w:r>
      <w:r w:rsidRPr="005E3129">
        <w:rPr>
          <w:rFonts w:ascii="Arial" w:hAnsi="Arial"/>
        </w:rPr>
        <w:t xml:space="preserve">plus </w:t>
      </w:r>
      <w:r w:rsidR="000B4D29" w:rsidRPr="005E3129">
        <w:rPr>
          <w:rFonts w:ascii="Arial" w:hAnsi="Arial"/>
        </w:rPr>
        <w:t>34</w:t>
      </w:r>
      <w:r w:rsidRPr="005E3129">
        <w:rPr>
          <w:rFonts w:ascii="Arial" w:hAnsi="Arial"/>
        </w:rPr>
        <w:t xml:space="preserve"> Prozent). In Deutschland stieg der Verbrauch zwischen 1970 und 1979 von 3</w:t>
      </w:r>
      <w:r w:rsidR="000B4D29" w:rsidRPr="005E3129">
        <w:rPr>
          <w:rFonts w:ascii="Arial" w:hAnsi="Arial"/>
        </w:rPr>
        <w:t>07</w:t>
      </w:r>
      <w:r w:rsidRPr="005E3129">
        <w:rPr>
          <w:rFonts w:ascii="Arial" w:hAnsi="Arial"/>
        </w:rPr>
        <w:t xml:space="preserve"> auf 37</w:t>
      </w:r>
      <w:r w:rsidR="000B4D29" w:rsidRPr="005E3129">
        <w:rPr>
          <w:rFonts w:ascii="Arial" w:hAnsi="Arial"/>
        </w:rPr>
        <w:t>0</w:t>
      </w:r>
      <w:r w:rsidRPr="005E3129">
        <w:rPr>
          <w:rFonts w:ascii="Arial" w:hAnsi="Arial"/>
        </w:rPr>
        <w:t xml:space="preserve"> Millionen Tonnen Öläquivalent</w:t>
      </w:r>
      <w:r w:rsidR="000B4D29" w:rsidRPr="005E3129">
        <w:rPr>
          <w:rFonts w:ascii="Arial" w:hAnsi="Arial"/>
        </w:rPr>
        <w:t>, im Jahr 2009 lag er bei 308, 2014 bei 311 Millionen Tonnen Öläquivalent</w:t>
      </w:r>
      <w:r w:rsidR="00D53EF0">
        <w:rPr>
          <w:rFonts w:ascii="Arial" w:hAnsi="Arial"/>
        </w:rPr>
        <w:t>.</w:t>
      </w:r>
    </w:p>
    <w:p w:rsidR="00D53EF0" w:rsidRDefault="00D53EF0">
      <w:pPr>
        <w:tabs>
          <w:tab w:val="left" w:pos="3060"/>
        </w:tabs>
        <w:rPr>
          <w:rFonts w:ascii="Arial" w:hAnsi="Arial"/>
        </w:rPr>
      </w:pPr>
    </w:p>
    <w:p w:rsidR="00D53EF0" w:rsidRDefault="00EE4461" w:rsidP="005C01BC">
      <w:pPr>
        <w:tabs>
          <w:tab w:val="left" w:pos="3060"/>
        </w:tabs>
        <w:rPr>
          <w:rFonts w:ascii="Arial" w:hAnsi="Arial"/>
        </w:rPr>
      </w:pPr>
      <w:r w:rsidRPr="005E3129">
        <w:rPr>
          <w:rFonts w:ascii="Arial" w:hAnsi="Arial"/>
        </w:rPr>
        <w:t>Entsprechend der unterschiedlichen Steigerung in den einzelnen Regionen haben sich auch die Anteile am weltweiten Primärenergie-Verbrauch verändert. So erhöhte sich der Anteil des asiatisch-pazifischen Raumes zwischen 1970 und 20</w:t>
      </w:r>
      <w:r w:rsidR="000B4D29" w:rsidRPr="005E3129">
        <w:rPr>
          <w:rFonts w:ascii="Arial" w:hAnsi="Arial"/>
        </w:rPr>
        <w:t>14</w:t>
      </w:r>
      <w:r w:rsidRPr="005E3129">
        <w:rPr>
          <w:rFonts w:ascii="Arial" w:hAnsi="Arial"/>
        </w:rPr>
        <w:t xml:space="preserve"> von 14,</w:t>
      </w:r>
      <w:r w:rsidR="000B4D29" w:rsidRPr="005E3129">
        <w:rPr>
          <w:rFonts w:ascii="Arial" w:hAnsi="Arial"/>
        </w:rPr>
        <w:t>3</w:t>
      </w:r>
      <w:r w:rsidRPr="005E3129">
        <w:rPr>
          <w:rFonts w:ascii="Arial" w:hAnsi="Arial"/>
        </w:rPr>
        <w:t xml:space="preserve"> auf </w:t>
      </w:r>
      <w:r w:rsidR="000B4D29" w:rsidRPr="005E3129">
        <w:rPr>
          <w:rFonts w:ascii="Arial" w:hAnsi="Arial"/>
        </w:rPr>
        <w:t>41</w:t>
      </w:r>
      <w:r w:rsidRPr="005E3129">
        <w:rPr>
          <w:rFonts w:ascii="Arial" w:hAnsi="Arial"/>
        </w:rPr>
        <w:t>,3 Prozent</w:t>
      </w:r>
      <w:r w:rsidR="005C5335">
        <w:rPr>
          <w:rFonts w:ascii="Arial" w:hAnsi="Arial"/>
        </w:rPr>
        <w:t xml:space="preserve"> – keine </w:t>
      </w:r>
      <w:r w:rsidRPr="005E3129">
        <w:rPr>
          <w:rFonts w:ascii="Arial" w:hAnsi="Arial"/>
        </w:rPr>
        <w:t xml:space="preserve">Region </w:t>
      </w:r>
      <w:r w:rsidR="005C5335">
        <w:rPr>
          <w:rFonts w:ascii="Arial" w:hAnsi="Arial"/>
        </w:rPr>
        <w:t xml:space="preserve">hat einen höheren </w:t>
      </w:r>
      <w:r w:rsidRPr="005E3129">
        <w:rPr>
          <w:rFonts w:ascii="Arial" w:hAnsi="Arial"/>
        </w:rPr>
        <w:t>Anteil am</w:t>
      </w:r>
      <w:r w:rsidR="005E3129">
        <w:rPr>
          <w:rFonts w:ascii="Arial" w:hAnsi="Arial"/>
        </w:rPr>
        <w:t xml:space="preserve"> </w:t>
      </w:r>
      <w:r w:rsidRPr="005E3129">
        <w:rPr>
          <w:rFonts w:ascii="Arial" w:hAnsi="Arial"/>
        </w:rPr>
        <w:t xml:space="preserve">Primärenergie-Verbrauch. Allein Chinas Anteil am weltweiten Primärenergie-Verbrauch </w:t>
      </w:r>
      <w:r w:rsidR="000B4D29" w:rsidRPr="005E3129">
        <w:rPr>
          <w:rFonts w:ascii="Arial" w:hAnsi="Arial"/>
        </w:rPr>
        <w:t xml:space="preserve">erhöhte sich </w:t>
      </w:r>
      <w:r w:rsidRPr="005E3129">
        <w:rPr>
          <w:rFonts w:ascii="Arial" w:hAnsi="Arial"/>
        </w:rPr>
        <w:t>von 4,</w:t>
      </w:r>
      <w:r w:rsidR="001A75DF" w:rsidRPr="005E3129">
        <w:rPr>
          <w:rFonts w:ascii="Arial" w:hAnsi="Arial"/>
        </w:rPr>
        <w:t>2</w:t>
      </w:r>
      <w:r w:rsidRPr="005E3129">
        <w:rPr>
          <w:rFonts w:ascii="Arial" w:hAnsi="Arial"/>
        </w:rPr>
        <w:t xml:space="preserve"> </w:t>
      </w:r>
      <w:r w:rsidR="009E7392">
        <w:rPr>
          <w:rFonts w:ascii="Arial" w:hAnsi="Arial"/>
        </w:rPr>
        <w:t xml:space="preserve">Prozent im Jahr </w:t>
      </w:r>
      <w:r w:rsidR="005E3129">
        <w:rPr>
          <w:rFonts w:ascii="Arial" w:hAnsi="Arial"/>
        </w:rPr>
        <w:t xml:space="preserve">1970 </w:t>
      </w:r>
      <w:r w:rsidRPr="005E3129">
        <w:rPr>
          <w:rFonts w:ascii="Arial" w:hAnsi="Arial"/>
        </w:rPr>
        <w:t xml:space="preserve">auf </w:t>
      </w:r>
      <w:r w:rsidR="001A75DF" w:rsidRPr="005E3129">
        <w:rPr>
          <w:rFonts w:ascii="Arial" w:hAnsi="Arial"/>
        </w:rPr>
        <w:t>23</w:t>
      </w:r>
      <w:r w:rsidRPr="005E3129">
        <w:rPr>
          <w:rFonts w:ascii="Arial" w:hAnsi="Arial"/>
        </w:rPr>
        <w:t>,</w:t>
      </w:r>
      <w:r w:rsidR="001A75DF" w:rsidRPr="005E3129">
        <w:rPr>
          <w:rFonts w:ascii="Arial" w:hAnsi="Arial"/>
        </w:rPr>
        <w:t>2</w:t>
      </w:r>
      <w:r w:rsidRPr="005E3129">
        <w:rPr>
          <w:rFonts w:ascii="Arial" w:hAnsi="Arial"/>
        </w:rPr>
        <w:t xml:space="preserve"> Prozent</w:t>
      </w:r>
      <w:r w:rsidR="005E3129">
        <w:rPr>
          <w:rFonts w:ascii="Arial" w:hAnsi="Arial"/>
        </w:rPr>
        <w:t xml:space="preserve"> 2014</w:t>
      </w:r>
      <w:r w:rsidRPr="005E3129">
        <w:rPr>
          <w:rFonts w:ascii="Arial" w:hAnsi="Arial"/>
        </w:rPr>
        <w:t xml:space="preserve">. </w:t>
      </w:r>
      <w:r w:rsidRPr="009E7392">
        <w:rPr>
          <w:rFonts w:ascii="Arial" w:hAnsi="Arial"/>
        </w:rPr>
        <w:t xml:space="preserve">Auch die entsprechenden Anteile des </w:t>
      </w:r>
      <w:r w:rsidR="004C2C36">
        <w:rPr>
          <w:rFonts w:ascii="Arial" w:hAnsi="Arial"/>
        </w:rPr>
        <w:t xml:space="preserve">Mittleren </w:t>
      </w:r>
      <w:r w:rsidRPr="009E7392">
        <w:rPr>
          <w:rFonts w:ascii="Arial" w:hAnsi="Arial"/>
        </w:rPr>
        <w:t>Ostens (1,</w:t>
      </w:r>
      <w:r w:rsidR="001A75DF" w:rsidRPr="009E7392">
        <w:rPr>
          <w:rFonts w:ascii="Arial" w:hAnsi="Arial"/>
        </w:rPr>
        <w:t>3</w:t>
      </w:r>
      <w:r w:rsidRPr="009E7392">
        <w:rPr>
          <w:rFonts w:ascii="Arial" w:hAnsi="Arial"/>
        </w:rPr>
        <w:t xml:space="preserve"> bzw. </w:t>
      </w:r>
      <w:r w:rsidR="001A75DF" w:rsidRPr="009E7392">
        <w:rPr>
          <w:rFonts w:ascii="Arial" w:hAnsi="Arial"/>
        </w:rPr>
        <w:t>6</w:t>
      </w:r>
      <w:r w:rsidRPr="009E7392">
        <w:rPr>
          <w:rFonts w:ascii="Arial" w:hAnsi="Arial"/>
        </w:rPr>
        <w:t>,</w:t>
      </w:r>
      <w:r w:rsidR="001A75DF" w:rsidRPr="009E7392">
        <w:rPr>
          <w:rFonts w:ascii="Arial" w:hAnsi="Arial"/>
        </w:rPr>
        <w:t>4</w:t>
      </w:r>
      <w:r w:rsidRPr="009E7392">
        <w:rPr>
          <w:rFonts w:ascii="Arial" w:hAnsi="Arial"/>
        </w:rPr>
        <w:t xml:space="preserve"> Prozent), </w:t>
      </w:r>
      <w:r w:rsidR="001A75DF" w:rsidRPr="009E7392">
        <w:rPr>
          <w:rFonts w:ascii="Arial" w:hAnsi="Arial"/>
        </w:rPr>
        <w:t xml:space="preserve">Afrikas (1,5 bzw. 3,2 Prozent) sowie </w:t>
      </w:r>
      <w:r w:rsidRPr="009E7392">
        <w:rPr>
          <w:rFonts w:ascii="Arial" w:hAnsi="Arial"/>
        </w:rPr>
        <w:t>Mittel- und Südamerikas (2,9 bzw. 5,</w:t>
      </w:r>
      <w:r w:rsidR="001A75DF" w:rsidRPr="009E7392">
        <w:rPr>
          <w:rFonts w:ascii="Arial" w:hAnsi="Arial"/>
        </w:rPr>
        <w:t>4</w:t>
      </w:r>
      <w:r w:rsidRPr="009E7392">
        <w:rPr>
          <w:rFonts w:ascii="Arial" w:hAnsi="Arial"/>
        </w:rPr>
        <w:t xml:space="preserve"> Prozent) haben sich erhöht. Auf der anderen Seite reduzierte sich der Anteil Nordamerikas </w:t>
      </w:r>
      <w:r w:rsidR="005C5335" w:rsidRPr="005E3129">
        <w:rPr>
          <w:rFonts w:ascii="Arial" w:hAnsi="Arial"/>
        </w:rPr>
        <w:t xml:space="preserve">am weltweiten Primärenergie-Verbrauch </w:t>
      </w:r>
      <w:r w:rsidR="001A75DF" w:rsidRPr="009E7392">
        <w:rPr>
          <w:rFonts w:ascii="Arial" w:hAnsi="Arial"/>
        </w:rPr>
        <w:t xml:space="preserve">zwischen 1970 und 2014 </w:t>
      </w:r>
      <w:r w:rsidRPr="009E7392">
        <w:rPr>
          <w:rFonts w:ascii="Arial" w:hAnsi="Arial"/>
        </w:rPr>
        <w:t>von 3</w:t>
      </w:r>
      <w:r w:rsidR="001A75DF" w:rsidRPr="009E7392">
        <w:rPr>
          <w:rFonts w:ascii="Arial" w:hAnsi="Arial"/>
        </w:rPr>
        <w:t>7</w:t>
      </w:r>
      <w:r w:rsidRPr="009E7392">
        <w:rPr>
          <w:rFonts w:ascii="Arial" w:hAnsi="Arial"/>
        </w:rPr>
        <w:t>,</w:t>
      </w:r>
      <w:r w:rsidR="001A75DF" w:rsidRPr="009E7392">
        <w:rPr>
          <w:rFonts w:ascii="Arial" w:hAnsi="Arial"/>
        </w:rPr>
        <w:t>0</w:t>
      </w:r>
      <w:r w:rsidRPr="009E7392">
        <w:rPr>
          <w:rFonts w:ascii="Arial" w:hAnsi="Arial"/>
        </w:rPr>
        <w:t xml:space="preserve"> auf 2</w:t>
      </w:r>
      <w:r w:rsidR="001A75DF" w:rsidRPr="009E7392">
        <w:rPr>
          <w:rFonts w:ascii="Arial" w:hAnsi="Arial"/>
        </w:rPr>
        <w:t>1</w:t>
      </w:r>
      <w:r w:rsidRPr="009E7392">
        <w:rPr>
          <w:rFonts w:ascii="Arial" w:hAnsi="Arial"/>
        </w:rPr>
        <w:t>,</w:t>
      </w:r>
      <w:r w:rsidR="001A75DF" w:rsidRPr="009E7392">
        <w:rPr>
          <w:rFonts w:ascii="Arial" w:hAnsi="Arial"/>
        </w:rPr>
        <w:t>8</w:t>
      </w:r>
      <w:r w:rsidRPr="009E7392">
        <w:rPr>
          <w:rFonts w:ascii="Arial" w:hAnsi="Arial"/>
        </w:rPr>
        <w:t xml:space="preserve"> Prozent</w:t>
      </w:r>
      <w:r w:rsidR="001A75DF" w:rsidRPr="009E7392">
        <w:rPr>
          <w:rFonts w:ascii="Arial" w:hAnsi="Arial"/>
        </w:rPr>
        <w:t xml:space="preserve">. Der </w:t>
      </w:r>
      <w:r w:rsidRPr="009E7392">
        <w:rPr>
          <w:rFonts w:ascii="Arial" w:hAnsi="Arial"/>
        </w:rPr>
        <w:t xml:space="preserve">Anteil </w:t>
      </w:r>
      <w:r w:rsidR="001A75DF" w:rsidRPr="009E7392">
        <w:rPr>
          <w:rFonts w:ascii="Arial" w:hAnsi="Arial"/>
        </w:rPr>
        <w:t>Europas/Eurasiens nahm im selben Zeitraum von 43,0 auf 21,9 Prozent ab.</w:t>
      </w:r>
      <w:r w:rsidR="002A54E9" w:rsidRPr="009E7392">
        <w:rPr>
          <w:rFonts w:ascii="Arial" w:hAnsi="Arial"/>
        </w:rPr>
        <w:t xml:space="preserve"> D</w:t>
      </w:r>
      <w:r w:rsidR="009E7392">
        <w:rPr>
          <w:rFonts w:ascii="Arial" w:hAnsi="Arial"/>
        </w:rPr>
        <w:t>abei sank d</w:t>
      </w:r>
      <w:r w:rsidR="002A54E9" w:rsidRPr="009E7392">
        <w:rPr>
          <w:rFonts w:ascii="Arial" w:hAnsi="Arial"/>
        </w:rPr>
        <w:t xml:space="preserve">er Anteil der </w:t>
      </w:r>
      <w:r w:rsidR="002156A0" w:rsidRPr="009E7392">
        <w:rPr>
          <w:rFonts w:ascii="Arial" w:hAnsi="Arial"/>
        </w:rPr>
        <w:t>Staaten der Europäischen Union (</w:t>
      </w:r>
      <w:r w:rsidR="002A54E9" w:rsidRPr="009E7392">
        <w:rPr>
          <w:rFonts w:ascii="Arial" w:hAnsi="Arial"/>
        </w:rPr>
        <w:t>EU</w:t>
      </w:r>
      <w:r w:rsidR="002156A0" w:rsidRPr="009E7392">
        <w:rPr>
          <w:rFonts w:ascii="Arial" w:hAnsi="Arial"/>
        </w:rPr>
        <w:t>)</w:t>
      </w:r>
      <w:r w:rsidR="002A54E9" w:rsidRPr="009E7392">
        <w:rPr>
          <w:rFonts w:ascii="Arial" w:hAnsi="Arial"/>
        </w:rPr>
        <w:t xml:space="preserve"> in den Jahren von 1970 bis 2014 von </w:t>
      </w:r>
      <w:r w:rsidRPr="009E7392">
        <w:rPr>
          <w:rFonts w:ascii="Arial" w:hAnsi="Arial"/>
        </w:rPr>
        <w:t>2</w:t>
      </w:r>
      <w:r w:rsidR="002A54E9" w:rsidRPr="009E7392">
        <w:rPr>
          <w:rFonts w:ascii="Arial" w:hAnsi="Arial"/>
        </w:rPr>
        <w:t>6</w:t>
      </w:r>
      <w:r w:rsidRPr="009E7392">
        <w:rPr>
          <w:rFonts w:ascii="Arial" w:hAnsi="Arial"/>
        </w:rPr>
        <w:t>,</w:t>
      </w:r>
      <w:r w:rsidR="002A54E9" w:rsidRPr="009E7392">
        <w:rPr>
          <w:rFonts w:ascii="Arial" w:hAnsi="Arial"/>
        </w:rPr>
        <w:t>2</w:t>
      </w:r>
      <w:r w:rsidRPr="009E7392">
        <w:rPr>
          <w:rFonts w:ascii="Arial" w:hAnsi="Arial"/>
        </w:rPr>
        <w:t xml:space="preserve"> auf 1</w:t>
      </w:r>
      <w:r w:rsidR="002A54E9" w:rsidRPr="009E7392">
        <w:rPr>
          <w:rFonts w:ascii="Arial" w:hAnsi="Arial"/>
        </w:rPr>
        <w:t>2</w:t>
      </w:r>
      <w:r w:rsidRPr="009E7392">
        <w:rPr>
          <w:rFonts w:ascii="Arial" w:hAnsi="Arial"/>
        </w:rPr>
        <w:t>,</w:t>
      </w:r>
      <w:r w:rsidR="002A54E9" w:rsidRPr="009E7392">
        <w:rPr>
          <w:rFonts w:ascii="Arial" w:hAnsi="Arial"/>
        </w:rPr>
        <w:t>5</w:t>
      </w:r>
      <w:r w:rsidRPr="009E7392">
        <w:rPr>
          <w:rFonts w:ascii="Arial" w:hAnsi="Arial"/>
        </w:rPr>
        <w:t xml:space="preserve"> Prozent</w:t>
      </w:r>
      <w:r w:rsidR="00D53EF0">
        <w:rPr>
          <w:rFonts w:ascii="Arial" w:hAnsi="Arial"/>
        </w:rPr>
        <w:t>.</w:t>
      </w:r>
    </w:p>
    <w:p w:rsidR="00D53EF0" w:rsidRDefault="00D53EF0" w:rsidP="005C01BC">
      <w:pPr>
        <w:tabs>
          <w:tab w:val="left" w:pos="3060"/>
        </w:tabs>
        <w:rPr>
          <w:rFonts w:ascii="Arial" w:hAnsi="Arial"/>
        </w:rPr>
      </w:pPr>
    </w:p>
    <w:p w:rsidR="00D53EF0" w:rsidRDefault="00EE4461">
      <w:pPr>
        <w:tabs>
          <w:tab w:val="left" w:pos="3060"/>
        </w:tabs>
        <w:rPr>
          <w:rFonts w:ascii="Arial" w:hAnsi="Arial"/>
        </w:rPr>
      </w:pPr>
      <w:r w:rsidRPr="009E7392">
        <w:rPr>
          <w:rFonts w:ascii="Arial" w:hAnsi="Arial"/>
        </w:rPr>
        <w:t>In den meisten Regionen verbrauchen we</w:t>
      </w:r>
      <w:r w:rsidR="009E7392" w:rsidRPr="009E7392">
        <w:rPr>
          <w:rFonts w:ascii="Arial" w:hAnsi="Arial"/>
        </w:rPr>
        <w:t xml:space="preserve">nige Staaten einen </w:t>
      </w:r>
      <w:r w:rsidR="009E7392">
        <w:rPr>
          <w:rFonts w:ascii="Arial" w:hAnsi="Arial"/>
        </w:rPr>
        <w:t xml:space="preserve">großen Teil der </w:t>
      </w:r>
      <w:r w:rsidRPr="009E7392">
        <w:rPr>
          <w:rFonts w:ascii="Arial" w:hAnsi="Arial"/>
        </w:rPr>
        <w:t>Energie. Im asiatisch-pazifischen Raum waren es 20</w:t>
      </w:r>
      <w:r w:rsidR="002A54E9" w:rsidRPr="009E7392">
        <w:rPr>
          <w:rFonts w:ascii="Arial" w:hAnsi="Arial"/>
        </w:rPr>
        <w:t>14</w:t>
      </w:r>
      <w:r w:rsidRPr="009E7392">
        <w:rPr>
          <w:rFonts w:ascii="Arial" w:hAnsi="Arial"/>
        </w:rPr>
        <w:t xml:space="preserve"> vor allem China (</w:t>
      </w:r>
      <w:r w:rsidR="002A54E9" w:rsidRPr="009E7392">
        <w:rPr>
          <w:rFonts w:ascii="Arial" w:hAnsi="Arial"/>
        </w:rPr>
        <w:t>56</w:t>
      </w:r>
      <w:r w:rsidRPr="009E7392">
        <w:rPr>
          <w:rFonts w:ascii="Arial" w:hAnsi="Arial"/>
        </w:rPr>
        <w:t>,</w:t>
      </w:r>
      <w:r w:rsidR="002A54E9" w:rsidRPr="009E7392">
        <w:rPr>
          <w:rFonts w:ascii="Arial" w:hAnsi="Arial"/>
        </w:rPr>
        <w:t>2</w:t>
      </w:r>
      <w:r w:rsidRPr="009E7392">
        <w:rPr>
          <w:rFonts w:ascii="Arial" w:hAnsi="Arial"/>
        </w:rPr>
        <w:t xml:space="preserve"> Prozent), </w:t>
      </w:r>
      <w:r w:rsidR="002A54E9" w:rsidRPr="009E7392">
        <w:rPr>
          <w:rFonts w:ascii="Arial" w:hAnsi="Arial"/>
        </w:rPr>
        <w:t xml:space="preserve">Indien </w:t>
      </w:r>
      <w:r w:rsidRPr="009E7392">
        <w:rPr>
          <w:rFonts w:ascii="Arial" w:hAnsi="Arial"/>
        </w:rPr>
        <w:t>(1</w:t>
      </w:r>
      <w:r w:rsidR="002A54E9" w:rsidRPr="009E7392">
        <w:rPr>
          <w:rFonts w:ascii="Arial" w:hAnsi="Arial"/>
        </w:rPr>
        <w:t>2</w:t>
      </w:r>
      <w:r w:rsidRPr="009E7392">
        <w:rPr>
          <w:rFonts w:ascii="Arial" w:hAnsi="Arial"/>
        </w:rPr>
        <w:t>,</w:t>
      </w:r>
      <w:r w:rsidR="002A54E9" w:rsidRPr="009E7392">
        <w:rPr>
          <w:rFonts w:ascii="Arial" w:hAnsi="Arial"/>
        </w:rPr>
        <w:t>0</w:t>
      </w:r>
      <w:r w:rsidRPr="009E7392">
        <w:rPr>
          <w:rFonts w:ascii="Arial" w:hAnsi="Arial"/>
        </w:rPr>
        <w:t xml:space="preserve"> Prozent) und </w:t>
      </w:r>
      <w:r w:rsidR="002A54E9" w:rsidRPr="009E7392">
        <w:rPr>
          <w:rFonts w:ascii="Arial" w:hAnsi="Arial"/>
        </w:rPr>
        <w:t xml:space="preserve">Japan </w:t>
      </w:r>
      <w:r w:rsidRPr="009E7392">
        <w:rPr>
          <w:rFonts w:ascii="Arial" w:hAnsi="Arial"/>
        </w:rPr>
        <w:t>(</w:t>
      </w:r>
      <w:r w:rsidR="002A54E9" w:rsidRPr="009E7392">
        <w:rPr>
          <w:rFonts w:ascii="Arial" w:hAnsi="Arial"/>
        </w:rPr>
        <w:t>8,5</w:t>
      </w:r>
      <w:r w:rsidR="005C5335">
        <w:rPr>
          <w:rFonts w:ascii="Arial" w:hAnsi="Arial"/>
        </w:rPr>
        <w:t xml:space="preserve"> Prozent</w:t>
      </w:r>
      <w:r w:rsidRPr="009E7392">
        <w:rPr>
          <w:rFonts w:ascii="Arial" w:hAnsi="Arial"/>
        </w:rPr>
        <w:t>) auf die die</w:t>
      </w:r>
      <w:r w:rsidR="009E7392">
        <w:rPr>
          <w:rFonts w:ascii="Arial" w:hAnsi="Arial"/>
        </w:rPr>
        <w:t xml:space="preserve"> größten Anteile des </w:t>
      </w:r>
      <w:r w:rsidR="009E7392" w:rsidRPr="009E7392">
        <w:rPr>
          <w:rFonts w:ascii="Arial" w:hAnsi="Arial"/>
        </w:rPr>
        <w:t xml:space="preserve">regionalen </w:t>
      </w:r>
      <w:r w:rsidRPr="009E7392">
        <w:rPr>
          <w:rFonts w:ascii="Arial" w:hAnsi="Arial"/>
        </w:rPr>
        <w:t xml:space="preserve">Energieverbrauchs entfielen. </w:t>
      </w:r>
      <w:r w:rsidRPr="0023024E">
        <w:rPr>
          <w:rFonts w:ascii="Arial" w:hAnsi="Arial"/>
        </w:rPr>
        <w:t>In Europa und Eurasien verbrauchten Russland (2</w:t>
      </w:r>
      <w:r w:rsidR="002A54E9" w:rsidRPr="0023024E">
        <w:rPr>
          <w:rFonts w:ascii="Arial" w:hAnsi="Arial"/>
        </w:rPr>
        <w:t>4</w:t>
      </w:r>
      <w:r w:rsidRPr="0023024E">
        <w:rPr>
          <w:rFonts w:ascii="Arial" w:hAnsi="Arial"/>
        </w:rPr>
        <w:t>,</w:t>
      </w:r>
      <w:r w:rsidR="002A54E9" w:rsidRPr="0023024E">
        <w:rPr>
          <w:rFonts w:ascii="Arial" w:hAnsi="Arial"/>
        </w:rPr>
        <w:t>1</w:t>
      </w:r>
      <w:r w:rsidRPr="0023024E">
        <w:rPr>
          <w:rFonts w:ascii="Arial" w:hAnsi="Arial"/>
        </w:rPr>
        <w:t xml:space="preserve"> Prozent) und Deutschland (1</w:t>
      </w:r>
      <w:r w:rsidR="002A54E9" w:rsidRPr="0023024E">
        <w:rPr>
          <w:rFonts w:ascii="Arial" w:hAnsi="Arial"/>
        </w:rPr>
        <w:t>1</w:t>
      </w:r>
      <w:r w:rsidRPr="0023024E">
        <w:rPr>
          <w:rFonts w:ascii="Arial" w:hAnsi="Arial"/>
        </w:rPr>
        <w:t>,</w:t>
      </w:r>
      <w:r w:rsidR="002A54E9" w:rsidRPr="0023024E">
        <w:rPr>
          <w:rFonts w:ascii="Arial" w:hAnsi="Arial"/>
        </w:rPr>
        <w:t>0</w:t>
      </w:r>
      <w:r w:rsidRPr="0023024E">
        <w:rPr>
          <w:rFonts w:ascii="Arial" w:hAnsi="Arial"/>
        </w:rPr>
        <w:t xml:space="preserve"> Prozent) </w:t>
      </w:r>
      <w:r w:rsidR="009E7392" w:rsidRPr="0023024E">
        <w:rPr>
          <w:rFonts w:ascii="Arial" w:hAnsi="Arial"/>
        </w:rPr>
        <w:t>zusammen gut</w:t>
      </w:r>
      <w:r w:rsidRPr="0023024E">
        <w:rPr>
          <w:rFonts w:ascii="Arial" w:hAnsi="Arial"/>
        </w:rPr>
        <w:t xml:space="preserve"> ein Drittel der Primärenergie. Auf </w:t>
      </w:r>
      <w:r w:rsidR="002A54E9" w:rsidRPr="0023024E">
        <w:rPr>
          <w:rFonts w:ascii="Arial" w:hAnsi="Arial"/>
        </w:rPr>
        <w:t xml:space="preserve">die USA </w:t>
      </w:r>
      <w:r w:rsidRPr="0023024E">
        <w:rPr>
          <w:rFonts w:ascii="Arial" w:hAnsi="Arial"/>
        </w:rPr>
        <w:t xml:space="preserve">entfielen </w:t>
      </w:r>
      <w:r w:rsidR="002A54E9" w:rsidRPr="0023024E">
        <w:rPr>
          <w:rFonts w:ascii="Arial" w:hAnsi="Arial"/>
        </w:rPr>
        <w:t xml:space="preserve">2014 gut vier Fünftel </w:t>
      </w:r>
      <w:r w:rsidRPr="0023024E">
        <w:rPr>
          <w:rFonts w:ascii="Arial" w:hAnsi="Arial"/>
        </w:rPr>
        <w:t xml:space="preserve">des Primärenergie-Verbrauchs </w:t>
      </w:r>
      <w:r w:rsidR="002A54E9" w:rsidRPr="0023024E">
        <w:rPr>
          <w:rFonts w:ascii="Arial" w:hAnsi="Arial"/>
        </w:rPr>
        <w:t xml:space="preserve">von Nordamerika (81,4 Prozent). Der </w:t>
      </w:r>
      <w:r w:rsidRPr="0023024E">
        <w:rPr>
          <w:rFonts w:ascii="Arial" w:hAnsi="Arial"/>
        </w:rPr>
        <w:t xml:space="preserve">Iran und Saudi-Arabien </w:t>
      </w:r>
      <w:r w:rsidR="002A54E9" w:rsidRPr="0023024E">
        <w:rPr>
          <w:rFonts w:ascii="Arial" w:hAnsi="Arial"/>
        </w:rPr>
        <w:t xml:space="preserve">hatten im selben Jahr einen Anteil von 30,4 beziehungsweise 28,9 </w:t>
      </w:r>
      <w:r w:rsidRPr="0023024E">
        <w:rPr>
          <w:rFonts w:ascii="Arial" w:hAnsi="Arial"/>
        </w:rPr>
        <w:t xml:space="preserve">Prozent </w:t>
      </w:r>
      <w:r w:rsidR="002A54E9" w:rsidRPr="0023024E">
        <w:rPr>
          <w:rFonts w:ascii="Arial" w:hAnsi="Arial"/>
        </w:rPr>
        <w:t>am Energiev</w:t>
      </w:r>
      <w:r w:rsidRPr="0023024E">
        <w:rPr>
          <w:rFonts w:ascii="Arial" w:hAnsi="Arial"/>
        </w:rPr>
        <w:t xml:space="preserve">erbrauch im </w:t>
      </w:r>
      <w:r w:rsidR="0023024E" w:rsidRPr="0023024E">
        <w:rPr>
          <w:rFonts w:ascii="Arial" w:hAnsi="Arial"/>
        </w:rPr>
        <w:t>Mittleren</w:t>
      </w:r>
      <w:r w:rsidRPr="0023024E">
        <w:rPr>
          <w:rFonts w:ascii="Arial" w:hAnsi="Arial"/>
        </w:rPr>
        <w:t xml:space="preserve"> Osten</w:t>
      </w:r>
      <w:r w:rsidR="002A54E9" w:rsidRPr="0023024E">
        <w:rPr>
          <w:rFonts w:ascii="Arial" w:hAnsi="Arial"/>
        </w:rPr>
        <w:t xml:space="preserve"> </w:t>
      </w:r>
      <w:r w:rsidRPr="0023024E">
        <w:rPr>
          <w:rFonts w:ascii="Arial" w:hAnsi="Arial"/>
        </w:rPr>
        <w:t xml:space="preserve">und </w:t>
      </w:r>
      <w:r w:rsidR="002A54E9" w:rsidRPr="0023024E">
        <w:rPr>
          <w:rFonts w:ascii="Arial" w:hAnsi="Arial"/>
        </w:rPr>
        <w:t xml:space="preserve">Brasilien war für 42,7 Prozent des Energieverbrauchs von Mittel- und Südamerika verantwortlich. Schließlich lag </w:t>
      </w:r>
      <w:r w:rsidRPr="0023024E">
        <w:rPr>
          <w:rFonts w:ascii="Arial" w:hAnsi="Arial"/>
        </w:rPr>
        <w:lastRenderedPageBreak/>
        <w:t>Südafrika</w:t>
      </w:r>
      <w:r w:rsidR="002A54E9" w:rsidRPr="0023024E">
        <w:rPr>
          <w:rFonts w:ascii="Arial" w:hAnsi="Arial"/>
        </w:rPr>
        <w:t>s Anteil am P</w:t>
      </w:r>
      <w:r w:rsidRPr="0023024E">
        <w:rPr>
          <w:rFonts w:ascii="Arial" w:hAnsi="Arial"/>
        </w:rPr>
        <w:t>rimärenergie-Verbrauch Afrikas</w:t>
      </w:r>
      <w:r w:rsidR="002A54E9" w:rsidRPr="0023024E">
        <w:rPr>
          <w:rFonts w:ascii="Arial" w:hAnsi="Arial"/>
        </w:rPr>
        <w:t xml:space="preserve"> im Jahr 2014 bei 30,2 Prozent</w:t>
      </w:r>
      <w:r w:rsidR="00D53EF0">
        <w:rPr>
          <w:rFonts w:ascii="Arial" w:hAnsi="Arial"/>
        </w:rPr>
        <w:t>.</w:t>
      </w:r>
    </w:p>
    <w:p w:rsidR="00D53EF0" w:rsidRDefault="00D53EF0">
      <w:pPr>
        <w:tabs>
          <w:tab w:val="left" w:pos="3060"/>
        </w:tabs>
        <w:rPr>
          <w:rFonts w:ascii="Arial" w:hAnsi="Arial"/>
        </w:rPr>
      </w:pPr>
    </w:p>
    <w:p w:rsidR="00F62D5A" w:rsidRPr="00D55D3F" w:rsidRDefault="00F62D5A">
      <w:pPr>
        <w:tabs>
          <w:tab w:val="left" w:pos="3060"/>
        </w:tabs>
        <w:rPr>
          <w:rFonts w:ascii="Arial" w:hAnsi="Arial"/>
          <w:color w:val="FF0000"/>
          <w:lang w:val="en-US"/>
        </w:rPr>
      </w:pPr>
      <w:r w:rsidRPr="00D55D3F">
        <w:rPr>
          <w:rFonts w:ascii="Arial" w:hAnsi="Arial"/>
          <w:color w:val="FF0000"/>
          <w:lang w:val="en-US"/>
        </w:rPr>
        <w:t>Datenquelle</w:t>
      </w:r>
    </w:p>
    <w:p w:rsidR="00F62D5A" w:rsidRPr="00D55D3F" w:rsidRDefault="00F62D5A">
      <w:pPr>
        <w:tabs>
          <w:tab w:val="left" w:pos="3060"/>
        </w:tabs>
        <w:rPr>
          <w:rFonts w:ascii="Arial" w:hAnsi="Arial"/>
          <w:lang w:val="en-US"/>
        </w:rPr>
      </w:pPr>
    </w:p>
    <w:p w:rsidR="00F62D5A" w:rsidRDefault="00F62D5A">
      <w:pPr>
        <w:tabs>
          <w:tab w:val="left" w:pos="3060"/>
        </w:tabs>
        <w:rPr>
          <w:rFonts w:ascii="Arial" w:hAnsi="Arial"/>
          <w:color w:val="000000"/>
          <w:lang w:val="en-GB"/>
        </w:rPr>
      </w:pPr>
      <w:r>
        <w:rPr>
          <w:rFonts w:ascii="Arial" w:hAnsi="Arial"/>
          <w:color w:val="000000"/>
          <w:lang w:val="en-GB"/>
        </w:rPr>
        <w:t>British Petroleum (BP): Statistical Review of World Energy 20</w:t>
      </w:r>
      <w:r w:rsidR="00D55D3F">
        <w:rPr>
          <w:rFonts w:ascii="Arial" w:hAnsi="Arial"/>
          <w:color w:val="000000"/>
          <w:lang w:val="en-GB"/>
        </w:rPr>
        <w:t>15</w:t>
      </w:r>
    </w:p>
    <w:p w:rsidR="00F62D5A" w:rsidRDefault="00F62D5A">
      <w:pPr>
        <w:tabs>
          <w:tab w:val="left" w:pos="3060"/>
        </w:tabs>
        <w:rPr>
          <w:rFonts w:ascii="Arial" w:hAnsi="Arial"/>
          <w:color w:val="000000"/>
          <w:lang w:val="en-GB"/>
        </w:rPr>
      </w:pPr>
    </w:p>
    <w:p w:rsidR="00F62D5A" w:rsidRDefault="00F62D5A">
      <w:pPr>
        <w:tabs>
          <w:tab w:val="left" w:pos="3060"/>
        </w:tabs>
        <w:rPr>
          <w:rFonts w:ascii="Arial" w:hAnsi="Arial"/>
          <w:color w:val="FF0000"/>
        </w:rPr>
      </w:pPr>
      <w:r>
        <w:rPr>
          <w:rFonts w:ascii="Arial" w:hAnsi="Arial"/>
          <w:color w:val="FF0000"/>
        </w:rPr>
        <w:t>Begriffe, methodische Anmerkungen oder Lesehilfen</w:t>
      </w:r>
    </w:p>
    <w:p w:rsidR="00F62D5A" w:rsidRDefault="00F62D5A">
      <w:pPr>
        <w:rPr>
          <w:rFonts w:ascii="Arial" w:hAnsi="Arial"/>
          <w:color w:val="000000"/>
        </w:rPr>
      </w:pPr>
    </w:p>
    <w:p w:rsidR="00D53EF0" w:rsidRDefault="00EE4461">
      <w:pPr>
        <w:rPr>
          <w:rFonts w:ascii="Arial" w:hAnsi="Arial" w:cs="Arial"/>
        </w:rPr>
      </w:pPr>
      <w:bookmarkStart w:id="1" w:name="Primaerenergie"/>
      <w:r w:rsidRPr="00EE4461">
        <w:rPr>
          <w:rStyle w:val="Fett"/>
          <w:rFonts w:ascii="Arial" w:hAnsi="Arial" w:cs="Arial"/>
        </w:rPr>
        <w:t>Primärenergie</w:t>
      </w:r>
      <w:bookmarkEnd w:id="1"/>
      <w:r w:rsidRPr="00EE4461">
        <w:rPr>
          <w:rFonts w:ascii="Arial" w:hAnsi="Arial" w:cs="Arial"/>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EE4461">
        <w:rPr>
          <w:rStyle w:val="Fett"/>
          <w:rFonts w:ascii="Arial" w:hAnsi="Arial" w:cs="Arial"/>
        </w:rPr>
        <w:t>Endenergie</w:t>
      </w:r>
      <w:r w:rsidRPr="00EE4461">
        <w:rPr>
          <w:rFonts w:ascii="Arial" w:hAnsi="Arial" w:cs="Arial"/>
        </w:rPr>
        <w:t xml:space="preserve"> (Sekundärenergie). Die Form der Energie, in der sie tatsächlich vom Anwender verwendet wird, wird </w:t>
      </w:r>
      <w:r w:rsidRPr="00EE4461">
        <w:rPr>
          <w:rStyle w:val="Fett"/>
          <w:rFonts w:ascii="Arial" w:hAnsi="Arial" w:cs="Arial"/>
        </w:rPr>
        <w:t>Nutzenergie</w:t>
      </w:r>
      <w:r w:rsidRPr="00EE4461">
        <w:rPr>
          <w:rFonts w:ascii="Arial" w:hAnsi="Arial" w:cs="Arial"/>
        </w:rPr>
        <w:t xml:space="preserve"> genannt. Ein Beispiel: Rohöl (Primärenergie) wird zu Heizöl (Endenergie/Sekundärenergie) wird zu Wärme (Nutzenergie).</w:t>
      </w:r>
    </w:p>
    <w:p w:rsidR="00D53EF0" w:rsidRDefault="00D53EF0">
      <w:pPr>
        <w:rPr>
          <w:rFonts w:ascii="Arial" w:hAnsi="Arial" w:cs="Arial"/>
        </w:rPr>
      </w:pPr>
    </w:p>
    <w:p w:rsidR="00D53EF0" w:rsidRDefault="00F62D5A" w:rsidP="00EE4461">
      <w:pPr>
        <w:rPr>
          <w:rFonts w:ascii="Arial" w:hAnsi="Arial"/>
          <w:color w:val="000000"/>
        </w:rPr>
      </w:pPr>
      <w:r w:rsidRPr="00854CAB">
        <w:rPr>
          <w:rFonts w:ascii="Arial" w:hAnsi="Arial"/>
          <w:color w:val="000000"/>
        </w:rPr>
        <w:t>Die hier gemachten Angaben beziehen sich auf Öl, Kohle, Erdgas, Wasserkraft</w:t>
      </w:r>
      <w:r w:rsidR="00CD0FF0" w:rsidRPr="00854CAB">
        <w:rPr>
          <w:rFonts w:ascii="Arial" w:hAnsi="Arial"/>
          <w:color w:val="000000"/>
        </w:rPr>
        <w:t>, K</w:t>
      </w:r>
      <w:r w:rsidRPr="00854CAB">
        <w:rPr>
          <w:rFonts w:ascii="Arial" w:hAnsi="Arial"/>
          <w:color w:val="000000"/>
        </w:rPr>
        <w:t>ernenergie</w:t>
      </w:r>
      <w:r w:rsidR="00374480" w:rsidRPr="00854CAB">
        <w:rPr>
          <w:rFonts w:ascii="Arial" w:hAnsi="Arial"/>
          <w:color w:val="000000"/>
        </w:rPr>
        <w:t xml:space="preserve"> und neue erneuerbare Energien</w:t>
      </w:r>
      <w:r w:rsidR="00A54F91" w:rsidRPr="00854CAB">
        <w:rPr>
          <w:rFonts w:ascii="Arial" w:hAnsi="Arial"/>
          <w:color w:val="000000"/>
        </w:rPr>
        <w:t xml:space="preserve"> (darunter Geothermie, Wind- und Solarenergie, Energie aus Biomasse</w:t>
      </w:r>
      <w:r w:rsidR="007C7D4D">
        <w:rPr>
          <w:rFonts w:ascii="Arial" w:hAnsi="Arial"/>
          <w:color w:val="000000"/>
        </w:rPr>
        <w:t xml:space="preserve"> sowie aus Wellen- und Gezeitenkraftwerken</w:t>
      </w:r>
      <w:r w:rsidR="00A54F91" w:rsidRPr="00854CAB">
        <w:rPr>
          <w:rFonts w:ascii="Arial" w:hAnsi="Arial"/>
          <w:color w:val="000000"/>
        </w:rPr>
        <w:t>)</w:t>
      </w:r>
      <w:r w:rsidR="00D53EF0">
        <w:rPr>
          <w:rFonts w:ascii="Arial" w:hAnsi="Arial"/>
          <w:color w:val="000000"/>
        </w:rPr>
        <w:t>.</w:t>
      </w:r>
    </w:p>
    <w:p w:rsidR="00D53EF0" w:rsidRDefault="00D53EF0" w:rsidP="00EE4461">
      <w:pPr>
        <w:rPr>
          <w:rFonts w:ascii="Arial" w:hAnsi="Arial"/>
          <w:color w:val="000000"/>
        </w:rPr>
      </w:pPr>
    </w:p>
    <w:p w:rsidR="00D53EF0" w:rsidRDefault="00EE4461" w:rsidP="00EE4461">
      <w:pPr>
        <w:rPr>
          <w:rFonts w:ascii="Arial" w:hAnsi="Arial" w:cs="Arial"/>
        </w:rPr>
      </w:pPr>
      <w:r w:rsidRPr="00D55D3F">
        <w:rPr>
          <w:rFonts w:ascii="Arial" w:hAnsi="Arial" w:cs="Arial"/>
        </w:rPr>
        <w:t>Um die Energieträger vergleichbar zu machen, werden sie mithilfe einzelner Umrechnungsfaktoren auf das Öl bezogen (</w:t>
      </w:r>
      <w:r w:rsidRPr="00D55D3F">
        <w:rPr>
          <w:rStyle w:val="Fett"/>
          <w:rFonts w:ascii="Arial" w:hAnsi="Arial" w:cs="Arial"/>
        </w:rPr>
        <w:t>Öläquivalent</w:t>
      </w:r>
      <w:r w:rsidRPr="00D55D3F">
        <w:rPr>
          <w:rFonts w:ascii="Arial" w:hAnsi="Arial" w:cs="Arial"/>
        </w:rPr>
        <w:t>). Nach Angaben des Energiekonzerns British Petroleum (BP) entspricht eine Tonne Öläquivalent beispielsweise in etwa 1,5 Tonnen Steinkohle, 1.111 Kubikmeter Erdgas oder auch 12 Megawattstunden (Primärenergie)</w:t>
      </w:r>
      <w:r w:rsidR="00D53EF0">
        <w:rPr>
          <w:rFonts w:ascii="Arial" w:hAnsi="Arial" w:cs="Arial"/>
        </w:rPr>
        <w:t>.</w:t>
      </w:r>
    </w:p>
    <w:p w:rsidR="00D53EF0" w:rsidRDefault="00D53EF0" w:rsidP="00EE4461">
      <w:pPr>
        <w:rPr>
          <w:rFonts w:ascii="Arial" w:hAnsi="Arial" w:cs="Arial"/>
        </w:rPr>
      </w:pPr>
    </w:p>
    <w:p w:rsidR="00F62D5A" w:rsidRPr="00854CAB" w:rsidRDefault="00F62D5A" w:rsidP="002E1896">
      <w:pPr>
        <w:rPr>
          <w:rFonts w:ascii="Arial" w:hAnsi="Arial" w:cs="Arial"/>
        </w:rPr>
      </w:pPr>
      <w:r w:rsidRPr="002E1896">
        <w:rPr>
          <w:rFonts w:ascii="Arial" w:hAnsi="Arial" w:cs="Arial"/>
        </w:rPr>
        <w:t xml:space="preserve">OECD – Organisation for Economic Co-operation and Development (Organisation für </w:t>
      </w:r>
      <w:r w:rsidRPr="00854CAB">
        <w:rPr>
          <w:rFonts w:ascii="Arial" w:hAnsi="Arial" w:cs="Arial"/>
        </w:rPr>
        <w:t>wirtschaftliche Zusammenarbeit und Entwicklung)</w:t>
      </w:r>
    </w:p>
    <w:p w:rsidR="00854CAB" w:rsidRPr="00854CAB" w:rsidRDefault="00854CAB" w:rsidP="002E1896">
      <w:pPr>
        <w:rPr>
          <w:rFonts w:ascii="Arial" w:hAnsi="Arial" w:cs="Arial"/>
        </w:rPr>
      </w:pPr>
    </w:p>
    <w:p w:rsidR="00854CAB" w:rsidRPr="00854CAB" w:rsidRDefault="00854CAB" w:rsidP="00854CAB">
      <w:pPr>
        <w:rPr>
          <w:rFonts w:ascii="Arial" w:hAnsi="Arial"/>
        </w:rPr>
      </w:pPr>
      <w:r w:rsidRPr="00854CAB">
        <w:rPr>
          <w:rFonts w:ascii="Arial" w:hAnsi="Arial"/>
        </w:rPr>
        <w:t xml:space="preserve">Informationen zur </w:t>
      </w:r>
      <w:r w:rsidRPr="00854CAB">
        <w:rPr>
          <w:rFonts w:ascii="Arial" w:hAnsi="Arial"/>
          <w:b/>
        </w:rPr>
        <w:t xml:space="preserve">regionalen Nutzung erneuerbarer Energien </w:t>
      </w:r>
      <w:r w:rsidRPr="00854CAB">
        <w:rPr>
          <w:rFonts w:ascii="Arial" w:hAnsi="Arial"/>
        </w:rPr>
        <w:t>finden Sie hier</w:t>
      </w:r>
      <w:r w:rsidR="009D3F93">
        <w:rPr>
          <w:rFonts w:ascii="Arial" w:hAnsi="Arial"/>
        </w:rPr>
        <w:t>:</w:t>
      </w:r>
      <w:r w:rsidRPr="00854CAB">
        <w:rPr>
          <w:rFonts w:ascii="Arial" w:hAnsi="Arial"/>
        </w:rPr>
        <w:t xml:space="preserve"> </w:t>
      </w:r>
      <w:hyperlink r:id="rId5" w:history="1">
        <w:r w:rsidRPr="00854CAB">
          <w:rPr>
            <w:rStyle w:val="Hyperlink"/>
            <w:rFonts w:ascii="Arial" w:hAnsi="Arial"/>
          </w:rPr>
          <w:t>http://www.bpb.de/52754</w:t>
        </w:r>
      </w:hyperlink>
    </w:p>
    <w:p w:rsidR="00854CAB" w:rsidRDefault="00854CAB" w:rsidP="002E1896">
      <w:pPr>
        <w:rPr>
          <w:rFonts w:ascii="Arial" w:hAnsi="Arial" w:cs="Arial"/>
        </w:rPr>
      </w:pPr>
    </w:p>
    <w:p w:rsidR="00BD0C18" w:rsidRDefault="00BD0C18" w:rsidP="00BD0C18">
      <w:pPr>
        <w:rPr>
          <w:rFonts w:ascii="Arial" w:hAnsi="Arial"/>
          <w:sz w:val="20"/>
          <w:szCs w:val="20"/>
        </w:rPr>
      </w:pPr>
      <w:r>
        <w:rPr>
          <w:rFonts w:ascii="Arial" w:hAnsi="Arial"/>
          <w:sz w:val="20"/>
          <w:szCs w:val="20"/>
        </w:rPr>
        <w:t xml:space="preserve">Dieser Text ist unter der Creative Commons Lizenz </w:t>
      </w:r>
      <w:hyperlink r:id="rId6" w:tgtFrame="extern" w:history="1">
        <w:r w:rsidRPr="00DB72F5">
          <w:rPr>
            <w:rFonts w:ascii="Arial" w:hAnsi="Arial"/>
            <w:sz w:val="20"/>
            <w:szCs w:val="20"/>
          </w:rPr>
          <w:t>by-nc-nd/3.0/de/</w:t>
        </w:r>
      </w:hyperlink>
      <w:r>
        <w:rPr>
          <w:rFonts w:ascii="Arial" w:hAnsi="Arial"/>
          <w:sz w:val="20"/>
          <w:szCs w:val="20"/>
        </w:rPr>
        <w:t xml:space="preserve"> veröffentlicht. </w:t>
      </w:r>
    </w:p>
    <w:p w:rsidR="00BD0C18" w:rsidRPr="0053721B" w:rsidRDefault="00BD0C18" w:rsidP="00BD0C18">
      <w:pPr>
        <w:rPr>
          <w:rFonts w:ascii="Arial" w:hAnsi="Arial"/>
          <w:sz w:val="20"/>
          <w:szCs w:val="20"/>
        </w:rPr>
      </w:pPr>
      <w:r>
        <w:rPr>
          <w:rFonts w:ascii="Arial" w:hAnsi="Arial"/>
          <w:sz w:val="20"/>
          <w:szCs w:val="20"/>
        </w:rPr>
        <w:t xml:space="preserve">Bundeszentrale für politische Bildung 2016 | </w:t>
      </w:r>
      <w:hyperlink r:id="rId7" w:history="1">
        <w:r w:rsidRPr="00DB72F5">
          <w:rPr>
            <w:rFonts w:ascii="Arial" w:hAnsi="Arial"/>
            <w:sz w:val="20"/>
            <w:szCs w:val="20"/>
          </w:rPr>
          <w:t>www.bpb.de</w:t>
        </w:r>
      </w:hyperlink>
    </w:p>
    <w:p w:rsidR="00BD0C18" w:rsidRPr="002E1896" w:rsidRDefault="00BD0C18" w:rsidP="002E1896">
      <w:pPr>
        <w:rPr>
          <w:rFonts w:ascii="Arial" w:hAnsi="Arial" w:cs="Arial"/>
        </w:rPr>
      </w:pPr>
    </w:p>
    <w:sectPr w:rsidR="00BD0C18" w:rsidRPr="002E18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63"/>
    <w:rsid w:val="0002128B"/>
    <w:rsid w:val="000B4D29"/>
    <w:rsid w:val="0012766C"/>
    <w:rsid w:val="00151514"/>
    <w:rsid w:val="001A75DF"/>
    <w:rsid w:val="001B3D8C"/>
    <w:rsid w:val="001C0420"/>
    <w:rsid w:val="001E2591"/>
    <w:rsid w:val="002156A0"/>
    <w:rsid w:val="0023024E"/>
    <w:rsid w:val="00240B1F"/>
    <w:rsid w:val="00295173"/>
    <w:rsid w:val="002A54E9"/>
    <w:rsid w:val="002E1896"/>
    <w:rsid w:val="00374480"/>
    <w:rsid w:val="003A0895"/>
    <w:rsid w:val="00425AFE"/>
    <w:rsid w:val="004C2C36"/>
    <w:rsid w:val="004D1BB9"/>
    <w:rsid w:val="005C01BC"/>
    <w:rsid w:val="005C5335"/>
    <w:rsid w:val="005E3129"/>
    <w:rsid w:val="006332BD"/>
    <w:rsid w:val="00651D64"/>
    <w:rsid w:val="006B3B86"/>
    <w:rsid w:val="00774EA6"/>
    <w:rsid w:val="007B3951"/>
    <w:rsid w:val="007C7D4D"/>
    <w:rsid w:val="00854CAB"/>
    <w:rsid w:val="00897379"/>
    <w:rsid w:val="00921DCE"/>
    <w:rsid w:val="009D3F93"/>
    <w:rsid w:val="009E7392"/>
    <w:rsid w:val="00A54F91"/>
    <w:rsid w:val="00AA2882"/>
    <w:rsid w:val="00B95794"/>
    <w:rsid w:val="00BD0C18"/>
    <w:rsid w:val="00C04B2E"/>
    <w:rsid w:val="00CB1FCD"/>
    <w:rsid w:val="00CD0FF0"/>
    <w:rsid w:val="00D501AD"/>
    <w:rsid w:val="00D53EF0"/>
    <w:rsid w:val="00D55D3F"/>
    <w:rsid w:val="00E22002"/>
    <w:rsid w:val="00EC0512"/>
    <w:rsid w:val="00EE4461"/>
    <w:rsid w:val="00F45E63"/>
    <w:rsid w:val="00F62D5A"/>
    <w:rsid w:val="00F713A9"/>
    <w:rsid w:val="00FA6E23"/>
    <w:rsid w:val="00FD3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45E63"/>
    <w:rPr>
      <w:rFonts w:ascii="Tahoma" w:hAnsi="Tahoma" w:cs="Tahoma"/>
      <w:sz w:val="16"/>
      <w:szCs w:val="16"/>
    </w:rPr>
  </w:style>
  <w:style w:type="character" w:styleId="Fett">
    <w:name w:val="Strong"/>
    <w:uiPriority w:val="22"/>
    <w:qFormat/>
    <w:rsid w:val="00EE44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45E63"/>
    <w:rPr>
      <w:rFonts w:ascii="Tahoma" w:hAnsi="Tahoma" w:cs="Tahoma"/>
      <w:sz w:val="16"/>
      <w:szCs w:val="16"/>
    </w:rPr>
  </w:style>
  <w:style w:type="character" w:styleId="Fett">
    <w:name w:val="Strong"/>
    <w:uiPriority w:val="22"/>
    <w:qFormat/>
    <w:rsid w:val="00EE4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www.bpb.de/527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4628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5352</CharactersWithSpaces>
  <SharedDoc>false</SharedDoc>
  <HLinks>
    <vt:vector size="6" baseType="variant">
      <vt:variant>
        <vt:i4>6750313</vt:i4>
      </vt:variant>
      <vt:variant>
        <vt:i4>0</vt:i4>
      </vt:variant>
      <vt:variant>
        <vt:i4>0</vt:i4>
      </vt:variant>
      <vt:variant>
        <vt:i4>5</vt:i4>
      </vt:variant>
      <vt:variant>
        <vt:lpwstr>http://www.bpb.de/52754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2016-08-25T16:30:00Z</dcterms:created>
  <dcterms:modified xsi:type="dcterms:W3CDTF">2016-08-25T16:30:00Z</dcterms:modified>
</cp:coreProperties>
</file>