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81" w:rsidRDefault="00564481" w:rsidP="00564481">
      <w:pPr>
        <w:tabs>
          <w:tab w:val="left" w:pos="3060"/>
        </w:tabs>
        <w:rPr>
          <w:rFonts w:ascii="Arial" w:hAnsi="Arial"/>
          <w:b/>
        </w:rPr>
      </w:pPr>
      <w:bookmarkStart w:id="0" w:name="_GoBack"/>
      <w:bookmarkEnd w:id="0"/>
      <w:r w:rsidRPr="00636C2B">
        <w:rPr>
          <w:rFonts w:ascii="Arial" w:hAnsi="Arial"/>
          <w:b/>
        </w:rPr>
        <w:t xml:space="preserve">Bezogen auf die Regionen </w:t>
      </w:r>
      <w:r>
        <w:rPr>
          <w:rFonts w:ascii="Arial" w:hAnsi="Arial"/>
          <w:b/>
        </w:rPr>
        <w:t xml:space="preserve">war </w:t>
      </w:r>
      <w:r w:rsidRPr="00636C2B">
        <w:rPr>
          <w:rFonts w:ascii="Arial" w:hAnsi="Arial"/>
          <w:b/>
        </w:rPr>
        <w:t xml:space="preserve">der Primärenergie-Verbrauch </w:t>
      </w:r>
      <w:r>
        <w:rPr>
          <w:rFonts w:ascii="Arial" w:hAnsi="Arial"/>
          <w:b/>
        </w:rPr>
        <w:t xml:space="preserve">pro Kopf im Jahr 2014 </w:t>
      </w:r>
      <w:r w:rsidRPr="00636C2B">
        <w:rPr>
          <w:rFonts w:ascii="Arial" w:hAnsi="Arial"/>
          <w:b/>
        </w:rPr>
        <w:t xml:space="preserve">in Nordamerika mit Abstand am höchsten </w:t>
      </w:r>
      <w:r w:rsidRPr="005A016E">
        <w:rPr>
          <w:rFonts w:ascii="Arial" w:hAnsi="Arial"/>
          <w:b/>
        </w:rPr>
        <w:t xml:space="preserve">(5,8 t) </w:t>
      </w:r>
      <w:r w:rsidRPr="00636C2B">
        <w:rPr>
          <w:rFonts w:ascii="Arial" w:hAnsi="Arial"/>
          <w:b/>
        </w:rPr>
        <w:t>und in Afrika mit Abstand am niedrigsten</w:t>
      </w:r>
      <w:r w:rsidRPr="005A016E">
        <w:rPr>
          <w:rFonts w:ascii="Arial" w:hAnsi="Arial"/>
          <w:b/>
        </w:rPr>
        <w:t xml:space="preserve"> (0,</w:t>
      </w:r>
      <w:r>
        <w:rPr>
          <w:rFonts w:ascii="Arial" w:hAnsi="Arial"/>
          <w:b/>
        </w:rPr>
        <w:t>4</w:t>
      </w:r>
      <w:r w:rsidRPr="005A016E">
        <w:rPr>
          <w:rFonts w:ascii="Arial" w:hAnsi="Arial"/>
          <w:b/>
        </w:rPr>
        <w:t xml:space="preserve"> t)</w:t>
      </w:r>
      <w:r>
        <w:rPr>
          <w:rFonts w:ascii="Arial" w:hAnsi="Arial"/>
          <w:b/>
        </w:rPr>
        <w:t xml:space="preserve">. Unter den Staaten mit dem höchsten </w:t>
      </w:r>
      <w:r w:rsidRPr="00636C2B">
        <w:rPr>
          <w:rFonts w:ascii="Arial" w:hAnsi="Arial"/>
          <w:b/>
        </w:rPr>
        <w:t>Primärenergie-Verbrauch</w:t>
      </w:r>
      <w:r>
        <w:rPr>
          <w:rFonts w:ascii="Arial" w:hAnsi="Arial"/>
          <w:b/>
        </w:rPr>
        <w:t xml:space="preserve"> pro Kopf sind viele wichtige Energieproduzenten – an erster Stelle Katar mit einem Energieverbrauch von 22,3</w:t>
      </w:r>
      <w:r w:rsidRPr="005A016E">
        <w:rPr>
          <w:rFonts w:ascii="Arial" w:hAnsi="Arial"/>
          <w:b/>
        </w:rPr>
        <w:t xml:space="preserve"> Tonnen Öläquivalent. In den beiden bevölkerungsreichsten Staaten der Welt – China und Indien – lag der Verbrauch bei 2,1 bzw. 0,5 Tonnen Öläquivalent</w:t>
      </w:r>
      <w:r>
        <w:rPr>
          <w:rFonts w:ascii="Arial" w:hAnsi="Arial"/>
          <w:b/>
        </w:rPr>
        <w:t xml:space="preserve"> pro Kopf</w:t>
      </w:r>
      <w:r w:rsidRPr="005A016E">
        <w:rPr>
          <w:rFonts w:ascii="Arial" w:hAnsi="Arial"/>
          <w:b/>
        </w:rPr>
        <w:t>.</w:t>
      </w:r>
    </w:p>
    <w:p w:rsidR="00564481" w:rsidRPr="00636C2B" w:rsidRDefault="00564481" w:rsidP="00564481">
      <w:pPr>
        <w:tabs>
          <w:tab w:val="left" w:pos="3060"/>
        </w:tabs>
        <w:rPr>
          <w:rFonts w:ascii="Arial" w:hAnsi="Arial"/>
          <w:b/>
        </w:rPr>
      </w:pPr>
    </w:p>
    <w:p w:rsidR="009437D5" w:rsidRDefault="009437D5" w:rsidP="00636C2B">
      <w:pPr>
        <w:tabs>
          <w:tab w:val="left" w:pos="3060"/>
        </w:tabs>
        <w:jc w:val="both"/>
        <w:rPr>
          <w:rFonts w:ascii="Arial" w:hAnsi="Arial"/>
          <w:color w:val="FF0000"/>
        </w:rPr>
      </w:pPr>
      <w:r w:rsidRPr="00117627">
        <w:rPr>
          <w:rFonts w:ascii="Arial" w:hAnsi="Arial"/>
          <w:color w:val="FF0000"/>
        </w:rPr>
        <w:t>Fakten</w:t>
      </w:r>
    </w:p>
    <w:p w:rsidR="00B14E12" w:rsidRPr="00636C2B" w:rsidRDefault="00B14E12" w:rsidP="001C40D4">
      <w:pPr>
        <w:tabs>
          <w:tab w:val="left" w:pos="3060"/>
        </w:tabs>
        <w:rPr>
          <w:rFonts w:ascii="Arial" w:hAnsi="Arial"/>
        </w:rPr>
      </w:pPr>
    </w:p>
    <w:p w:rsidR="00BB161B" w:rsidRDefault="00030882" w:rsidP="00BB161B">
      <w:pPr>
        <w:tabs>
          <w:tab w:val="left" w:pos="3060"/>
        </w:tabs>
        <w:rPr>
          <w:rFonts w:ascii="Arial" w:hAnsi="Arial"/>
        </w:rPr>
      </w:pPr>
      <w:r w:rsidRPr="005F7271">
        <w:rPr>
          <w:rFonts w:ascii="Arial" w:hAnsi="Arial"/>
        </w:rPr>
        <w:t>Der Primärenergie-Verbrauch pro Kopf lag im Jahr 20</w:t>
      </w:r>
      <w:r w:rsidR="001C40D4" w:rsidRPr="005F7271">
        <w:rPr>
          <w:rFonts w:ascii="Arial" w:hAnsi="Arial"/>
        </w:rPr>
        <w:t>14</w:t>
      </w:r>
      <w:r w:rsidRPr="005F7271">
        <w:rPr>
          <w:rFonts w:ascii="Arial" w:hAnsi="Arial"/>
        </w:rPr>
        <w:t xml:space="preserve"> weltweit bei 1,</w:t>
      </w:r>
      <w:r w:rsidR="001C40D4" w:rsidRPr="005F7271">
        <w:rPr>
          <w:rFonts w:ascii="Arial" w:hAnsi="Arial"/>
        </w:rPr>
        <w:t>79</w:t>
      </w:r>
      <w:r w:rsidRPr="005F7271">
        <w:rPr>
          <w:rFonts w:ascii="Arial" w:hAnsi="Arial"/>
        </w:rPr>
        <w:t xml:space="preserve"> Tonnen Öläquivalent. Regional war der </w:t>
      </w:r>
      <w:r w:rsidR="00F77F08">
        <w:rPr>
          <w:rFonts w:ascii="Arial" w:hAnsi="Arial"/>
        </w:rPr>
        <w:t>P</w:t>
      </w:r>
      <w:r w:rsidRPr="005F7271">
        <w:rPr>
          <w:rFonts w:ascii="Arial" w:hAnsi="Arial"/>
        </w:rPr>
        <w:t>ro</w:t>
      </w:r>
      <w:r w:rsidR="00F77F08">
        <w:rPr>
          <w:rFonts w:ascii="Arial" w:hAnsi="Arial"/>
        </w:rPr>
        <w:t>-</w:t>
      </w:r>
      <w:r w:rsidRPr="005F7271">
        <w:rPr>
          <w:rFonts w:ascii="Arial" w:hAnsi="Arial"/>
        </w:rPr>
        <w:t>Kopf</w:t>
      </w:r>
      <w:r w:rsidR="00F77F08">
        <w:rPr>
          <w:rFonts w:ascii="Arial" w:hAnsi="Arial"/>
        </w:rPr>
        <w:t>-</w:t>
      </w:r>
      <w:r w:rsidRPr="005F7271">
        <w:rPr>
          <w:rFonts w:ascii="Arial" w:hAnsi="Arial"/>
        </w:rPr>
        <w:t xml:space="preserve">Verbrauch </w:t>
      </w:r>
      <w:r w:rsidR="00BB161B">
        <w:rPr>
          <w:rFonts w:ascii="Arial" w:hAnsi="Arial"/>
        </w:rPr>
        <w:t>in N</w:t>
      </w:r>
      <w:r w:rsidRPr="005F7271">
        <w:rPr>
          <w:rFonts w:ascii="Arial" w:hAnsi="Arial"/>
        </w:rPr>
        <w:t>ordamerika</w:t>
      </w:r>
      <w:r w:rsidR="00BB161B" w:rsidRPr="005F7271">
        <w:rPr>
          <w:rFonts w:ascii="Arial" w:hAnsi="Arial"/>
        </w:rPr>
        <w:t xml:space="preserve"> (5,81 t)</w:t>
      </w:r>
      <w:r w:rsidR="00BB161B">
        <w:rPr>
          <w:rFonts w:ascii="Arial" w:hAnsi="Arial"/>
        </w:rPr>
        <w:t>,</w:t>
      </w:r>
      <w:r w:rsidR="00BB161B" w:rsidRPr="00BB161B">
        <w:rPr>
          <w:rFonts w:ascii="Arial" w:hAnsi="Arial"/>
        </w:rPr>
        <w:t xml:space="preserve"> </w:t>
      </w:r>
      <w:r w:rsidR="00BB161B">
        <w:rPr>
          <w:rFonts w:ascii="Arial" w:hAnsi="Arial"/>
        </w:rPr>
        <w:t xml:space="preserve">dem </w:t>
      </w:r>
      <w:r w:rsidR="00BB161B" w:rsidRPr="005F7271">
        <w:rPr>
          <w:rFonts w:ascii="Arial" w:hAnsi="Arial"/>
        </w:rPr>
        <w:t>Mittlere</w:t>
      </w:r>
      <w:r w:rsidR="00BB161B">
        <w:rPr>
          <w:rFonts w:ascii="Arial" w:hAnsi="Arial"/>
        </w:rPr>
        <w:t>n</w:t>
      </w:r>
      <w:r w:rsidR="00BB161B" w:rsidRPr="005F7271">
        <w:rPr>
          <w:rFonts w:ascii="Arial" w:hAnsi="Arial"/>
        </w:rPr>
        <w:t xml:space="preserve"> Osten (3,59 t) sowie </w:t>
      </w:r>
      <w:r w:rsidR="00BB161B">
        <w:rPr>
          <w:rFonts w:ascii="Arial" w:hAnsi="Arial"/>
        </w:rPr>
        <w:t xml:space="preserve">in </w:t>
      </w:r>
      <w:r w:rsidR="00BB161B" w:rsidRPr="005F7271">
        <w:rPr>
          <w:rFonts w:ascii="Arial" w:hAnsi="Arial"/>
        </w:rPr>
        <w:t xml:space="preserve">Europa und Eurasien (3,13 t) </w:t>
      </w:r>
      <w:r w:rsidRPr="005F7271">
        <w:rPr>
          <w:rFonts w:ascii="Arial" w:hAnsi="Arial"/>
        </w:rPr>
        <w:t>am höchsten</w:t>
      </w:r>
      <w:r w:rsidR="00BB161B">
        <w:rPr>
          <w:rFonts w:ascii="Arial" w:hAnsi="Arial"/>
        </w:rPr>
        <w:t xml:space="preserve">. In </w:t>
      </w:r>
      <w:r w:rsidRPr="005F7271">
        <w:rPr>
          <w:rFonts w:ascii="Arial" w:hAnsi="Arial"/>
        </w:rPr>
        <w:t>Afrika (0,</w:t>
      </w:r>
      <w:r w:rsidR="001C40D4" w:rsidRPr="005F7271">
        <w:rPr>
          <w:rFonts w:ascii="Arial" w:hAnsi="Arial"/>
        </w:rPr>
        <w:t>37</w:t>
      </w:r>
      <w:r w:rsidRPr="005F7271">
        <w:rPr>
          <w:rFonts w:ascii="Arial" w:hAnsi="Arial"/>
        </w:rPr>
        <w:t xml:space="preserve"> t)</w:t>
      </w:r>
      <w:r w:rsidR="00BB161B">
        <w:rPr>
          <w:rFonts w:ascii="Arial" w:hAnsi="Arial"/>
        </w:rPr>
        <w:t xml:space="preserve">, </w:t>
      </w:r>
      <w:r w:rsidR="00BB161B" w:rsidRPr="005F7271">
        <w:rPr>
          <w:rFonts w:ascii="Arial" w:hAnsi="Arial"/>
        </w:rPr>
        <w:t>dem asiatisch-pazifischen Raum (1,34 t)</w:t>
      </w:r>
      <w:r w:rsidR="00BB161B">
        <w:rPr>
          <w:rFonts w:ascii="Arial" w:hAnsi="Arial"/>
        </w:rPr>
        <w:t xml:space="preserve"> sowie M</w:t>
      </w:r>
      <w:r w:rsidR="00BB161B" w:rsidRPr="005F7271">
        <w:rPr>
          <w:rFonts w:ascii="Arial" w:hAnsi="Arial"/>
        </w:rPr>
        <w:t xml:space="preserve">ittel- und Südamerika (1,40 t) </w:t>
      </w:r>
      <w:r w:rsidRPr="005F7271">
        <w:rPr>
          <w:rFonts w:ascii="Arial" w:hAnsi="Arial"/>
        </w:rPr>
        <w:t xml:space="preserve">lag der </w:t>
      </w:r>
      <w:r w:rsidR="00BB161B" w:rsidRPr="005F7271">
        <w:rPr>
          <w:rFonts w:ascii="Arial" w:hAnsi="Arial"/>
        </w:rPr>
        <w:t xml:space="preserve">Primärenergie-Verbrauch pro Kopf </w:t>
      </w:r>
      <w:r w:rsidR="00BB161B">
        <w:rPr>
          <w:rFonts w:ascii="Arial" w:hAnsi="Arial"/>
        </w:rPr>
        <w:t xml:space="preserve">hingegen </w:t>
      </w:r>
      <w:r w:rsidRPr="005F7271">
        <w:rPr>
          <w:rFonts w:ascii="Arial" w:hAnsi="Arial"/>
        </w:rPr>
        <w:t>unter dem weltweiten Durchschnitt.</w:t>
      </w:r>
    </w:p>
    <w:p w:rsidR="00BB161B" w:rsidRDefault="00BB161B" w:rsidP="00BB161B">
      <w:pPr>
        <w:tabs>
          <w:tab w:val="left" w:pos="3060"/>
        </w:tabs>
        <w:rPr>
          <w:rFonts w:ascii="Arial" w:hAnsi="Arial"/>
        </w:rPr>
      </w:pPr>
    </w:p>
    <w:p w:rsidR="00457C5F" w:rsidRDefault="00030882" w:rsidP="00BB161B">
      <w:pPr>
        <w:tabs>
          <w:tab w:val="left" w:pos="3060"/>
        </w:tabs>
        <w:rPr>
          <w:rFonts w:ascii="Arial" w:hAnsi="Arial"/>
        </w:rPr>
      </w:pPr>
      <w:r w:rsidRPr="0044359E">
        <w:rPr>
          <w:rFonts w:ascii="Arial" w:hAnsi="Arial"/>
        </w:rPr>
        <w:t>Noch größer als die Unterschiede zwischen den Regionen sind die Unterschiede zwischen den einzelnen Staaten innerhalb einer Region. Beispielsweise lag im Jahr 20</w:t>
      </w:r>
      <w:r w:rsidR="005F7271" w:rsidRPr="0044359E">
        <w:rPr>
          <w:rFonts w:ascii="Arial" w:hAnsi="Arial"/>
        </w:rPr>
        <w:t>14</w:t>
      </w:r>
      <w:r w:rsidRPr="0044359E">
        <w:rPr>
          <w:rFonts w:ascii="Arial" w:hAnsi="Arial"/>
        </w:rPr>
        <w:t xml:space="preserve"> der Primärenergie-Verbrauch pro Kopf in Nordamerika zwischen 1,</w:t>
      </w:r>
      <w:r w:rsidR="005F7271" w:rsidRPr="0044359E">
        <w:rPr>
          <w:rFonts w:ascii="Arial" w:hAnsi="Arial"/>
        </w:rPr>
        <w:t>55</w:t>
      </w:r>
      <w:r w:rsidRPr="0044359E">
        <w:rPr>
          <w:rFonts w:ascii="Arial" w:hAnsi="Arial"/>
        </w:rPr>
        <w:t xml:space="preserve"> Tonnen Öläquivalent in Mexiko und 9,</w:t>
      </w:r>
      <w:r w:rsidR="005F7271" w:rsidRPr="0044359E">
        <w:rPr>
          <w:rFonts w:ascii="Arial" w:hAnsi="Arial"/>
        </w:rPr>
        <w:t>36</w:t>
      </w:r>
      <w:r w:rsidRPr="0044359E">
        <w:rPr>
          <w:rFonts w:ascii="Arial" w:hAnsi="Arial"/>
        </w:rPr>
        <w:t xml:space="preserve"> Tonnen in Kanada. In Europa und Eurasien bewegte sich der Verbrauch </w:t>
      </w:r>
      <w:r w:rsidR="005F7271" w:rsidRPr="0044359E">
        <w:rPr>
          <w:rFonts w:ascii="Arial" w:hAnsi="Arial"/>
        </w:rPr>
        <w:t xml:space="preserve">– </w:t>
      </w:r>
      <w:r w:rsidR="0044359E">
        <w:rPr>
          <w:rFonts w:ascii="Arial" w:hAnsi="Arial"/>
        </w:rPr>
        <w:t xml:space="preserve">immer </w:t>
      </w:r>
      <w:r w:rsidR="005F7271" w:rsidRPr="0044359E">
        <w:rPr>
          <w:rFonts w:ascii="Arial" w:hAnsi="Arial"/>
        </w:rPr>
        <w:t xml:space="preserve">bezogen auf die Staaten für die Daten vorliegen – zwischen </w:t>
      </w:r>
      <w:r w:rsidRPr="0044359E">
        <w:rPr>
          <w:rFonts w:ascii="Arial" w:hAnsi="Arial"/>
        </w:rPr>
        <w:t>1,</w:t>
      </w:r>
      <w:r w:rsidR="005F7271" w:rsidRPr="0044359E">
        <w:rPr>
          <w:rFonts w:ascii="Arial" w:hAnsi="Arial"/>
        </w:rPr>
        <w:t>38</w:t>
      </w:r>
      <w:r w:rsidRPr="0044359E">
        <w:rPr>
          <w:rFonts w:ascii="Arial" w:hAnsi="Arial"/>
        </w:rPr>
        <w:t xml:space="preserve"> Tonnen Öläquivalent in </w:t>
      </w:r>
      <w:r w:rsidR="005F7271" w:rsidRPr="0044359E">
        <w:rPr>
          <w:rFonts w:ascii="Arial" w:hAnsi="Arial"/>
        </w:rPr>
        <w:t xml:space="preserve">Aserbaidschan </w:t>
      </w:r>
      <w:r w:rsidRPr="0044359E">
        <w:rPr>
          <w:rFonts w:ascii="Arial" w:hAnsi="Arial"/>
        </w:rPr>
        <w:t xml:space="preserve">und </w:t>
      </w:r>
      <w:r w:rsidR="005F7271" w:rsidRPr="0044359E">
        <w:rPr>
          <w:rFonts w:ascii="Arial" w:hAnsi="Arial"/>
        </w:rPr>
        <w:t>9</w:t>
      </w:r>
      <w:r w:rsidRPr="0044359E">
        <w:rPr>
          <w:rFonts w:ascii="Arial" w:hAnsi="Arial"/>
        </w:rPr>
        <w:t>,</w:t>
      </w:r>
      <w:r w:rsidR="005F7271" w:rsidRPr="0044359E">
        <w:rPr>
          <w:rFonts w:ascii="Arial" w:hAnsi="Arial"/>
        </w:rPr>
        <w:t>18</w:t>
      </w:r>
      <w:r w:rsidRPr="0044359E">
        <w:rPr>
          <w:rFonts w:ascii="Arial" w:hAnsi="Arial"/>
        </w:rPr>
        <w:t xml:space="preserve"> Tonnen in </w:t>
      </w:r>
      <w:r w:rsidR="005F7271" w:rsidRPr="0044359E">
        <w:rPr>
          <w:rFonts w:ascii="Arial" w:hAnsi="Arial"/>
        </w:rPr>
        <w:t>Norwegen</w:t>
      </w:r>
      <w:r w:rsidR="005B5527">
        <w:rPr>
          <w:rFonts w:ascii="Arial" w:hAnsi="Arial"/>
        </w:rPr>
        <w:t xml:space="preserve"> (Europäische Union: 3,14 t)</w:t>
      </w:r>
      <w:r w:rsidRPr="0044359E">
        <w:rPr>
          <w:rFonts w:ascii="Arial" w:hAnsi="Arial"/>
        </w:rPr>
        <w:t>. Noch deutlich größer sind die Unterschiede im asiatisch-pazifischen Raum</w:t>
      </w:r>
      <w:r w:rsidR="005F7271" w:rsidRPr="0044359E">
        <w:rPr>
          <w:rFonts w:ascii="Arial" w:hAnsi="Arial"/>
        </w:rPr>
        <w:t xml:space="preserve">: </w:t>
      </w:r>
      <w:r w:rsidRPr="0044359E">
        <w:rPr>
          <w:rFonts w:ascii="Arial" w:hAnsi="Arial"/>
        </w:rPr>
        <w:t>Dort lag der Primärenergie-Verbrauch pro Kopf zwischen 0,1</w:t>
      </w:r>
      <w:r w:rsidR="005F7271" w:rsidRPr="0044359E">
        <w:rPr>
          <w:rFonts w:ascii="Arial" w:hAnsi="Arial"/>
        </w:rPr>
        <w:t>8</w:t>
      </w:r>
      <w:r w:rsidRPr="0044359E">
        <w:rPr>
          <w:rFonts w:ascii="Arial" w:hAnsi="Arial"/>
        </w:rPr>
        <w:t xml:space="preserve"> Tonnen Öläquivalent in Bangladesch und 1</w:t>
      </w:r>
      <w:r w:rsidR="005F7271" w:rsidRPr="0044359E">
        <w:rPr>
          <w:rFonts w:ascii="Arial" w:hAnsi="Arial"/>
        </w:rPr>
        <w:t>3</w:t>
      </w:r>
      <w:r w:rsidRPr="0044359E">
        <w:rPr>
          <w:rFonts w:ascii="Arial" w:hAnsi="Arial"/>
        </w:rPr>
        <w:t>,</w:t>
      </w:r>
      <w:r w:rsidR="005F7271" w:rsidRPr="0044359E">
        <w:rPr>
          <w:rFonts w:ascii="Arial" w:hAnsi="Arial"/>
        </w:rPr>
        <w:t>80</w:t>
      </w:r>
      <w:r w:rsidRPr="0044359E">
        <w:rPr>
          <w:rFonts w:ascii="Arial" w:hAnsi="Arial"/>
        </w:rPr>
        <w:t xml:space="preserve"> Tonnen in Singapur. </w:t>
      </w:r>
      <w:r w:rsidRPr="0044359E">
        <w:rPr>
          <w:rFonts w:ascii="Arial" w:hAnsi="Arial"/>
        </w:rPr>
        <w:br/>
      </w:r>
      <w:r>
        <w:br/>
      </w:r>
      <w:r w:rsidR="0044359E" w:rsidRPr="0044359E">
        <w:rPr>
          <w:rFonts w:ascii="Arial" w:hAnsi="Arial"/>
        </w:rPr>
        <w:t xml:space="preserve">Katar, Trinidad und Tobago, Singapur, Kuwait </w:t>
      </w:r>
      <w:r w:rsidR="00595733">
        <w:rPr>
          <w:rFonts w:ascii="Arial" w:hAnsi="Arial"/>
        </w:rPr>
        <w:t>sowie</w:t>
      </w:r>
      <w:r w:rsidR="0044359E" w:rsidRPr="0044359E">
        <w:rPr>
          <w:rFonts w:ascii="Arial" w:hAnsi="Arial"/>
        </w:rPr>
        <w:t xml:space="preserve"> die Vereinigten Arabischen Emirate </w:t>
      </w:r>
      <w:r w:rsidRPr="0044359E">
        <w:rPr>
          <w:rFonts w:ascii="Arial" w:hAnsi="Arial"/>
        </w:rPr>
        <w:t>hatten 20</w:t>
      </w:r>
      <w:r w:rsidR="0044359E" w:rsidRPr="0044359E">
        <w:rPr>
          <w:rFonts w:ascii="Arial" w:hAnsi="Arial"/>
        </w:rPr>
        <w:t>14</w:t>
      </w:r>
      <w:r w:rsidRPr="0044359E">
        <w:rPr>
          <w:rFonts w:ascii="Arial" w:hAnsi="Arial"/>
        </w:rPr>
        <w:t xml:space="preserve"> mit einem Primärenergie-Verbrauch von zehn oder mehr Tonnen Öläquivalent den weltweit höchsten Energieverbrauch pro Kopf. Es folgten </w:t>
      </w:r>
      <w:r w:rsidR="0044359E" w:rsidRPr="0044359E">
        <w:rPr>
          <w:rFonts w:ascii="Arial" w:hAnsi="Arial"/>
        </w:rPr>
        <w:t xml:space="preserve">Kanada, Norwegen, Saudi-Arabien, die USA und Turkmenistan </w:t>
      </w:r>
      <w:r w:rsidRPr="0044359E">
        <w:rPr>
          <w:rFonts w:ascii="Arial" w:hAnsi="Arial"/>
        </w:rPr>
        <w:t xml:space="preserve">mit einem Primärenergie-Verbrauch pro Kopf zwischen </w:t>
      </w:r>
      <w:r w:rsidR="0044359E" w:rsidRPr="0044359E">
        <w:rPr>
          <w:rFonts w:ascii="Arial" w:hAnsi="Arial"/>
        </w:rPr>
        <w:t>9,36</w:t>
      </w:r>
      <w:r w:rsidRPr="0044359E">
        <w:rPr>
          <w:rFonts w:ascii="Arial" w:hAnsi="Arial"/>
        </w:rPr>
        <w:t xml:space="preserve"> und </w:t>
      </w:r>
      <w:r w:rsidR="0044359E" w:rsidRPr="0044359E">
        <w:rPr>
          <w:rFonts w:ascii="Arial" w:hAnsi="Arial"/>
        </w:rPr>
        <w:t>5</w:t>
      </w:r>
      <w:r w:rsidRPr="0044359E">
        <w:rPr>
          <w:rFonts w:ascii="Arial" w:hAnsi="Arial"/>
        </w:rPr>
        <w:t>,</w:t>
      </w:r>
      <w:r w:rsidR="0044359E" w:rsidRPr="0044359E">
        <w:rPr>
          <w:rFonts w:ascii="Arial" w:hAnsi="Arial"/>
        </w:rPr>
        <w:t>90</w:t>
      </w:r>
      <w:r w:rsidRPr="0044359E">
        <w:rPr>
          <w:rFonts w:ascii="Arial" w:hAnsi="Arial"/>
        </w:rPr>
        <w:t xml:space="preserve"> Tonnen Öläquivalent. In Deutschland lag der Primärenergie-Verbrauch pro Kopf bei 3,</w:t>
      </w:r>
      <w:r w:rsidR="0044359E" w:rsidRPr="0044359E">
        <w:rPr>
          <w:rFonts w:ascii="Arial" w:hAnsi="Arial"/>
        </w:rPr>
        <w:t>76</w:t>
      </w:r>
      <w:r w:rsidRPr="0044359E">
        <w:rPr>
          <w:rFonts w:ascii="Arial" w:hAnsi="Arial"/>
        </w:rPr>
        <w:t xml:space="preserve"> Tonnen Öläquivalent.</w:t>
      </w:r>
      <w:r w:rsidRPr="0044359E">
        <w:rPr>
          <w:rFonts w:ascii="Arial" w:hAnsi="Arial"/>
        </w:rPr>
        <w:br/>
      </w:r>
      <w:r>
        <w:br/>
      </w:r>
      <w:r w:rsidRPr="004F5639">
        <w:rPr>
          <w:rFonts w:ascii="Arial" w:hAnsi="Arial"/>
        </w:rPr>
        <w:t xml:space="preserve">In der Gruppe der Staaten mit einem stark überdurchschnittlichen </w:t>
      </w:r>
      <w:r w:rsidR="00E30BDA" w:rsidRPr="00E30BDA">
        <w:rPr>
          <w:rFonts w:ascii="Arial" w:hAnsi="Arial"/>
        </w:rPr>
        <w:t>Pro-Kopf-Verbrauch</w:t>
      </w:r>
      <w:r w:rsidRPr="004F5639">
        <w:rPr>
          <w:rFonts w:ascii="Arial" w:hAnsi="Arial"/>
        </w:rPr>
        <w:t xml:space="preserve"> (≥ </w:t>
      </w:r>
      <w:r w:rsidR="0044359E" w:rsidRPr="004F5639">
        <w:rPr>
          <w:rFonts w:ascii="Arial" w:hAnsi="Arial"/>
        </w:rPr>
        <w:t>7</w:t>
      </w:r>
      <w:r w:rsidRPr="004F5639">
        <w:rPr>
          <w:rFonts w:ascii="Arial" w:hAnsi="Arial"/>
        </w:rPr>
        <w:t>,</w:t>
      </w:r>
      <w:r w:rsidR="0044359E" w:rsidRPr="004F5639">
        <w:rPr>
          <w:rFonts w:ascii="Arial" w:hAnsi="Arial"/>
        </w:rPr>
        <w:t>0</w:t>
      </w:r>
      <w:r w:rsidRPr="004F5639">
        <w:rPr>
          <w:rFonts w:ascii="Arial" w:hAnsi="Arial"/>
        </w:rPr>
        <w:t xml:space="preserve"> Tonnen Öläquivalent) fällt den USA eine Sonderrolle zu, da hier mit Abstand die meisten Menschen leben. Bei mehr als 3</w:t>
      </w:r>
      <w:r w:rsidR="0044359E" w:rsidRPr="004F5639">
        <w:rPr>
          <w:rFonts w:ascii="Arial" w:hAnsi="Arial"/>
        </w:rPr>
        <w:t>25</w:t>
      </w:r>
      <w:r w:rsidRPr="004F5639">
        <w:rPr>
          <w:rFonts w:ascii="Arial" w:hAnsi="Arial"/>
        </w:rPr>
        <w:t xml:space="preserve"> Millionen Einwohnern und einem Primärenergie-Verbrauch pro Kopf von 7,</w:t>
      </w:r>
      <w:r w:rsidR="0044359E" w:rsidRPr="004F5639">
        <w:rPr>
          <w:rFonts w:ascii="Arial" w:hAnsi="Arial"/>
        </w:rPr>
        <w:t>04</w:t>
      </w:r>
      <w:r w:rsidRPr="004F5639">
        <w:rPr>
          <w:rFonts w:ascii="Arial" w:hAnsi="Arial"/>
        </w:rPr>
        <w:t xml:space="preserve"> Tonnen Öläquivalent ergibt sich ein Gesamtverbrauch von 2.</w:t>
      </w:r>
      <w:r w:rsidR="0044359E" w:rsidRPr="004F5639">
        <w:rPr>
          <w:rFonts w:ascii="Arial" w:hAnsi="Arial"/>
        </w:rPr>
        <w:t>299</w:t>
      </w:r>
      <w:r w:rsidRPr="004F5639">
        <w:rPr>
          <w:rFonts w:ascii="Arial" w:hAnsi="Arial"/>
        </w:rPr>
        <w:t xml:space="preserve"> Millionen Tonnen – das war mehr als ein </w:t>
      </w:r>
      <w:r w:rsidR="004F5639" w:rsidRPr="004F5639">
        <w:rPr>
          <w:rFonts w:ascii="Arial" w:hAnsi="Arial"/>
        </w:rPr>
        <w:t>Sechs</w:t>
      </w:r>
      <w:r w:rsidRPr="004F5639">
        <w:rPr>
          <w:rFonts w:ascii="Arial" w:hAnsi="Arial"/>
        </w:rPr>
        <w:t>tel des weltweiten Primärenergie-Verbrauchs im Jahr 20</w:t>
      </w:r>
      <w:r w:rsidR="0044359E" w:rsidRPr="004F5639">
        <w:rPr>
          <w:rFonts w:ascii="Arial" w:hAnsi="Arial"/>
        </w:rPr>
        <w:t>14</w:t>
      </w:r>
      <w:r w:rsidRPr="004F5639">
        <w:rPr>
          <w:rFonts w:ascii="Arial" w:hAnsi="Arial"/>
        </w:rPr>
        <w:t xml:space="preserve"> (</w:t>
      </w:r>
      <w:r w:rsidR="004F5639" w:rsidRPr="004F5639">
        <w:rPr>
          <w:rFonts w:ascii="Arial" w:hAnsi="Arial"/>
        </w:rPr>
        <w:t>17</w:t>
      </w:r>
      <w:r w:rsidRPr="004F5639">
        <w:rPr>
          <w:rFonts w:ascii="Arial" w:hAnsi="Arial"/>
        </w:rPr>
        <w:t>,</w:t>
      </w:r>
      <w:r w:rsidR="004F5639" w:rsidRPr="004F5639">
        <w:rPr>
          <w:rFonts w:ascii="Arial" w:hAnsi="Arial"/>
        </w:rPr>
        <w:t>8</w:t>
      </w:r>
      <w:r w:rsidRPr="004F5639">
        <w:rPr>
          <w:rFonts w:ascii="Arial" w:hAnsi="Arial"/>
        </w:rPr>
        <w:t xml:space="preserve"> Prozent). Auf die beiden – nach der Bevölkerungszahl – nächstgrößten Staaten dieser Gruppe, Kanada und Saudi-Arabien, entfielen </w:t>
      </w:r>
      <w:r w:rsidR="004F5639" w:rsidRPr="004F5639">
        <w:rPr>
          <w:rFonts w:ascii="Arial" w:hAnsi="Arial"/>
        </w:rPr>
        <w:t xml:space="preserve">lediglich </w:t>
      </w:r>
      <w:r w:rsidRPr="004F5639">
        <w:rPr>
          <w:rFonts w:ascii="Arial" w:hAnsi="Arial"/>
        </w:rPr>
        <w:t>2,</w:t>
      </w:r>
      <w:r w:rsidR="004F5639" w:rsidRPr="004F5639">
        <w:rPr>
          <w:rFonts w:ascii="Arial" w:hAnsi="Arial"/>
        </w:rPr>
        <w:t>6</w:t>
      </w:r>
      <w:r w:rsidRPr="004F5639">
        <w:rPr>
          <w:rFonts w:ascii="Arial" w:hAnsi="Arial"/>
        </w:rPr>
        <w:t xml:space="preserve"> bzw. 1,</w:t>
      </w:r>
      <w:r w:rsidR="004F5639" w:rsidRPr="004F5639">
        <w:rPr>
          <w:rFonts w:ascii="Arial" w:hAnsi="Arial"/>
        </w:rPr>
        <w:t>9</w:t>
      </w:r>
      <w:r w:rsidRPr="004F5639">
        <w:rPr>
          <w:rFonts w:ascii="Arial" w:hAnsi="Arial"/>
        </w:rPr>
        <w:t xml:space="preserve"> Prozent des weltweiten Energieverbrauchs.</w:t>
      </w:r>
    </w:p>
    <w:p w:rsidR="00457C5F" w:rsidRDefault="00457C5F" w:rsidP="001C40D4">
      <w:pPr>
        <w:tabs>
          <w:tab w:val="left" w:pos="3060"/>
        </w:tabs>
        <w:rPr>
          <w:rFonts w:ascii="Arial" w:hAnsi="Arial"/>
        </w:rPr>
      </w:pPr>
    </w:p>
    <w:p w:rsidR="00B14E12" w:rsidRPr="005F7271" w:rsidRDefault="00030882" w:rsidP="001C40D4">
      <w:pPr>
        <w:tabs>
          <w:tab w:val="left" w:pos="3060"/>
        </w:tabs>
        <w:rPr>
          <w:rFonts w:ascii="Arial" w:hAnsi="Arial"/>
        </w:rPr>
      </w:pPr>
      <w:r w:rsidRPr="005B5527">
        <w:rPr>
          <w:rFonts w:ascii="Arial" w:hAnsi="Arial"/>
        </w:rPr>
        <w:t>In den 3</w:t>
      </w:r>
      <w:r w:rsidR="005B5527" w:rsidRPr="005B5527">
        <w:rPr>
          <w:rFonts w:ascii="Arial" w:hAnsi="Arial"/>
        </w:rPr>
        <w:t>4</w:t>
      </w:r>
      <w:r w:rsidRPr="005B5527">
        <w:rPr>
          <w:rFonts w:ascii="Arial" w:hAnsi="Arial"/>
        </w:rPr>
        <w:t xml:space="preserve"> Staaten der OECD, die im Jahr 20</w:t>
      </w:r>
      <w:r w:rsidR="005B5527" w:rsidRPr="005B5527">
        <w:rPr>
          <w:rFonts w:ascii="Arial" w:hAnsi="Arial"/>
        </w:rPr>
        <w:t>14</w:t>
      </w:r>
      <w:r w:rsidRPr="005B5527">
        <w:rPr>
          <w:rFonts w:ascii="Arial" w:hAnsi="Arial"/>
        </w:rPr>
        <w:t xml:space="preserve"> mit einem Verbrauch von 5.</w:t>
      </w:r>
      <w:r w:rsidR="005B5527" w:rsidRPr="005B5527">
        <w:rPr>
          <w:rFonts w:ascii="Arial" w:hAnsi="Arial"/>
        </w:rPr>
        <w:t>499</w:t>
      </w:r>
      <w:r w:rsidRPr="005B5527">
        <w:rPr>
          <w:rFonts w:ascii="Arial" w:hAnsi="Arial"/>
        </w:rPr>
        <w:t xml:space="preserve"> Millionen Tonnen Öläquivalent einen Anteil von </w:t>
      </w:r>
      <w:r w:rsidR="005B5527" w:rsidRPr="005B5527">
        <w:rPr>
          <w:rFonts w:ascii="Arial" w:hAnsi="Arial"/>
        </w:rPr>
        <w:t>42</w:t>
      </w:r>
      <w:r w:rsidRPr="005B5527">
        <w:rPr>
          <w:rFonts w:ascii="Arial" w:hAnsi="Arial"/>
        </w:rPr>
        <w:t>,</w:t>
      </w:r>
      <w:r w:rsidR="005B5527" w:rsidRPr="005B5527">
        <w:rPr>
          <w:rFonts w:ascii="Arial" w:hAnsi="Arial"/>
        </w:rPr>
        <w:t>5</w:t>
      </w:r>
      <w:r w:rsidRPr="005B5527">
        <w:rPr>
          <w:rFonts w:ascii="Arial" w:hAnsi="Arial"/>
        </w:rPr>
        <w:t xml:space="preserve"> Prozent am weltweiten Primärenergie-Verbrauch hatten, lag der durchschnittliche </w:t>
      </w:r>
      <w:r w:rsidR="00E30BDA" w:rsidRPr="00E30BDA">
        <w:rPr>
          <w:rFonts w:ascii="Arial" w:hAnsi="Arial"/>
        </w:rPr>
        <w:t>Pro-Kopf-Verbrauch</w:t>
      </w:r>
      <w:r w:rsidRPr="005B5527">
        <w:rPr>
          <w:rFonts w:ascii="Arial" w:hAnsi="Arial"/>
        </w:rPr>
        <w:t xml:space="preserve"> bei 4,</w:t>
      </w:r>
      <w:r w:rsidR="005B5527" w:rsidRPr="005B5527">
        <w:rPr>
          <w:rFonts w:ascii="Arial" w:hAnsi="Arial"/>
        </w:rPr>
        <w:t>30</w:t>
      </w:r>
      <w:r w:rsidRPr="005B5527">
        <w:rPr>
          <w:rFonts w:ascii="Arial" w:hAnsi="Arial"/>
        </w:rPr>
        <w:t xml:space="preserve"> Tonnen Öläquivalent.</w:t>
      </w:r>
      <w:r w:rsidR="00A170D5">
        <w:rPr>
          <w:rFonts w:ascii="Arial" w:hAnsi="Arial"/>
        </w:rPr>
        <w:t xml:space="preserve"> In China, dem Staat mit dem höchsten absoluten Energieverbrauch (3</w:t>
      </w:r>
      <w:r w:rsidR="00A170D5" w:rsidRPr="004F5639">
        <w:rPr>
          <w:rFonts w:ascii="Arial" w:hAnsi="Arial"/>
        </w:rPr>
        <w:t>.</w:t>
      </w:r>
      <w:r w:rsidR="00A170D5">
        <w:rPr>
          <w:rFonts w:ascii="Arial" w:hAnsi="Arial"/>
        </w:rPr>
        <w:t>000</w:t>
      </w:r>
      <w:r w:rsidR="00A170D5" w:rsidRPr="004F5639">
        <w:rPr>
          <w:rFonts w:ascii="Arial" w:hAnsi="Arial"/>
        </w:rPr>
        <w:t xml:space="preserve"> </w:t>
      </w:r>
      <w:r w:rsidR="00A170D5">
        <w:rPr>
          <w:rFonts w:ascii="Arial" w:hAnsi="Arial"/>
        </w:rPr>
        <w:t xml:space="preserve">Mio. t / 23,2 Prozent des weltweiten </w:t>
      </w:r>
      <w:r w:rsidR="00A170D5" w:rsidRPr="004F5639">
        <w:rPr>
          <w:rFonts w:ascii="Arial" w:hAnsi="Arial"/>
        </w:rPr>
        <w:t>Primärenergie-Verbrauch</w:t>
      </w:r>
      <w:r w:rsidR="00A170D5">
        <w:rPr>
          <w:rFonts w:ascii="Arial" w:hAnsi="Arial"/>
        </w:rPr>
        <w:t xml:space="preserve">s), lag der Verbrauch pro Kopf bei 2,14 </w:t>
      </w:r>
      <w:r w:rsidR="00A170D5" w:rsidRPr="004F5639">
        <w:rPr>
          <w:rFonts w:ascii="Arial" w:hAnsi="Arial"/>
        </w:rPr>
        <w:t>Tonnen Öläquivalent</w:t>
      </w:r>
      <w:r w:rsidR="00A170D5">
        <w:rPr>
          <w:rFonts w:ascii="Arial" w:hAnsi="Arial"/>
        </w:rPr>
        <w:t>.</w:t>
      </w:r>
    </w:p>
    <w:p w:rsidR="00030882" w:rsidRDefault="00030882" w:rsidP="005B5527">
      <w:pPr>
        <w:tabs>
          <w:tab w:val="left" w:pos="3060"/>
        </w:tabs>
        <w:rPr>
          <w:rFonts w:ascii="Arial" w:hAnsi="Arial"/>
        </w:rPr>
      </w:pPr>
    </w:p>
    <w:p w:rsidR="00B14E12" w:rsidRPr="00C26175" w:rsidRDefault="00B14E12">
      <w:pPr>
        <w:rPr>
          <w:rFonts w:ascii="Arial" w:hAnsi="Arial"/>
          <w:color w:val="FF0000"/>
          <w:lang w:val="en-GB"/>
        </w:rPr>
      </w:pPr>
      <w:r w:rsidRPr="00C26175">
        <w:rPr>
          <w:rFonts w:ascii="Arial" w:hAnsi="Arial"/>
          <w:color w:val="FF0000"/>
          <w:lang w:val="en-GB"/>
        </w:rPr>
        <w:t>Datenquelle</w:t>
      </w:r>
    </w:p>
    <w:p w:rsidR="00B14E12" w:rsidRPr="002C62DA" w:rsidRDefault="00B14E12" w:rsidP="00457C5F">
      <w:pPr>
        <w:tabs>
          <w:tab w:val="left" w:pos="3060"/>
        </w:tabs>
        <w:rPr>
          <w:rFonts w:ascii="Arial" w:hAnsi="Arial"/>
          <w:lang w:val="en-US"/>
        </w:rPr>
      </w:pPr>
    </w:p>
    <w:p w:rsidR="009437D5" w:rsidRPr="002C62DA" w:rsidRDefault="009437D5" w:rsidP="009437D5">
      <w:pPr>
        <w:tabs>
          <w:tab w:val="left" w:pos="3060"/>
        </w:tabs>
        <w:rPr>
          <w:rFonts w:ascii="Arial" w:hAnsi="Arial"/>
          <w:lang w:val="en-US"/>
        </w:rPr>
      </w:pPr>
      <w:r w:rsidRPr="002C62DA">
        <w:rPr>
          <w:rFonts w:ascii="Arial" w:hAnsi="Arial"/>
          <w:lang w:val="en-US"/>
        </w:rPr>
        <w:t>British Petroleum (BP): Statistical Review of World Energy 2015</w:t>
      </w:r>
      <w:r w:rsidR="00740783" w:rsidRPr="002C62DA">
        <w:rPr>
          <w:rFonts w:ascii="Arial" w:hAnsi="Arial"/>
          <w:lang w:val="en-US"/>
        </w:rPr>
        <w:t>; United Nations Conference on Trade and Development (UNCTAD): Online-Datenbank: UNCTADstat (Stand: August 2015)</w:t>
      </w:r>
    </w:p>
    <w:p w:rsidR="00B14E12" w:rsidRPr="002C62DA" w:rsidRDefault="00B14E12" w:rsidP="00457C5F">
      <w:pPr>
        <w:tabs>
          <w:tab w:val="left" w:pos="3060"/>
        </w:tabs>
        <w:rPr>
          <w:rFonts w:ascii="Arial" w:hAnsi="Arial"/>
          <w:lang w:val="en-US"/>
        </w:rPr>
      </w:pPr>
    </w:p>
    <w:p w:rsidR="00B14E12" w:rsidRDefault="00B14E12">
      <w:pPr>
        <w:rPr>
          <w:rFonts w:ascii="Arial" w:hAnsi="Arial"/>
          <w:color w:val="FF0000"/>
        </w:rPr>
      </w:pPr>
      <w:r>
        <w:rPr>
          <w:rFonts w:ascii="Arial" w:hAnsi="Arial"/>
          <w:color w:val="FF0000"/>
        </w:rPr>
        <w:t>Begriffe, methodische Anmerkungen oder Lesehilfen</w:t>
      </w:r>
    </w:p>
    <w:p w:rsidR="00B14E12" w:rsidRPr="009437D5" w:rsidRDefault="00B14E12">
      <w:pPr>
        <w:rPr>
          <w:rFonts w:ascii="Arial" w:hAnsi="Arial"/>
          <w:color w:val="FF0000"/>
        </w:rPr>
      </w:pPr>
    </w:p>
    <w:p w:rsidR="009437D5" w:rsidRDefault="009437D5" w:rsidP="009437D5">
      <w:pPr>
        <w:rPr>
          <w:rFonts w:ascii="Arial" w:hAnsi="Arial" w:cs="Arial"/>
        </w:rPr>
      </w:pPr>
      <w:bookmarkStart w:id="1" w:name="Primaerenergie"/>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p>
    <w:p w:rsidR="009437D5" w:rsidRDefault="009437D5" w:rsidP="009437D5">
      <w:pPr>
        <w:rPr>
          <w:rFonts w:ascii="Arial" w:hAnsi="Arial" w:cs="Arial"/>
        </w:rPr>
      </w:pPr>
    </w:p>
    <w:p w:rsidR="009437D5" w:rsidRDefault="009437D5" w:rsidP="009437D5">
      <w:pPr>
        <w:rPr>
          <w:rFonts w:ascii="Arial" w:hAnsi="Arial"/>
          <w:color w:val="000000"/>
        </w:rPr>
      </w:pPr>
      <w:r w:rsidRPr="00854CAB">
        <w:rPr>
          <w:rFonts w:ascii="Arial" w:hAnsi="Arial"/>
          <w:color w:val="000000"/>
        </w:rPr>
        <w:t>Die hier gemachten Angaben beziehen sich auf Öl, Kohle, Erdgas, Wasserkraft, Kernenergie und neue erneuerbare Energien</w:t>
      </w:r>
      <w:r w:rsidR="00D52C7A" w:rsidRPr="00854CAB">
        <w:rPr>
          <w:rFonts w:ascii="Arial" w:hAnsi="Arial"/>
          <w:color w:val="000000"/>
        </w:rPr>
        <w:t xml:space="preserve"> (darunter Geothermie, Wind- und Solarenergie, Energie aus Biomasse</w:t>
      </w:r>
      <w:r w:rsidR="00D52C7A">
        <w:rPr>
          <w:rFonts w:ascii="Arial" w:hAnsi="Arial"/>
          <w:color w:val="000000"/>
        </w:rPr>
        <w:t xml:space="preserve"> sowie aus Wellen- und Gezeitenkraftwerken</w:t>
      </w:r>
      <w:r w:rsidR="00D52C7A" w:rsidRPr="00854CAB">
        <w:rPr>
          <w:rFonts w:ascii="Arial" w:hAnsi="Arial"/>
          <w:color w:val="000000"/>
        </w:rPr>
        <w:t>)</w:t>
      </w:r>
      <w:r w:rsidR="00D52C7A">
        <w:rPr>
          <w:rFonts w:ascii="Arial" w:hAnsi="Arial"/>
          <w:color w:val="000000"/>
        </w:rPr>
        <w:t>.</w:t>
      </w:r>
    </w:p>
    <w:p w:rsidR="009437D5" w:rsidRDefault="009437D5" w:rsidP="009437D5">
      <w:pPr>
        <w:rPr>
          <w:rFonts w:ascii="Arial" w:hAnsi="Arial"/>
          <w:color w:val="000000"/>
        </w:rPr>
      </w:pPr>
    </w:p>
    <w:p w:rsidR="009437D5" w:rsidRDefault="009437D5" w:rsidP="009437D5">
      <w:pPr>
        <w:rPr>
          <w:rFonts w:ascii="Arial" w:hAnsi="Arial" w:cs="Arial"/>
        </w:rPr>
      </w:pPr>
      <w:r w:rsidRPr="00D55D3F">
        <w:rPr>
          <w:rFonts w:ascii="Arial" w:hAnsi="Arial" w:cs="Arial"/>
        </w:rPr>
        <w:t>Um die Energieträger vergleichbar zu machen, werden sie mithilfe einzelner Umrechnungsfaktoren auf das Öl bezogen (</w:t>
      </w:r>
      <w:r w:rsidRPr="00D55D3F">
        <w:rPr>
          <w:rStyle w:val="Fett"/>
          <w:rFonts w:ascii="Arial" w:hAnsi="Arial" w:cs="Arial"/>
        </w:rPr>
        <w:t>Öläquivalent</w:t>
      </w:r>
      <w:r w:rsidRPr="00D55D3F">
        <w:rPr>
          <w:rFonts w:ascii="Arial" w:hAnsi="Arial" w:cs="Arial"/>
        </w:rPr>
        <w:t>). Nach Angaben des Energiekonzerns British Petroleum (BP) entspricht eine Tonne Öläquivalent beispielsweise in etwa 1,5 Tonnen Steinkohle, 1.111 Kubikmeter Erdgas oder auch 12 Megawattstunden (Primärenergie)</w:t>
      </w:r>
      <w:r>
        <w:rPr>
          <w:rFonts w:ascii="Arial" w:hAnsi="Arial" w:cs="Arial"/>
        </w:rPr>
        <w:t>.</w:t>
      </w:r>
    </w:p>
    <w:p w:rsidR="009437D5" w:rsidRDefault="009437D5" w:rsidP="009437D5">
      <w:pPr>
        <w:rPr>
          <w:rFonts w:ascii="Arial" w:hAnsi="Arial" w:cs="Arial"/>
        </w:rPr>
      </w:pPr>
    </w:p>
    <w:p w:rsidR="00B14E12" w:rsidRDefault="009437D5" w:rsidP="009437D5">
      <w:pPr>
        <w:rPr>
          <w:rFonts w:ascii="Arial" w:hAnsi="Arial" w:cs="Arial"/>
        </w:rPr>
      </w:pPr>
      <w:r w:rsidRPr="002E1896">
        <w:rPr>
          <w:rFonts w:ascii="Arial" w:hAnsi="Arial" w:cs="Arial"/>
        </w:rPr>
        <w:t xml:space="preserve">OECD – Organisation for Economic Co-operation and Development (Organisation für </w:t>
      </w:r>
      <w:r w:rsidRPr="00854CAB">
        <w:rPr>
          <w:rFonts w:ascii="Arial" w:hAnsi="Arial" w:cs="Arial"/>
        </w:rPr>
        <w:t xml:space="preserve">wirtschaftliche </w:t>
      </w:r>
      <w:r>
        <w:rPr>
          <w:rFonts w:ascii="Arial" w:hAnsi="Arial" w:cs="Arial"/>
        </w:rPr>
        <w:t>Zusammenarbeit und Entwicklung)</w:t>
      </w:r>
    </w:p>
    <w:p w:rsidR="00C128BB" w:rsidRDefault="00C128BB" w:rsidP="009437D5">
      <w:pPr>
        <w:rPr>
          <w:rFonts w:ascii="Arial" w:hAnsi="Arial" w:cs="Arial"/>
        </w:rPr>
      </w:pPr>
    </w:p>
    <w:p w:rsidR="00C128BB" w:rsidRDefault="00C128BB" w:rsidP="009437D5">
      <w:pPr>
        <w:rPr>
          <w:rFonts w:ascii="Arial" w:hAnsi="Arial" w:cs="Arial"/>
        </w:rPr>
      </w:pPr>
      <w:r>
        <w:rPr>
          <w:rFonts w:ascii="Arial" w:hAnsi="Arial" w:cs="Arial"/>
        </w:rPr>
        <w:t>China einschließlich Hongkong, ohne Macao.</w:t>
      </w:r>
    </w:p>
    <w:p w:rsidR="002C62DA" w:rsidRDefault="002C62DA" w:rsidP="009437D5">
      <w:pPr>
        <w:rPr>
          <w:rFonts w:ascii="Arial" w:hAnsi="Arial" w:cs="Arial"/>
        </w:rPr>
      </w:pPr>
    </w:p>
    <w:p w:rsidR="002C62DA" w:rsidRDefault="002C62DA" w:rsidP="002C62DA">
      <w:pPr>
        <w:rPr>
          <w:rFonts w:ascii="Arial" w:hAnsi="Arial" w:cs="Arial"/>
          <w:color w:val="000000"/>
          <w:sz w:val="20"/>
          <w:szCs w:val="20"/>
        </w:rPr>
      </w:pPr>
      <w:r>
        <w:rPr>
          <w:rFonts w:ascii="Arial" w:hAnsi="Arial" w:cs="Arial"/>
          <w:color w:val="000000"/>
          <w:sz w:val="20"/>
          <w:szCs w:val="20"/>
        </w:rPr>
        <w:t xml:space="preserve">Dieser Text ist unter der Creative Commons Lizenz by-nc-nd/3.0/de/ veröffentlicht. </w:t>
      </w:r>
    </w:p>
    <w:p w:rsidR="002C62DA" w:rsidRDefault="002C62DA" w:rsidP="002C62DA">
      <w:pPr>
        <w:rPr>
          <w:rFonts w:ascii="Arial" w:hAnsi="Arial" w:cs="Arial"/>
          <w:color w:val="000000"/>
          <w:sz w:val="20"/>
          <w:szCs w:val="20"/>
        </w:rPr>
      </w:pPr>
      <w:r>
        <w:rPr>
          <w:rFonts w:ascii="Arial" w:hAnsi="Arial" w:cs="Arial"/>
          <w:color w:val="000000"/>
          <w:sz w:val="20"/>
          <w:szCs w:val="20"/>
        </w:rPr>
        <w:t>Bundeszentrale für politische Bildung 2016 | www.bpb.de</w:t>
      </w:r>
    </w:p>
    <w:p w:rsidR="002C62DA" w:rsidRPr="009437D5" w:rsidRDefault="002C62DA" w:rsidP="009437D5">
      <w:pPr>
        <w:rPr>
          <w:rFonts w:ascii="Arial" w:hAnsi="Arial" w:cs="Arial"/>
        </w:rPr>
      </w:pPr>
    </w:p>
    <w:sectPr w:rsidR="002C62DA" w:rsidRPr="009437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75"/>
    <w:rsid w:val="00030882"/>
    <w:rsid w:val="00105436"/>
    <w:rsid w:val="001358CA"/>
    <w:rsid w:val="00161F05"/>
    <w:rsid w:val="001C40D4"/>
    <w:rsid w:val="002A341C"/>
    <w:rsid w:val="002C62DA"/>
    <w:rsid w:val="002F5E88"/>
    <w:rsid w:val="00334F8D"/>
    <w:rsid w:val="003479D3"/>
    <w:rsid w:val="00387343"/>
    <w:rsid w:val="00437AA3"/>
    <w:rsid w:val="0044359E"/>
    <w:rsid w:val="00457C5F"/>
    <w:rsid w:val="00461F16"/>
    <w:rsid w:val="00464B12"/>
    <w:rsid w:val="00473793"/>
    <w:rsid w:val="004F5639"/>
    <w:rsid w:val="00564481"/>
    <w:rsid w:val="00595733"/>
    <w:rsid w:val="005A016E"/>
    <w:rsid w:val="005B1533"/>
    <w:rsid w:val="005B5527"/>
    <w:rsid w:val="005E5252"/>
    <w:rsid w:val="005F7271"/>
    <w:rsid w:val="00636C2B"/>
    <w:rsid w:val="00740783"/>
    <w:rsid w:val="007D7A17"/>
    <w:rsid w:val="008E68CD"/>
    <w:rsid w:val="009437D5"/>
    <w:rsid w:val="00A0055B"/>
    <w:rsid w:val="00A170D5"/>
    <w:rsid w:val="00A96663"/>
    <w:rsid w:val="00B14E12"/>
    <w:rsid w:val="00BB0F0B"/>
    <w:rsid w:val="00BB161B"/>
    <w:rsid w:val="00BE4F47"/>
    <w:rsid w:val="00C128BB"/>
    <w:rsid w:val="00C26175"/>
    <w:rsid w:val="00C93C22"/>
    <w:rsid w:val="00D52C7A"/>
    <w:rsid w:val="00D7043E"/>
    <w:rsid w:val="00E30BDA"/>
    <w:rsid w:val="00EC4B8E"/>
    <w:rsid w:val="00F77F08"/>
    <w:rsid w:val="00FF0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rPr>
  </w:style>
  <w:style w:type="paragraph" w:styleId="Kommentartext">
    <w:name w:val="annotation text"/>
    <w:basedOn w:val="Standard"/>
    <w:semiHidden/>
    <w:rPr>
      <w:sz w:val="20"/>
    </w:rPr>
  </w:style>
  <w:style w:type="character" w:styleId="Fett">
    <w:name w:val="Strong"/>
    <w:uiPriority w:val="22"/>
    <w:qFormat/>
    <w:rsid w:val="000308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rPr>
  </w:style>
  <w:style w:type="paragraph" w:styleId="Kommentartext">
    <w:name w:val="annotation text"/>
    <w:basedOn w:val="Standard"/>
    <w:semiHidden/>
    <w:rPr>
      <w:sz w:val="20"/>
    </w:rPr>
  </w:style>
  <w:style w:type="character" w:styleId="Fett">
    <w:name w:val="Strong"/>
    <w:uiPriority w:val="22"/>
    <w:qFormat/>
    <w:rsid w:val="00030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cp:revision>
  <dcterms:created xsi:type="dcterms:W3CDTF">2016-08-25T16:55:00Z</dcterms:created>
  <dcterms:modified xsi:type="dcterms:W3CDTF">2016-08-25T16:55:00Z</dcterms:modified>
</cp:coreProperties>
</file>