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D2A87" w14:textId="65A71F94" w:rsidR="00161C90" w:rsidRPr="00303514" w:rsidRDefault="00161C90">
      <w:pPr>
        <w:rPr>
          <w:rFonts w:ascii="Arial" w:hAnsi="Arial" w:cs="Arial"/>
          <w:b/>
        </w:rPr>
      </w:pPr>
      <w:r w:rsidRPr="00303514">
        <w:rPr>
          <w:rFonts w:ascii="Arial" w:hAnsi="Arial" w:cs="Arial"/>
          <w:b/>
        </w:rPr>
        <w:t xml:space="preserve">Durch Neufunde und neue Bewertungen bereits bekannter Ölvorkommen </w:t>
      </w:r>
      <w:r w:rsidR="005A408C">
        <w:rPr>
          <w:rFonts w:ascii="Arial" w:hAnsi="Arial" w:cs="Arial"/>
          <w:b/>
        </w:rPr>
        <w:t>nahmen</w:t>
      </w:r>
      <w:r w:rsidRPr="00303514">
        <w:rPr>
          <w:rFonts w:ascii="Arial" w:hAnsi="Arial" w:cs="Arial"/>
          <w:b/>
        </w:rPr>
        <w:t xml:space="preserve"> – parallel zum steigenden Ölverbrauch – die Erdöl-Reserven seit 1980 um rund 150 Prozent</w:t>
      </w:r>
      <w:r w:rsidR="005A408C">
        <w:rPr>
          <w:rFonts w:ascii="Arial" w:hAnsi="Arial" w:cs="Arial"/>
          <w:b/>
        </w:rPr>
        <w:t xml:space="preserve"> zu</w:t>
      </w:r>
      <w:r w:rsidRPr="00303514">
        <w:rPr>
          <w:rFonts w:ascii="Arial" w:hAnsi="Arial" w:cs="Arial"/>
          <w:b/>
        </w:rPr>
        <w:t xml:space="preserve">. </w:t>
      </w:r>
      <w:r w:rsidR="00E67492">
        <w:rPr>
          <w:rFonts w:ascii="Arial" w:hAnsi="Arial" w:cs="Arial"/>
          <w:b/>
        </w:rPr>
        <w:t xml:space="preserve">Zum Beispiel können </w:t>
      </w:r>
      <w:r w:rsidRPr="00303514">
        <w:rPr>
          <w:rFonts w:ascii="Arial" w:hAnsi="Arial" w:cs="Arial"/>
          <w:b/>
        </w:rPr>
        <w:t>in Zeiten hoher Rohstoffpreise</w:t>
      </w:r>
      <w:r w:rsidR="00E67492">
        <w:rPr>
          <w:rFonts w:ascii="Arial" w:hAnsi="Arial" w:cs="Arial"/>
          <w:b/>
        </w:rPr>
        <w:t xml:space="preserve"> </w:t>
      </w:r>
      <w:r w:rsidRPr="00303514">
        <w:rPr>
          <w:rFonts w:ascii="Arial" w:hAnsi="Arial" w:cs="Arial"/>
          <w:b/>
        </w:rPr>
        <w:t xml:space="preserve">teure Fördertechniken zum Einsatz kommen und </w:t>
      </w:r>
      <w:r w:rsidR="00303514">
        <w:rPr>
          <w:rFonts w:ascii="Arial" w:hAnsi="Arial" w:cs="Arial"/>
          <w:b/>
        </w:rPr>
        <w:t xml:space="preserve">entsprechend </w:t>
      </w:r>
      <w:r w:rsidRPr="00303514">
        <w:rPr>
          <w:rFonts w:ascii="Arial" w:hAnsi="Arial" w:cs="Arial"/>
          <w:b/>
        </w:rPr>
        <w:t xml:space="preserve">den Reservebestand </w:t>
      </w:r>
      <w:r w:rsidR="005A408C">
        <w:rPr>
          <w:rFonts w:ascii="Arial" w:hAnsi="Arial" w:cs="Arial"/>
          <w:b/>
        </w:rPr>
        <w:t>erhöhen</w:t>
      </w:r>
      <w:r w:rsidRPr="00303514">
        <w:rPr>
          <w:rFonts w:ascii="Arial" w:hAnsi="Arial" w:cs="Arial"/>
          <w:b/>
        </w:rPr>
        <w:t xml:space="preserve">. </w:t>
      </w:r>
      <w:r w:rsidR="00303514">
        <w:rPr>
          <w:rFonts w:ascii="Arial" w:hAnsi="Arial" w:cs="Arial"/>
          <w:b/>
        </w:rPr>
        <w:t>So</w:t>
      </w:r>
      <w:r w:rsidRPr="00303514">
        <w:rPr>
          <w:rFonts w:ascii="Arial" w:hAnsi="Arial" w:cs="Arial"/>
          <w:b/>
        </w:rPr>
        <w:t xml:space="preserve"> sind unter den drei Staaten mit den höchsten </w:t>
      </w:r>
      <w:r w:rsidR="00303514">
        <w:rPr>
          <w:rFonts w:ascii="Arial" w:hAnsi="Arial" w:cs="Arial"/>
          <w:b/>
        </w:rPr>
        <w:t>Erdöl-</w:t>
      </w:r>
      <w:r w:rsidRPr="00303514">
        <w:rPr>
          <w:rFonts w:ascii="Arial" w:hAnsi="Arial" w:cs="Arial"/>
          <w:b/>
        </w:rPr>
        <w:t xml:space="preserve">Reserven mit Venezuela und Kanada </w:t>
      </w:r>
      <w:r w:rsidR="00303514">
        <w:rPr>
          <w:rFonts w:ascii="Arial" w:hAnsi="Arial" w:cs="Arial"/>
          <w:b/>
        </w:rPr>
        <w:t xml:space="preserve">(Rang 1 und 3) </w:t>
      </w:r>
      <w:r w:rsidRPr="00303514">
        <w:rPr>
          <w:rFonts w:ascii="Arial" w:hAnsi="Arial" w:cs="Arial"/>
          <w:b/>
        </w:rPr>
        <w:t>zwei Staaten, deren Reserven oft nur unter hohem Aufwand gefördert werden können.</w:t>
      </w:r>
      <w:r w:rsidR="00303514" w:rsidRPr="00303514">
        <w:rPr>
          <w:rFonts w:ascii="Arial" w:hAnsi="Arial" w:cs="Arial"/>
          <w:b/>
        </w:rPr>
        <w:t xml:space="preserve"> </w:t>
      </w:r>
      <w:r w:rsidR="00303514">
        <w:rPr>
          <w:rFonts w:ascii="Arial" w:hAnsi="Arial" w:cs="Arial"/>
          <w:b/>
        </w:rPr>
        <w:t>Hingegen kann i</w:t>
      </w:r>
      <w:r w:rsidR="00303514" w:rsidRPr="00303514">
        <w:rPr>
          <w:rFonts w:ascii="Arial" w:hAnsi="Arial" w:cs="Arial"/>
          <w:b/>
        </w:rPr>
        <w:t xml:space="preserve">n Saudi-Arabien </w:t>
      </w:r>
      <w:r w:rsidR="00303514">
        <w:rPr>
          <w:rFonts w:ascii="Arial" w:hAnsi="Arial" w:cs="Arial"/>
          <w:b/>
        </w:rPr>
        <w:t xml:space="preserve">– als Teil des ölreichen Mittleren Ostens (47,7 Prozent der weltweiten Reserven) – ganz überwiegend </w:t>
      </w:r>
      <w:r w:rsidR="00303514" w:rsidRPr="00303514">
        <w:rPr>
          <w:rFonts w:ascii="Arial" w:hAnsi="Arial" w:cs="Arial"/>
          <w:b/>
        </w:rPr>
        <w:t>mit konventionellen Methoden gefördert werden.</w:t>
      </w:r>
    </w:p>
    <w:p w14:paraId="1C399BDF" w14:textId="77777777" w:rsidR="00161C90" w:rsidRPr="00303514" w:rsidRDefault="00161C90">
      <w:pPr>
        <w:rPr>
          <w:rFonts w:ascii="Arial" w:hAnsi="Arial" w:cs="Arial"/>
          <w:b/>
        </w:rPr>
      </w:pPr>
    </w:p>
    <w:p w14:paraId="4A174620" w14:textId="12D54EB8" w:rsidR="00E54DA2" w:rsidRDefault="00E54DA2">
      <w:pPr>
        <w:rPr>
          <w:rFonts w:ascii="Arial" w:hAnsi="Arial"/>
        </w:rPr>
      </w:pPr>
      <w:r w:rsidRPr="00117627">
        <w:rPr>
          <w:rFonts w:ascii="Arial" w:hAnsi="Arial"/>
          <w:color w:val="FF0000"/>
        </w:rPr>
        <w:t>Fakten</w:t>
      </w:r>
    </w:p>
    <w:p w14:paraId="79EA0BD1" w14:textId="77777777" w:rsidR="00E54DA2" w:rsidRDefault="00E54DA2">
      <w:pPr>
        <w:rPr>
          <w:rFonts w:ascii="Arial" w:hAnsi="Arial"/>
        </w:rPr>
      </w:pPr>
    </w:p>
    <w:p w14:paraId="6CFF9CBC" w14:textId="77777777" w:rsidR="00E44106" w:rsidRDefault="00323FB9">
      <w:pPr>
        <w:rPr>
          <w:rFonts w:ascii="Arial" w:hAnsi="Arial" w:cs="Arial"/>
        </w:rPr>
      </w:pPr>
      <w:r w:rsidRPr="002E016C">
        <w:rPr>
          <w:rFonts w:ascii="Arial" w:hAnsi="Arial" w:cs="Arial"/>
        </w:rPr>
        <w:t xml:space="preserve">Nach Angaben des Energiekonzerns </w:t>
      </w:r>
      <w:r w:rsidRPr="002E016C">
        <w:rPr>
          <w:rFonts w:ascii="Arial" w:hAnsi="Arial" w:cs="Arial"/>
          <w:color w:val="000000"/>
        </w:rPr>
        <w:t xml:space="preserve">British Petroleum (BP) </w:t>
      </w:r>
      <w:r w:rsidR="00E44106" w:rsidRPr="002E016C">
        <w:rPr>
          <w:rFonts w:ascii="Arial" w:hAnsi="Arial" w:cs="Arial"/>
        </w:rPr>
        <w:t>erhöht</w:t>
      </w:r>
      <w:r w:rsidRPr="002E016C">
        <w:rPr>
          <w:rFonts w:ascii="Arial" w:hAnsi="Arial" w:cs="Arial"/>
          <w:color w:val="000000"/>
        </w:rPr>
        <w:t>en sich die wel</w:t>
      </w:r>
      <w:r w:rsidR="0073003B" w:rsidRPr="002E016C">
        <w:rPr>
          <w:rFonts w:ascii="Arial" w:hAnsi="Arial" w:cs="Arial"/>
        </w:rPr>
        <w:t>twei</w:t>
      </w:r>
      <w:r w:rsidRPr="002E016C">
        <w:rPr>
          <w:rFonts w:ascii="Arial" w:hAnsi="Arial" w:cs="Arial"/>
        </w:rPr>
        <w:t xml:space="preserve">ten Erdöl-Reserven zwischen 1980 und 2014 </w:t>
      </w:r>
      <w:r w:rsidR="0073003B" w:rsidRPr="002E016C">
        <w:rPr>
          <w:rFonts w:ascii="Arial" w:hAnsi="Arial" w:cs="Arial"/>
        </w:rPr>
        <w:t xml:space="preserve">von </w:t>
      </w:r>
      <w:r w:rsidRPr="002E016C">
        <w:rPr>
          <w:rFonts w:ascii="Arial" w:hAnsi="Arial" w:cs="Arial"/>
        </w:rPr>
        <w:t>683</w:t>
      </w:r>
      <w:r w:rsidR="0073003B" w:rsidRPr="002E016C">
        <w:rPr>
          <w:rFonts w:ascii="Arial" w:hAnsi="Arial" w:cs="Arial"/>
        </w:rPr>
        <w:t xml:space="preserve"> </w:t>
      </w:r>
      <w:r w:rsidRPr="002E016C">
        <w:rPr>
          <w:rFonts w:ascii="Arial" w:hAnsi="Arial" w:cs="Arial"/>
        </w:rPr>
        <w:t xml:space="preserve">auf </w:t>
      </w:r>
      <w:r w:rsidR="0073003B" w:rsidRPr="002E016C">
        <w:rPr>
          <w:rFonts w:ascii="Arial" w:hAnsi="Arial" w:cs="Arial"/>
        </w:rPr>
        <w:t>1.</w:t>
      </w:r>
      <w:r w:rsidRPr="002E016C">
        <w:rPr>
          <w:rFonts w:ascii="Arial" w:hAnsi="Arial" w:cs="Arial"/>
        </w:rPr>
        <w:t>700</w:t>
      </w:r>
      <w:r w:rsidR="0073003B" w:rsidRPr="002E016C">
        <w:rPr>
          <w:rFonts w:ascii="Arial" w:hAnsi="Arial" w:cs="Arial"/>
        </w:rPr>
        <w:t xml:space="preserve"> Milliarden Barrel.</w:t>
      </w:r>
      <w:r w:rsidRPr="002E016C">
        <w:rPr>
          <w:rFonts w:ascii="Arial" w:hAnsi="Arial" w:cs="Arial"/>
        </w:rPr>
        <w:t xml:space="preserve"> </w:t>
      </w:r>
      <w:r w:rsidR="00E44106">
        <w:rPr>
          <w:rFonts w:ascii="Arial" w:hAnsi="Arial" w:cs="Arial"/>
        </w:rPr>
        <w:t>O</w:t>
      </w:r>
      <w:r w:rsidR="00FF4F5D" w:rsidRPr="002E016C">
        <w:rPr>
          <w:rFonts w:ascii="Arial" w:hAnsi="Arial" w:cs="Arial"/>
        </w:rPr>
        <w:t xml:space="preserve">bwohl der tägliche Ölverbrauch </w:t>
      </w:r>
      <w:r w:rsidR="00E44106" w:rsidRPr="002E016C">
        <w:rPr>
          <w:rFonts w:ascii="Arial" w:hAnsi="Arial" w:cs="Arial"/>
        </w:rPr>
        <w:t xml:space="preserve">parallel </w:t>
      </w:r>
      <w:r w:rsidR="00FF4F5D" w:rsidRPr="002E016C">
        <w:rPr>
          <w:rFonts w:ascii="Arial" w:hAnsi="Arial" w:cs="Arial"/>
        </w:rPr>
        <w:t xml:space="preserve">von 61 auf 92 Millionen Barrel </w:t>
      </w:r>
      <w:r w:rsidR="00E44106">
        <w:rPr>
          <w:rFonts w:ascii="Arial" w:hAnsi="Arial" w:cs="Arial"/>
        </w:rPr>
        <w:t>zunahm</w:t>
      </w:r>
      <w:r w:rsidR="00FF4F5D" w:rsidRPr="002E016C">
        <w:rPr>
          <w:rFonts w:ascii="Arial" w:hAnsi="Arial" w:cs="Arial"/>
        </w:rPr>
        <w:t xml:space="preserve"> (plus 50,4 Prozent), reduzierten sich </w:t>
      </w:r>
      <w:r w:rsidRPr="002E016C">
        <w:rPr>
          <w:rFonts w:ascii="Arial" w:hAnsi="Arial" w:cs="Arial"/>
        </w:rPr>
        <w:t xml:space="preserve">die Erdöl-Reserven im gesamten Zeitraum </w:t>
      </w:r>
      <w:r w:rsidR="00FF4F5D" w:rsidRPr="002E016C">
        <w:rPr>
          <w:rFonts w:ascii="Arial" w:hAnsi="Arial" w:cs="Arial"/>
        </w:rPr>
        <w:t xml:space="preserve">von 1980 bis 2014 </w:t>
      </w:r>
      <w:r w:rsidRPr="002E016C">
        <w:rPr>
          <w:rFonts w:ascii="Arial" w:hAnsi="Arial" w:cs="Arial"/>
        </w:rPr>
        <w:t>lediglich zweimal (1997/1998 um 19,6 Mrd. Barrel und 2013/2014 um 0,9 Mrd. Barrel)</w:t>
      </w:r>
      <w:r w:rsidR="00FF4F5D" w:rsidRPr="002E016C">
        <w:rPr>
          <w:rFonts w:ascii="Arial" w:hAnsi="Arial" w:cs="Arial"/>
        </w:rPr>
        <w:t>.</w:t>
      </w:r>
    </w:p>
    <w:p w14:paraId="4169BBA1" w14:textId="77777777" w:rsidR="00E44106" w:rsidRDefault="00E44106">
      <w:pPr>
        <w:rPr>
          <w:rFonts w:ascii="Arial" w:hAnsi="Arial" w:cs="Arial"/>
        </w:rPr>
      </w:pPr>
    </w:p>
    <w:p w14:paraId="2A0E0F1D" w14:textId="19E94FA2" w:rsidR="002E016C" w:rsidRDefault="00FF4F5D">
      <w:pPr>
        <w:rPr>
          <w:rFonts w:ascii="Arial" w:hAnsi="Arial" w:cs="Arial"/>
        </w:rPr>
      </w:pPr>
      <w:r w:rsidRPr="002E016C">
        <w:rPr>
          <w:rFonts w:ascii="Arial" w:hAnsi="Arial" w:cs="Arial"/>
        </w:rPr>
        <w:t xml:space="preserve">Die Steigerung der Erdöl-Reserven ist dabei sowohl auf Neufunde als auch auf Neubewertungen zurückzuführen. Neubewertungen erfolgen </w:t>
      </w:r>
      <w:r w:rsidR="008B0837" w:rsidRPr="002E016C">
        <w:rPr>
          <w:rFonts w:ascii="Arial" w:hAnsi="Arial" w:cs="Arial"/>
        </w:rPr>
        <w:t xml:space="preserve">insbesondere </w:t>
      </w:r>
      <w:r w:rsidRPr="002E016C">
        <w:rPr>
          <w:rFonts w:ascii="Arial" w:hAnsi="Arial" w:cs="Arial"/>
        </w:rPr>
        <w:t>dann, wenn durch neue Techniken bekannte</w:t>
      </w:r>
      <w:r w:rsidR="00D935AF">
        <w:rPr>
          <w:rFonts w:ascii="Arial" w:hAnsi="Arial" w:cs="Arial"/>
        </w:rPr>
        <w:t>, aber bisher nicht zu fördernde</w:t>
      </w:r>
      <w:r w:rsidRPr="002E016C">
        <w:rPr>
          <w:rFonts w:ascii="Arial" w:hAnsi="Arial" w:cs="Arial"/>
        </w:rPr>
        <w:t xml:space="preserve"> </w:t>
      </w:r>
      <w:r w:rsidR="00D935AF">
        <w:rPr>
          <w:rFonts w:ascii="Arial" w:hAnsi="Arial" w:cs="Arial"/>
        </w:rPr>
        <w:t xml:space="preserve">Ressourcen </w:t>
      </w:r>
      <w:r w:rsidRPr="002E016C">
        <w:rPr>
          <w:rFonts w:ascii="Arial" w:hAnsi="Arial" w:cs="Arial"/>
        </w:rPr>
        <w:t>gefördert werden können</w:t>
      </w:r>
      <w:r w:rsidR="002E016C" w:rsidRPr="002E016C">
        <w:rPr>
          <w:rFonts w:ascii="Arial" w:hAnsi="Arial" w:cs="Arial"/>
        </w:rPr>
        <w:t xml:space="preserve"> </w:t>
      </w:r>
      <w:r w:rsidR="000D66E4">
        <w:rPr>
          <w:rFonts w:ascii="Arial" w:hAnsi="Arial" w:cs="Arial"/>
        </w:rPr>
        <w:t>oder</w:t>
      </w:r>
      <w:r w:rsidR="002E016C" w:rsidRPr="002E016C">
        <w:rPr>
          <w:rFonts w:ascii="Arial" w:hAnsi="Arial" w:cs="Arial"/>
        </w:rPr>
        <w:t xml:space="preserve"> </w:t>
      </w:r>
      <w:r w:rsidRPr="002E016C">
        <w:rPr>
          <w:rFonts w:ascii="Arial" w:hAnsi="Arial" w:cs="Arial"/>
        </w:rPr>
        <w:t xml:space="preserve">wenn steigende Ölpreise den Einsatz teurer Techniken </w:t>
      </w:r>
      <w:r w:rsidR="008B0837" w:rsidRPr="002E016C">
        <w:rPr>
          <w:rFonts w:ascii="Arial" w:hAnsi="Arial" w:cs="Arial"/>
        </w:rPr>
        <w:t>ermöglichen</w:t>
      </w:r>
      <w:r w:rsidR="008B0837">
        <w:rPr>
          <w:rFonts w:ascii="Arial" w:hAnsi="Arial" w:cs="Arial"/>
        </w:rPr>
        <w:t xml:space="preserve"> </w:t>
      </w:r>
      <w:r w:rsidR="009613A0">
        <w:rPr>
          <w:rFonts w:ascii="Arial" w:hAnsi="Arial" w:cs="Arial"/>
        </w:rPr>
        <w:t xml:space="preserve">– </w:t>
      </w:r>
      <w:r w:rsidR="000D66E4">
        <w:rPr>
          <w:rFonts w:ascii="Arial" w:hAnsi="Arial" w:cs="Arial"/>
        </w:rPr>
        <w:t xml:space="preserve">und damit </w:t>
      </w:r>
      <w:r w:rsidR="00E44106">
        <w:rPr>
          <w:rFonts w:ascii="Arial" w:hAnsi="Arial" w:cs="Arial"/>
        </w:rPr>
        <w:t xml:space="preserve">zum Beispiel </w:t>
      </w:r>
      <w:r w:rsidR="000D66E4">
        <w:rPr>
          <w:rFonts w:ascii="Arial" w:hAnsi="Arial" w:cs="Arial"/>
        </w:rPr>
        <w:t>auch n</w:t>
      </w:r>
      <w:r w:rsidR="000D66E4" w:rsidRPr="008B0837">
        <w:rPr>
          <w:rFonts w:ascii="Arial" w:hAnsi="Arial" w:cs="Arial"/>
        </w:rPr>
        <w:t>icht-konventionelle</w:t>
      </w:r>
      <w:r w:rsidR="009613A0">
        <w:rPr>
          <w:rFonts w:ascii="Arial" w:hAnsi="Arial" w:cs="Arial"/>
        </w:rPr>
        <w:t>s</w:t>
      </w:r>
      <w:r w:rsidR="000D66E4" w:rsidRPr="008B0837">
        <w:rPr>
          <w:rFonts w:ascii="Arial" w:hAnsi="Arial" w:cs="Arial"/>
        </w:rPr>
        <w:t xml:space="preserve"> Erdöl</w:t>
      </w:r>
      <w:r w:rsidR="00E44106">
        <w:rPr>
          <w:rFonts w:ascii="Arial" w:hAnsi="Arial" w:cs="Arial"/>
        </w:rPr>
        <w:t>, wie Ölsand oder</w:t>
      </w:r>
      <w:r w:rsidR="00E44106" w:rsidRPr="00E77CB9">
        <w:rPr>
          <w:rFonts w:ascii="Arial" w:hAnsi="Arial" w:cs="Arial"/>
        </w:rPr>
        <w:t xml:space="preserve"> Erdöl </w:t>
      </w:r>
      <w:r w:rsidR="00E44106">
        <w:rPr>
          <w:rFonts w:ascii="Arial" w:hAnsi="Arial" w:cs="Arial"/>
        </w:rPr>
        <w:t xml:space="preserve">aus </w:t>
      </w:r>
      <w:r w:rsidR="00E44106" w:rsidRPr="00E77CB9">
        <w:rPr>
          <w:rFonts w:ascii="Arial" w:hAnsi="Arial" w:cs="Arial"/>
        </w:rPr>
        <w:t>dichten Gesteinen</w:t>
      </w:r>
      <w:r w:rsidR="00E44106">
        <w:rPr>
          <w:rFonts w:ascii="Arial" w:hAnsi="Arial" w:cs="Arial"/>
        </w:rPr>
        <w:t>,</w:t>
      </w:r>
      <w:r w:rsidR="000D66E4" w:rsidRPr="00E77CB9">
        <w:rPr>
          <w:rFonts w:ascii="Arial" w:hAnsi="Arial" w:cs="Arial"/>
        </w:rPr>
        <w:t xml:space="preserve"> </w:t>
      </w:r>
      <w:r w:rsidR="009613A0">
        <w:rPr>
          <w:rFonts w:ascii="Arial" w:hAnsi="Arial" w:cs="Arial"/>
        </w:rPr>
        <w:t>gefördert werden kann</w:t>
      </w:r>
      <w:r w:rsidR="007531B6">
        <w:rPr>
          <w:rFonts w:ascii="Arial" w:hAnsi="Arial" w:cs="Arial"/>
        </w:rPr>
        <w:t xml:space="preserve">. </w:t>
      </w:r>
      <w:r w:rsidR="00DE0579">
        <w:rPr>
          <w:rFonts w:ascii="Arial" w:hAnsi="Arial" w:cs="Arial"/>
        </w:rPr>
        <w:t xml:space="preserve">Bei den </w:t>
      </w:r>
      <w:r w:rsidR="00E44106">
        <w:rPr>
          <w:rFonts w:ascii="Arial" w:hAnsi="Arial" w:cs="Arial"/>
        </w:rPr>
        <w:t>Neufunde</w:t>
      </w:r>
      <w:r w:rsidR="00DE0579">
        <w:rPr>
          <w:rFonts w:ascii="Arial" w:hAnsi="Arial" w:cs="Arial"/>
        </w:rPr>
        <w:t xml:space="preserve">n handelt es sich häufig um Funde in der Nähe bereits bekannter Ölvorkommen. In diesem Zusammenhang stellte </w:t>
      </w:r>
      <w:r w:rsidR="008B0837">
        <w:rPr>
          <w:rFonts w:ascii="Arial" w:hAnsi="Arial" w:cs="Arial"/>
        </w:rPr>
        <w:t xml:space="preserve">die </w:t>
      </w:r>
      <w:r w:rsidR="008B0837" w:rsidRPr="000D66E4">
        <w:rPr>
          <w:rFonts w:ascii="Arial" w:hAnsi="Arial" w:cs="Arial"/>
        </w:rPr>
        <w:t xml:space="preserve">Bundesanstalt für Geowissenschaften und Rohstoffe (BGR) </w:t>
      </w:r>
      <w:r w:rsidR="008B0837">
        <w:rPr>
          <w:rFonts w:ascii="Arial" w:hAnsi="Arial" w:cs="Arial"/>
        </w:rPr>
        <w:t xml:space="preserve">in einer 2009 veröffentlichten Studie fest: </w:t>
      </w:r>
      <w:r w:rsidR="002E016C">
        <w:rPr>
          <w:rFonts w:ascii="Arial" w:hAnsi="Arial" w:cs="Arial"/>
        </w:rPr>
        <w:t>W</w:t>
      </w:r>
      <w:r w:rsidR="002E016C" w:rsidRPr="000D66E4">
        <w:rPr>
          <w:rFonts w:ascii="Arial" w:hAnsi="Arial" w:cs="Arial"/>
        </w:rPr>
        <w:t xml:space="preserve">erden </w:t>
      </w:r>
      <w:r w:rsidR="008B0837">
        <w:rPr>
          <w:rFonts w:ascii="Arial" w:hAnsi="Arial" w:cs="Arial"/>
        </w:rPr>
        <w:t>d</w:t>
      </w:r>
      <w:r w:rsidR="002E016C" w:rsidRPr="000D66E4">
        <w:rPr>
          <w:rFonts w:ascii="Arial" w:hAnsi="Arial" w:cs="Arial"/>
        </w:rPr>
        <w:t xml:space="preserve">ie Zuwächse bei bereits entdeckten Lagerstätten auf das jeweilige Fundjahr zurückdatiert ('Back Dating'), dann nehmen die Meldungen von Neufunden seit Anfang der 1960er-Jahre </w:t>
      </w:r>
      <w:r w:rsidR="00D935AF" w:rsidRPr="000D66E4">
        <w:rPr>
          <w:rFonts w:ascii="Arial" w:hAnsi="Arial" w:cs="Arial"/>
        </w:rPr>
        <w:t xml:space="preserve">insgesamt </w:t>
      </w:r>
      <w:r w:rsidR="002E016C" w:rsidRPr="000D66E4">
        <w:rPr>
          <w:rFonts w:ascii="Arial" w:hAnsi="Arial" w:cs="Arial"/>
        </w:rPr>
        <w:t>ab.</w:t>
      </w:r>
    </w:p>
    <w:p w14:paraId="74EB3292" w14:textId="77777777" w:rsidR="007531B6" w:rsidRDefault="007531B6">
      <w:pPr>
        <w:rPr>
          <w:rFonts w:ascii="Arial" w:hAnsi="Arial" w:cs="Arial"/>
        </w:rPr>
      </w:pPr>
    </w:p>
    <w:p w14:paraId="55C2055D" w14:textId="6BB18588" w:rsidR="00EC630D" w:rsidRDefault="00DE05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weltweiten </w:t>
      </w:r>
      <w:r w:rsidRPr="00EC630D">
        <w:rPr>
          <w:rFonts w:ascii="Arial" w:hAnsi="Arial" w:cs="Arial"/>
        </w:rPr>
        <w:t xml:space="preserve">Erdöl-Reserven </w:t>
      </w:r>
      <w:r>
        <w:rPr>
          <w:rFonts w:ascii="Arial" w:hAnsi="Arial" w:cs="Arial"/>
        </w:rPr>
        <w:t xml:space="preserve">sind sehr ungleich verteilt. So lag der Anteil des </w:t>
      </w:r>
      <w:r w:rsidR="009613A0" w:rsidRPr="00EC630D">
        <w:rPr>
          <w:rFonts w:ascii="Arial" w:hAnsi="Arial" w:cs="Arial"/>
        </w:rPr>
        <w:t>Mittlere</w:t>
      </w:r>
      <w:r>
        <w:rPr>
          <w:rFonts w:ascii="Arial" w:hAnsi="Arial" w:cs="Arial"/>
        </w:rPr>
        <w:t>n</w:t>
      </w:r>
      <w:r w:rsidR="009613A0" w:rsidRPr="00EC630D">
        <w:rPr>
          <w:rFonts w:ascii="Arial" w:hAnsi="Arial" w:cs="Arial"/>
        </w:rPr>
        <w:t xml:space="preserve"> </w:t>
      </w:r>
      <w:r w:rsidR="0073003B" w:rsidRPr="00EC630D">
        <w:rPr>
          <w:rFonts w:ascii="Arial" w:hAnsi="Arial" w:cs="Arial"/>
        </w:rPr>
        <w:t>Osten</w:t>
      </w:r>
      <w:r>
        <w:rPr>
          <w:rFonts w:ascii="Arial" w:hAnsi="Arial" w:cs="Arial"/>
        </w:rPr>
        <w:t>s</w:t>
      </w:r>
      <w:r w:rsidR="0073003B" w:rsidRPr="00EC630D">
        <w:rPr>
          <w:rFonts w:ascii="Arial" w:hAnsi="Arial" w:cs="Arial"/>
        </w:rPr>
        <w:t xml:space="preserve"> an den weltweiten Reserven </w:t>
      </w:r>
      <w:r w:rsidRPr="00EC630D">
        <w:rPr>
          <w:rFonts w:ascii="Arial" w:hAnsi="Arial" w:cs="Arial"/>
        </w:rPr>
        <w:t xml:space="preserve">im Jahr 2014 </w:t>
      </w:r>
      <w:r w:rsidR="0073003B" w:rsidRPr="00EC630D">
        <w:rPr>
          <w:rFonts w:ascii="Arial" w:hAnsi="Arial" w:cs="Arial"/>
        </w:rPr>
        <w:t xml:space="preserve">bei </w:t>
      </w:r>
      <w:r w:rsidR="009613A0" w:rsidRPr="00EC630D">
        <w:rPr>
          <w:rFonts w:ascii="Arial" w:hAnsi="Arial" w:cs="Arial"/>
        </w:rPr>
        <w:t>47,7</w:t>
      </w:r>
      <w:r w:rsidR="0073003B" w:rsidRPr="00EC630D">
        <w:rPr>
          <w:rFonts w:ascii="Arial" w:hAnsi="Arial" w:cs="Arial"/>
        </w:rPr>
        <w:t xml:space="preserve"> Prozent. Mit </w:t>
      </w:r>
      <w:r>
        <w:rPr>
          <w:rFonts w:ascii="Arial" w:hAnsi="Arial" w:cs="Arial"/>
        </w:rPr>
        <w:t>groß</w:t>
      </w:r>
      <w:r w:rsidR="0073003B" w:rsidRPr="00EC630D">
        <w:rPr>
          <w:rFonts w:ascii="Arial" w:hAnsi="Arial" w:cs="Arial"/>
        </w:rPr>
        <w:t xml:space="preserve">em Abstand folgten </w:t>
      </w:r>
      <w:r w:rsidR="009613A0" w:rsidRPr="00EC630D">
        <w:rPr>
          <w:rFonts w:ascii="Arial" w:hAnsi="Arial" w:cs="Arial"/>
        </w:rPr>
        <w:t xml:space="preserve">Mittel- und Südamerika mit 19,4 Prozent, Nordamerika mit 13,7 Prozent sowie </w:t>
      </w:r>
      <w:r w:rsidR="0073003B" w:rsidRPr="00EC630D">
        <w:rPr>
          <w:rFonts w:ascii="Arial" w:hAnsi="Arial" w:cs="Arial"/>
        </w:rPr>
        <w:t xml:space="preserve">Europa und Eurasien mit einem Anteil von </w:t>
      </w:r>
      <w:r w:rsidR="009613A0" w:rsidRPr="00EC630D">
        <w:rPr>
          <w:rFonts w:ascii="Arial" w:hAnsi="Arial" w:cs="Arial"/>
        </w:rPr>
        <w:t>9</w:t>
      </w:r>
      <w:r w:rsidR="0073003B" w:rsidRPr="00EC630D">
        <w:rPr>
          <w:rFonts w:ascii="Arial" w:hAnsi="Arial" w:cs="Arial"/>
        </w:rPr>
        <w:t>,</w:t>
      </w:r>
      <w:r w:rsidR="009613A0" w:rsidRPr="00EC630D">
        <w:rPr>
          <w:rFonts w:ascii="Arial" w:hAnsi="Arial" w:cs="Arial"/>
        </w:rPr>
        <w:t>1</w:t>
      </w:r>
      <w:r w:rsidR="0073003B" w:rsidRPr="00EC630D">
        <w:rPr>
          <w:rFonts w:ascii="Arial" w:hAnsi="Arial" w:cs="Arial"/>
        </w:rPr>
        <w:t xml:space="preserve"> Prozent. </w:t>
      </w:r>
      <w:r w:rsidR="009613A0" w:rsidRPr="00EC630D">
        <w:rPr>
          <w:rFonts w:ascii="Arial" w:hAnsi="Arial" w:cs="Arial"/>
        </w:rPr>
        <w:t xml:space="preserve">Afrika (7,6 Prozent) und Asien-Pazifik </w:t>
      </w:r>
      <w:r w:rsidR="00EC630D">
        <w:rPr>
          <w:rFonts w:ascii="Arial" w:hAnsi="Arial" w:cs="Arial"/>
        </w:rPr>
        <w:t xml:space="preserve">(2,5 Prozent) </w:t>
      </w:r>
      <w:r w:rsidR="009613A0" w:rsidRPr="00EC630D">
        <w:rPr>
          <w:rFonts w:ascii="Arial" w:hAnsi="Arial" w:cs="Arial"/>
        </w:rPr>
        <w:t>waren die beiden Regionen mit dem niedrig</w:t>
      </w:r>
      <w:r w:rsidR="00EC630D" w:rsidRPr="00EC630D">
        <w:rPr>
          <w:rFonts w:ascii="Arial" w:hAnsi="Arial" w:cs="Arial"/>
        </w:rPr>
        <w:t>sten Anteil an de</w:t>
      </w:r>
      <w:r w:rsidR="00EC630D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Ölr</w:t>
      </w:r>
      <w:r w:rsidR="00EC630D" w:rsidRPr="00EC630D">
        <w:rPr>
          <w:rFonts w:ascii="Arial" w:hAnsi="Arial" w:cs="Arial"/>
        </w:rPr>
        <w:t>eserven.</w:t>
      </w:r>
    </w:p>
    <w:p w14:paraId="08C5F57C" w14:textId="77777777" w:rsidR="007531B6" w:rsidRDefault="007531B6">
      <w:pPr>
        <w:rPr>
          <w:rFonts w:ascii="Arial" w:hAnsi="Arial" w:cs="Arial"/>
        </w:rPr>
      </w:pPr>
    </w:p>
    <w:p w14:paraId="200DFD5B" w14:textId="0CA25E4F" w:rsidR="00857CCC" w:rsidRDefault="0073003B">
      <w:pPr>
        <w:rPr>
          <w:rFonts w:ascii="Arial" w:hAnsi="Arial" w:cs="Arial"/>
        </w:rPr>
      </w:pPr>
      <w:r w:rsidRPr="00857CCC">
        <w:rPr>
          <w:rFonts w:ascii="Arial" w:hAnsi="Arial" w:cs="Arial"/>
        </w:rPr>
        <w:t xml:space="preserve">Bezogen auf die einzelnen Staaten </w:t>
      </w:r>
      <w:r w:rsidR="00857CCC" w:rsidRPr="00857CCC">
        <w:rPr>
          <w:rFonts w:ascii="Arial" w:hAnsi="Arial" w:cs="Arial"/>
        </w:rPr>
        <w:t xml:space="preserve">ist Venezuela seit 2010 der Staat mit dem höchsten Anteil an den weltweiten Erdöl-Reserven – noch vor Saudi-Arabien (2014: 17,5 </w:t>
      </w:r>
      <w:r w:rsidR="00857CCC">
        <w:rPr>
          <w:rFonts w:ascii="Arial" w:hAnsi="Arial" w:cs="Arial"/>
        </w:rPr>
        <w:t>gegenüber</w:t>
      </w:r>
      <w:r w:rsidR="00857CCC" w:rsidRPr="00857CCC">
        <w:rPr>
          <w:rFonts w:ascii="Arial" w:hAnsi="Arial" w:cs="Arial"/>
        </w:rPr>
        <w:t xml:space="preserve"> 15,7 Prozent). Diese Entwicklung ist vor allem auf die Neubewertung der Ölvorkommnisse im Orinoco-Gürtel zurückzuführen</w:t>
      </w:r>
      <w:r w:rsidR="007531B6">
        <w:rPr>
          <w:rFonts w:ascii="Arial" w:hAnsi="Arial" w:cs="Arial"/>
        </w:rPr>
        <w:t>. E</w:t>
      </w:r>
      <w:r w:rsidR="00857CCC" w:rsidRPr="004F1417">
        <w:rPr>
          <w:rFonts w:ascii="Arial" w:hAnsi="Arial" w:cs="Arial"/>
        </w:rPr>
        <w:t>benso steht Kanada bei den Reserven an dritter Stelle (</w:t>
      </w:r>
      <w:r w:rsidR="00901945" w:rsidRPr="004F1417">
        <w:rPr>
          <w:rFonts w:ascii="Arial" w:hAnsi="Arial" w:cs="Arial"/>
        </w:rPr>
        <w:t xml:space="preserve">2014: </w:t>
      </w:r>
      <w:r w:rsidR="00857CCC" w:rsidRPr="004F1417">
        <w:rPr>
          <w:rFonts w:ascii="Arial" w:hAnsi="Arial" w:cs="Arial"/>
        </w:rPr>
        <w:t xml:space="preserve">10,2 Prozent), weil – im Gegensatz zu früheren BP-Berichten – auch </w:t>
      </w:r>
      <w:r w:rsidR="00F7580D" w:rsidRPr="004F1417">
        <w:rPr>
          <w:rFonts w:ascii="Arial" w:hAnsi="Arial" w:cs="Arial"/>
        </w:rPr>
        <w:t>die Ölsand-Vorkomm</w:t>
      </w:r>
      <w:r w:rsidR="00323B0A">
        <w:rPr>
          <w:rFonts w:ascii="Arial" w:hAnsi="Arial" w:cs="Arial"/>
        </w:rPr>
        <w:t xml:space="preserve">en Kanadas zu den Reserven </w:t>
      </w:r>
      <w:r w:rsidR="00F7580D" w:rsidRPr="004F1417">
        <w:rPr>
          <w:rFonts w:ascii="Arial" w:hAnsi="Arial" w:cs="Arial"/>
        </w:rPr>
        <w:t>gezählt werden.</w:t>
      </w:r>
      <w:r w:rsidR="00901945" w:rsidRPr="004F1417">
        <w:rPr>
          <w:rFonts w:ascii="Arial" w:hAnsi="Arial" w:cs="Arial"/>
        </w:rPr>
        <w:t xml:space="preserve"> Es folgten Iran (9,3 Prozent), Irak (8,8 Prozent), Russland (6,1 Prozent), Kuwait (6,0 Prozent), die Vereinigten Arabischen Emirate (5,8 Prozent), die USA (2,9 Prozent), Libyen (2,8 Prozent) sowie Nigeria (2,2 Prozent).</w:t>
      </w:r>
    </w:p>
    <w:p w14:paraId="70A134BB" w14:textId="77777777" w:rsidR="007531B6" w:rsidRDefault="007531B6">
      <w:pPr>
        <w:rPr>
          <w:rFonts w:ascii="Arial" w:hAnsi="Arial" w:cs="Arial"/>
        </w:rPr>
      </w:pPr>
    </w:p>
    <w:p w14:paraId="17329E1A" w14:textId="4C08B57F" w:rsidR="007531B6" w:rsidRDefault="002F7204" w:rsidP="002F7204">
      <w:pPr>
        <w:rPr>
          <w:rFonts w:ascii="Arial" w:hAnsi="Arial" w:cs="Arial"/>
        </w:rPr>
      </w:pPr>
      <w:r w:rsidRPr="002F7204">
        <w:rPr>
          <w:rFonts w:ascii="Arial" w:hAnsi="Arial" w:cs="Arial"/>
        </w:rPr>
        <w:lastRenderedPageBreak/>
        <w:t xml:space="preserve">Werden </w:t>
      </w:r>
      <w:r w:rsidR="0073003B" w:rsidRPr="002F7204">
        <w:rPr>
          <w:rFonts w:ascii="Arial" w:hAnsi="Arial" w:cs="Arial"/>
        </w:rPr>
        <w:t>die Erdöl-Reserven des Jahres 20</w:t>
      </w:r>
      <w:r w:rsidRPr="002F7204">
        <w:rPr>
          <w:rFonts w:ascii="Arial" w:hAnsi="Arial" w:cs="Arial"/>
        </w:rPr>
        <w:t>14</w:t>
      </w:r>
      <w:r w:rsidR="0073003B" w:rsidRPr="002F7204">
        <w:rPr>
          <w:rFonts w:ascii="Arial" w:hAnsi="Arial" w:cs="Arial"/>
        </w:rPr>
        <w:t xml:space="preserve"> in Beziehung zu</w:t>
      </w:r>
      <w:r w:rsidR="00B72682">
        <w:rPr>
          <w:rFonts w:ascii="Arial" w:hAnsi="Arial" w:cs="Arial"/>
        </w:rPr>
        <w:t xml:space="preserve">m Verbrauch </w:t>
      </w:r>
      <w:r w:rsidR="00323B0A">
        <w:rPr>
          <w:rFonts w:ascii="Arial" w:hAnsi="Arial" w:cs="Arial"/>
        </w:rPr>
        <w:t xml:space="preserve">desselben Jahres </w:t>
      </w:r>
      <w:r w:rsidR="0073003B" w:rsidRPr="002F7204">
        <w:rPr>
          <w:rFonts w:ascii="Arial" w:hAnsi="Arial" w:cs="Arial"/>
        </w:rPr>
        <w:t>gesetzt, dauert es unter sonst gleichbleibenden Bedingungen und ohne Neufunde b</w:t>
      </w:r>
      <w:r w:rsidRPr="002F7204">
        <w:rPr>
          <w:rFonts w:ascii="Arial" w:hAnsi="Arial" w:cs="Arial"/>
        </w:rPr>
        <w:t xml:space="preserve">eziehungsweise </w:t>
      </w:r>
      <w:r w:rsidR="0073003B" w:rsidRPr="002F7204">
        <w:rPr>
          <w:rFonts w:ascii="Arial" w:hAnsi="Arial" w:cs="Arial"/>
        </w:rPr>
        <w:t xml:space="preserve">Neubewertungen noch </w:t>
      </w:r>
      <w:r w:rsidRPr="002F7204">
        <w:rPr>
          <w:rFonts w:ascii="Arial" w:hAnsi="Arial" w:cs="Arial"/>
        </w:rPr>
        <w:t>50</w:t>
      </w:r>
      <w:r w:rsidR="0073003B" w:rsidRPr="002F7204">
        <w:rPr>
          <w:rFonts w:ascii="Arial" w:hAnsi="Arial" w:cs="Arial"/>
        </w:rPr>
        <w:t>,6 Jahre bis die Reserven komplett aufgebraucht sind. 198</w:t>
      </w:r>
      <w:r w:rsidRPr="002F7204">
        <w:rPr>
          <w:rFonts w:ascii="Arial" w:hAnsi="Arial" w:cs="Arial"/>
        </w:rPr>
        <w:t>0</w:t>
      </w:r>
      <w:r w:rsidR="0073003B" w:rsidRPr="002F7204">
        <w:rPr>
          <w:rFonts w:ascii="Arial" w:hAnsi="Arial" w:cs="Arial"/>
        </w:rPr>
        <w:t xml:space="preserve"> lag dieser Wert noch </w:t>
      </w:r>
      <w:r w:rsidRPr="002F7204">
        <w:rPr>
          <w:rFonts w:ascii="Arial" w:hAnsi="Arial" w:cs="Arial"/>
        </w:rPr>
        <w:t xml:space="preserve">genau zwanzig </w:t>
      </w:r>
      <w:r w:rsidR="0073003B" w:rsidRPr="002F7204">
        <w:rPr>
          <w:rFonts w:ascii="Arial" w:hAnsi="Arial" w:cs="Arial"/>
        </w:rPr>
        <w:t xml:space="preserve">Jahre niedriger. Zusätzliche Ölfunde sowie technische und wirtschaftliche Neubewertungen haben den Wert bis </w:t>
      </w:r>
      <w:r w:rsidRPr="002F7204">
        <w:rPr>
          <w:rFonts w:ascii="Arial" w:hAnsi="Arial" w:cs="Arial"/>
        </w:rPr>
        <w:t>198</w:t>
      </w:r>
      <w:r w:rsidR="00100D67">
        <w:rPr>
          <w:rFonts w:ascii="Arial" w:hAnsi="Arial" w:cs="Arial"/>
        </w:rPr>
        <w:t>7</w:t>
      </w:r>
      <w:r w:rsidRPr="002F7204">
        <w:rPr>
          <w:rFonts w:ascii="Arial" w:hAnsi="Arial" w:cs="Arial"/>
        </w:rPr>
        <w:t xml:space="preserve"> </w:t>
      </w:r>
      <w:r w:rsidR="0073003B" w:rsidRPr="002F7204">
        <w:rPr>
          <w:rFonts w:ascii="Arial" w:hAnsi="Arial" w:cs="Arial"/>
        </w:rPr>
        <w:t>auf 4</w:t>
      </w:r>
      <w:r w:rsidR="00100D67">
        <w:rPr>
          <w:rFonts w:ascii="Arial" w:hAnsi="Arial" w:cs="Arial"/>
        </w:rPr>
        <w:t>1</w:t>
      </w:r>
      <w:r w:rsidRPr="002F7204">
        <w:rPr>
          <w:rFonts w:ascii="Arial" w:hAnsi="Arial" w:cs="Arial"/>
        </w:rPr>
        <w:t>,</w:t>
      </w:r>
      <w:r w:rsidR="00100D67">
        <w:rPr>
          <w:rFonts w:ascii="Arial" w:hAnsi="Arial" w:cs="Arial"/>
        </w:rPr>
        <w:t>3</w:t>
      </w:r>
      <w:r w:rsidR="0073003B" w:rsidRPr="002F7204">
        <w:rPr>
          <w:rFonts w:ascii="Arial" w:hAnsi="Arial" w:cs="Arial"/>
        </w:rPr>
        <w:t xml:space="preserve"> Jahre steigen lassen – diese Marke wurde seitdem </w:t>
      </w:r>
      <w:r w:rsidRPr="002F7204">
        <w:rPr>
          <w:rFonts w:ascii="Arial" w:hAnsi="Arial" w:cs="Arial"/>
        </w:rPr>
        <w:t xml:space="preserve">nicht mehr </w:t>
      </w:r>
      <w:r w:rsidR="0073003B" w:rsidRPr="002F7204">
        <w:rPr>
          <w:rFonts w:ascii="Arial" w:hAnsi="Arial" w:cs="Arial"/>
        </w:rPr>
        <w:t>unterschritten.</w:t>
      </w:r>
    </w:p>
    <w:p w14:paraId="6047DD17" w14:textId="77777777" w:rsidR="007531B6" w:rsidRDefault="007531B6" w:rsidP="002F7204">
      <w:pPr>
        <w:rPr>
          <w:rFonts w:ascii="Arial" w:hAnsi="Arial" w:cs="Arial"/>
        </w:rPr>
      </w:pPr>
    </w:p>
    <w:p w14:paraId="696C7C54" w14:textId="24D2E618" w:rsidR="007531B6" w:rsidRDefault="0073003B" w:rsidP="00100D67">
      <w:pPr>
        <w:rPr>
          <w:rFonts w:ascii="Arial" w:hAnsi="Arial" w:cs="Arial"/>
        </w:rPr>
      </w:pPr>
      <w:r w:rsidRPr="0099038D">
        <w:rPr>
          <w:rFonts w:ascii="Arial" w:hAnsi="Arial" w:cs="Arial"/>
        </w:rPr>
        <w:t>Könnten die einzelnen Regionen ausschließlich auf die eigenen Reserven des Jahres 20</w:t>
      </w:r>
      <w:r w:rsidR="00100D67" w:rsidRPr="0099038D">
        <w:rPr>
          <w:rFonts w:ascii="Arial" w:hAnsi="Arial" w:cs="Arial"/>
        </w:rPr>
        <w:t>14</w:t>
      </w:r>
      <w:r w:rsidRPr="0099038D">
        <w:rPr>
          <w:rFonts w:ascii="Arial" w:hAnsi="Arial" w:cs="Arial"/>
        </w:rPr>
        <w:t xml:space="preserve"> zurückgreifen, würde es – ausgehend von dem Verbrauch des Jahres 20</w:t>
      </w:r>
      <w:r w:rsidR="00100D67" w:rsidRPr="0099038D">
        <w:rPr>
          <w:rFonts w:ascii="Arial" w:hAnsi="Arial" w:cs="Arial"/>
        </w:rPr>
        <w:t>14</w:t>
      </w:r>
      <w:r w:rsidRPr="0099038D">
        <w:rPr>
          <w:rFonts w:ascii="Arial" w:hAnsi="Arial" w:cs="Arial"/>
        </w:rPr>
        <w:t xml:space="preserve"> – keine </w:t>
      </w:r>
      <w:r w:rsidR="00100D67" w:rsidRPr="0099038D">
        <w:rPr>
          <w:rFonts w:ascii="Arial" w:hAnsi="Arial" w:cs="Arial"/>
        </w:rPr>
        <w:t>4</w:t>
      </w:r>
      <w:r w:rsidRPr="0099038D">
        <w:rPr>
          <w:rFonts w:ascii="Arial" w:hAnsi="Arial" w:cs="Arial"/>
        </w:rPr>
        <w:t xml:space="preserve"> Jahre dauern, bis ganz </w:t>
      </w:r>
      <w:r w:rsidR="002B3BF6" w:rsidRPr="0099038D">
        <w:rPr>
          <w:rFonts w:ascii="Arial" w:hAnsi="Arial" w:cs="Arial"/>
        </w:rPr>
        <w:t xml:space="preserve">Asien-Pazifik </w:t>
      </w:r>
      <w:r w:rsidRPr="0099038D">
        <w:rPr>
          <w:rFonts w:ascii="Arial" w:hAnsi="Arial" w:cs="Arial"/>
        </w:rPr>
        <w:t>ohne Öl auskommen müsste</w:t>
      </w:r>
      <w:r w:rsidR="002B3BF6" w:rsidRPr="0099038D">
        <w:rPr>
          <w:rFonts w:ascii="Arial" w:hAnsi="Arial" w:cs="Arial"/>
        </w:rPr>
        <w:t xml:space="preserve"> (3,8 Jahre). In Nordamerika wären es 27,3 Jahre, i</w:t>
      </w:r>
      <w:r w:rsidRPr="0099038D">
        <w:rPr>
          <w:rFonts w:ascii="Arial" w:hAnsi="Arial" w:cs="Arial"/>
        </w:rPr>
        <w:t xml:space="preserve">n der Region Europa und Eurasien </w:t>
      </w:r>
      <w:r w:rsidR="002B3BF6" w:rsidRPr="0099038D">
        <w:rPr>
          <w:rFonts w:ascii="Arial" w:hAnsi="Arial" w:cs="Arial"/>
        </w:rPr>
        <w:t xml:space="preserve">23,2 </w:t>
      </w:r>
      <w:r w:rsidRPr="0099038D">
        <w:rPr>
          <w:rFonts w:ascii="Arial" w:hAnsi="Arial" w:cs="Arial"/>
        </w:rPr>
        <w:t>Jahre – die EU käme dabei allerdings nur ein gutes Jahr mit ihren Reserven aus</w:t>
      </w:r>
      <w:r w:rsidR="002B3BF6" w:rsidRPr="0099038D">
        <w:rPr>
          <w:rFonts w:ascii="Arial" w:hAnsi="Arial" w:cs="Arial"/>
        </w:rPr>
        <w:t xml:space="preserve"> (1,3 Jahre)</w:t>
      </w:r>
      <w:r w:rsidRPr="0099038D">
        <w:rPr>
          <w:rFonts w:ascii="Arial" w:hAnsi="Arial" w:cs="Arial"/>
        </w:rPr>
        <w:t xml:space="preserve">. </w:t>
      </w:r>
      <w:r w:rsidR="002B3BF6" w:rsidRPr="0099038D">
        <w:rPr>
          <w:rFonts w:ascii="Arial" w:hAnsi="Arial" w:cs="Arial"/>
        </w:rPr>
        <w:t xml:space="preserve">Im Mittelfeld lagen im Jahr 2014 Afrika mit 93,2 </w:t>
      </w:r>
      <w:r w:rsidR="00323B0A" w:rsidRPr="0099038D">
        <w:rPr>
          <w:rFonts w:ascii="Arial" w:hAnsi="Arial" w:cs="Arial"/>
        </w:rPr>
        <w:t xml:space="preserve">Jahren </w:t>
      </w:r>
      <w:r w:rsidR="00323B0A">
        <w:rPr>
          <w:rFonts w:ascii="Arial" w:hAnsi="Arial" w:cs="Arial"/>
        </w:rPr>
        <w:t>s</w:t>
      </w:r>
      <w:r w:rsidR="002B3BF6" w:rsidRPr="0099038D">
        <w:rPr>
          <w:rFonts w:ascii="Arial" w:hAnsi="Arial" w:cs="Arial"/>
        </w:rPr>
        <w:t>owie Mittel- und Südamerika mit 127</w:t>
      </w:r>
      <w:r w:rsidR="0099038D">
        <w:rPr>
          <w:rFonts w:ascii="Arial" w:hAnsi="Arial" w:cs="Arial"/>
        </w:rPr>
        <w:t>,0</w:t>
      </w:r>
      <w:r w:rsidR="002B3BF6" w:rsidRPr="0099038D">
        <w:rPr>
          <w:rFonts w:ascii="Arial" w:hAnsi="Arial" w:cs="Arial"/>
        </w:rPr>
        <w:t xml:space="preserve"> Jahren. </w:t>
      </w:r>
      <w:r w:rsidRPr="0099038D">
        <w:rPr>
          <w:rFonts w:ascii="Arial" w:hAnsi="Arial" w:cs="Arial"/>
        </w:rPr>
        <w:t xml:space="preserve">Lediglich der ölreiche </w:t>
      </w:r>
      <w:r w:rsidR="002B3BF6" w:rsidRPr="0099038D">
        <w:rPr>
          <w:rFonts w:ascii="Arial" w:hAnsi="Arial" w:cs="Arial"/>
        </w:rPr>
        <w:t xml:space="preserve">Mittlere </w:t>
      </w:r>
      <w:r w:rsidRPr="0099038D">
        <w:rPr>
          <w:rFonts w:ascii="Arial" w:hAnsi="Arial" w:cs="Arial"/>
        </w:rPr>
        <w:t xml:space="preserve">Osten müsste erst in </w:t>
      </w:r>
      <w:r w:rsidR="002B3BF6" w:rsidRPr="0099038D">
        <w:rPr>
          <w:rFonts w:ascii="Arial" w:hAnsi="Arial" w:cs="Arial"/>
        </w:rPr>
        <w:t xml:space="preserve">gut 255 Jahren </w:t>
      </w:r>
      <w:r w:rsidRPr="0099038D">
        <w:rPr>
          <w:rFonts w:ascii="Arial" w:hAnsi="Arial" w:cs="Arial"/>
        </w:rPr>
        <w:t>unab</w:t>
      </w:r>
      <w:r w:rsidR="000D66E4" w:rsidRPr="0099038D">
        <w:rPr>
          <w:rFonts w:ascii="Arial" w:hAnsi="Arial" w:cs="Arial"/>
        </w:rPr>
        <w:t>hängig vom Öl sein</w:t>
      </w:r>
      <w:r w:rsidR="002B3BF6" w:rsidRPr="0099038D">
        <w:rPr>
          <w:rFonts w:ascii="Arial" w:hAnsi="Arial" w:cs="Arial"/>
        </w:rPr>
        <w:t xml:space="preserve"> (255,1 Jahre)</w:t>
      </w:r>
      <w:r w:rsidR="000D66E4" w:rsidRPr="0099038D">
        <w:rPr>
          <w:rFonts w:ascii="Arial" w:hAnsi="Arial" w:cs="Arial"/>
        </w:rPr>
        <w:t>.</w:t>
      </w:r>
    </w:p>
    <w:p w14:paraId="1DD967E7" w14:textId="77777777" w:rsidR="007531B6" w:rsidRDefault="007531B6" w:rsidP="00100D67">
      <w:pPr>
        <w:rPr>
          <w:rFonts w:ascii="Arial" w:hAnsi="Arial" w:cs="Arial"/>
        </w:rPr>
      </w:pPr>
    </w:p>
    <w:p w14:paraId="4D5C41C8" w14:textId="77777777" w:rsidR="00FB5625" w:rsidRPr="000E1AC3" w:rsidRDefault="00FB5625">
      <w:pPr>
        <w:rPr>
          <w:rFonts w:ascii="Arial" w:hAnsi="Arial"/>
          <w:color w:val="FF0000"/>
          <w:lang w:val="en-US"/>
        </w:rPr>
      </w:pPr>
      <w:r w:rsidRPr="000E1AC3">
        <w:rPr>
          <w:rFonts w:ascii="Arial" w:hAnsi="Arial"/>
          <w:color w:val="FF0000"/>
          <w:lang w:val="en-US"/>
        </w:rPr>
        <w:t>Datenquelle</w:t>
      </w:r>
    </w:p>
    <w:p w14:paraId="6754855F" w14:textId="77777777" w:rsidR="00FB5625" w:rsidRPr="000E1AC3" w:rsidRDefault="00FB5625">
      <w:pPr>
        <w:rPr>
          <w:rFonts w:ascii="Arial" w:hAnsi="Arial"/>
          <w:lang w:val="en-US"/>
        </w:rPr>
      </w:pPr>
    </w:p>
    <w:p w14:paraId="308D870C" w14:textId="77777777" w:rsidR="00054ACC" w:rsidRDefault="00054ACC" w:rsidP="00054ACC">
      <w:pPr>
        <w:tabs>
          <w:tab w:val="left" w:pos="3060"/>
        </w:tabs>
        <w:rPr>
          <w:rFonts w:ascii="Arial" w:hAnsi="Arial"/>
          <w:color w:val="000000"/>
          <w:lang w:val="en-GB"/>
        </w:rPr>
      </w:pPr>
      <w:r>
        <w:rPr>
          <w:rFonts w:ascii="Arial" w:hAnsi="Arial"/>
          <w:color w:val="000000"/>
          <w:lang w:val="en-GB"/>
        </w:rPr>
        <w:t>British Petroleum (BP): Statistical Review of World Energy 2015</w:t>
      </w:r>
    </w:p>
    <w:p w14:paraId="4082A2AA" w14:textId="77777777" w:rsidR="00FB5625" w:rsidRDefault="00FB5625">
      <w:pPr>
        <w:rPr>
          <w:rFonts w:ascii="Arial" w:hAnsi="Arial"/>
          <w:lang w:val="en-GB"/>
        </w:rPr>
      </w:pPr>
    </w:p>
    <w:p w14:paraId="6EA71C49" w14:textId="77777777" w:rsidR="00FB5625" w:rsidRDefault="00FB5625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methodische Anmerkungen oder Lesehilfen</w:t>
      </w:r>
    </w:p>
    <w:p w14:paraId="1BF51621" w14:textId="77777777" w:rsidR="00FB5625" w:rsidRDefault="00FB5625">
      <w:pPr>
        <w:rPr>
          <w:rFonts w:ascii="Arial" w:hAnsi="Arial"/>
        </w:rPr>
      </w:pPr>
    </w:p>
    <w:p w14:paraId="6252289E" w14:textId="52C4089C" w:rsidR="00054ACC" w:rsidRDefault="00054ACC" w:rsidP="00054ACC">
      <w:pPr>
        <w:autoSpaceDE w:val="0"/>
        <w:autoSpaceDN w:val="0"/>
        <w:adjustRightInd w:val="0"/>
        <w:rPr>
          <w:rFonts w:ascii="Arial" w:hAnsi="Arial" w:cs="Arial"/>
        </w:rPr>
      </w:pPr>
      <w:r w:rsidRPr="00767996">
        <w:rPr>
          <w:rFonts w:ascii="Arial" w:hAnsi="Arial" w:cs="Arial"/>
        </w:rPr>
        <w:t xml:space="preserve">Zu den </w:t>
      </w:r>
      <w:r w:rsidR="00DE0579">
        <w:rPr>
          <w:rStyle w:val="Fett"/>
          <w:rFonts w:ascii="Arial" w:hAnsi="Arial" w:cs="Arial"/>
        </w:rPr>
        <w:t>Erdöl</w:t>
      </w:r>
      <w:r w:rsidR="00075525">
        <w:rPr>
          <w:rStyle w:val="Fett"/>
          <w:rFonts w:ascii="Arial" w:hAnsi="Arial" w:cs="Arial"/>
        </w:rPr>
        <w:t>-R</w:t>
      </w:r>
      <w:r w:rsidRPr="00767996">
        <w:rPr>
          <w:rStyle w:val="Fett"/>
          <w:rFonts w:ascii="Arial" w:hAnsi="Arial" w:cs="Arial"/>
        </w:rPr>
        <w:t>eserven</w:t>
      </w:r>
      <w:r w:rsidRPr="00767996">
        <w:rPr>
          <w:rFonts w:ascii="Arial" w:hAnsi="Arial" w:cs="Arial"/>
        </w:rPr>
        <w:t xml:space="preserve"> zählen </w:t>
      </w:r>
      <w:r>
        <w:rPr>
          <w:rFonts w:ascii="Arial" w:hAnsi="Arial" w:cs="Arial"/>
        </w:rPr>
        <w:t xml:space="preserve">die </w:t>
      </w:r>
      <w:r w:rsidRPr="00767996">
        <w:rPr>
          <w:rFonts w:ascii="Arial" w:hAnsi="Arial" w:cs="Arial"/>
        </w:rPr>
        <w:t>nachgewiesenen Vorkommen</w:t>
      </w:r>
      <w:r>
        <w:rPr>
          <w:rFonts w:ascii="Arial" w:hAnsi="Arial" w:cs="Arial"/>
        </w:rPr>
        <w:t xml:space="preserve">, die </w:t>
      </w:r>
      <w:r w:rsidRPr="00767996">
        <w:rPr>
          <w:rFonts w:ascii="Arial" w:hAnsi="Arial" w:cs="Arial"/>
        </w:rPr>
        <w:t>unter den derzeitigen wirtschaftlichen und technischen Bedingungen künftig gefördert werden können</w:t>
      </w:r>
      <w:r>
        <w:rPr>
          <w:rFonts w:ascii="Arial" w:hAnsi="Arial" w:cs="Arial"/>
        </w:rPr>
        <w:t>.</w:t>
      </w:r>
    </w:p>
    <w:p w14:paraId="04ED2B44" w14:textId="77777777" w:rsidR="00054ACC" w:rsidRDefault="00054ACC" w:rsidP="00054ACC">
      <w:pPr>
        <w:autoSpaceDE w:val="0"/>
        <w:autoSpaceDN w:val="0"/>
        <w:adjustRightInd w:val="0"/>
        <w:rPr>
          <w:rFonts w:ascii="Arial" w:hAnsi="Arial" w:cs="Arial"/>
        </w:rPr>
      </w:pPr>
    </w:p>
    <w:p w14:paraId="19A17877" w14:textId="77777777" w:rsidR="00054ACC" w:rsidRDefault="00054ACC" w:rsidP="00054ACC">
      <w:pPr>
        <w:autoSpaceDE w:val="0"/>
        <w:autoSpaceDN w:val="0"/>
        <w:adjustRightInd w:val="0"/>
        <w:rPr>
          <w:rFonts w:ascii="Arial" w:hAnsi="Arial" w:cs="Arial"/>
        </w:rPr>
      </w:pPr>
      <w:r w:rsidRPr="00767996">
        <w:rPr>
          <w:rFonts w:ascii="Arial" w:hAnsi="Arial" w:cs="Arial"/>
        </w:rPr>
        <w:t xml:space="preserve">Von den Reserven sind grundsätzlich die </w:t>
      </w:r>
      <w:r w:rsidRPr="00767996">
        <w:rPr>
          <w:rStyle w:val="Fett"/>
          <w:rFonts w:ascii="Arial" w:hAnsi="Arial" w:cs="Arial"/>
        </w:rPr>
        <w:t>Ressourcen</w:t>
      </w:r>
      <w:r w:rsidRPr="00767996">
        <w:rPr>
          <w:rFonts w:ascii="Arial" w:hAnsi="Arial" w:cs="Arial"/>
        </w:rPr>
        <w:t xml:space="preserve"> zu unterscheiden. Ressourcen sind zum einen die nachgewiesenen, aber derzeit technisch und/oder wirtschaftlich nicht gewinnbaren Mengen an Energierohstoffen, zum anderen die nicht nachgewiesenen, aber geologisch möglichen, künftig gewinnbaren Mengen an Energierohstoffen</w:t>
      </w:r>
      <w:r>
        <w:rPr>
          <w:rFonts w:ascii="Arial" w:hAnsi="Arial" w:cs="Arial"/>
        </w:rPr>
        <w:t>.</w:t>
      </w:r>
    </w:p>
    <w:p w14:paraId="62973FE0" w14:textId="77777777" w:rsidR="00054ACC" w:rsidRDefault="00054ACC" w:rsidP="00054ACC">
      <w:pPr>
        <w:autoSpaceDE w:val="0"/>
        <w:autoSpaceDN w:val="0"/>
        <w:adjustRightInd w:val="0"/>
        <w:rPr>
          <w:rFonts w:ascii="Arial" w:hAnsi="Arial" w:cs="Arial"/>
        </w:rPr>
      </w:pPr>
    </w:p>
    <w:p w14:paraId="5F7A5BA0" w14:textId="77777777" w:rsidR="00054ACC" w:rsidRDefault="00054ACC" w:rsidP="00054ACC">
      <w:pPr>
        <w:autoSpaceDE w:val="0"/>
        <w:autoSpaceDN w:val="0"/>
        <w:adjustRightInd w:val="0"/>
        <w:rPr>
          <w:rFonts w:ascii="Arial" w:hAnsi="Arial" w:cs="Arial"/>
        </w:rPr>
      </w:pPr>
      <w:r w:rsidRPr="00E77CB9">
        <w:rPr>
          <w:rFonts w:ascii="Arial" w:hAnsi="Arial" w:cs="Arial"/>
          <w:b/>
        </w:rPr>
        <w:t>Erdöl</w:t>
      </w:r>
      <w:r w:rsidRPr="00E77CB9">
        <w:rPr>
          <w:rFonts w:ascii="Arial" w:hAnsi="Arial" w:cs="Arial"/>
        </w:rPr>
        <w:t xml:space="preserve"> ist ein natürlich vorkommendes Gemisch aus flüssigen Kohlenwasserstoffen. Die bei der Erdgasförderung anfallenden flüssigen Kohlenwasserstoffe wie Natural Gas Liquids (NGL) und Kondensate werden der Erdölförderung zugerechnet.</w:t>
      </w:r>
      <w:r>
        <w:rPr>
          <w:rFonts w:ascii="Arial" w:hAnsi="Arial" w:cs="Arial"/>
        </w:rPr>
        <w:t xml:space="preserve"> </w:t>
      </w:r>
      <w:r w:rsidRPr="00E77CB9">
        <w:rPr>
          <w:rFonts w:ascii="Arial" w:hAnsi="Arial" w:cs="Arial"/>
          <w:b/>
        </w:rPr>
        <w:t>Konventionelles Erdöl</w:t>
      </w:r>
      <w:r w:rsidRPr="00E77CB9">
        <w:rPr>
          <w:rFonts w:ascii="Arial" w:hAnsi="Arial" w:cs="Arial"/>
        </w:rPr>
        <w:t xml:space="preserve"> ist vergleichsweise flüssig und kann mit relativ einfachen Methoden (Eigendruck, Hochpumpen, Fluten mit Wasser oder Einpressen von Wasser bzw. Gasen) gefördert werden. </w:t>
      </w:r>
      <w:r w:rsidRPr="00E77CB9">
        <w:rPr>
          <w:rFonts w:ascii="Arial" w:hAnsi="Arial" w:cs="Arial"/>
          <w:b/>
        </w:rPr>
        <w:t>Nicht-konventionelles Erdöl</w:t>
      </w:r>
      <w:r w:rsidRPr="00E77CB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darunter </w:t>
      </w:r>
      <w:r w:rsidRPr="00E77CB9">
        <w:rPr>
          <w:rFonts w:ascii="Arial" w:hAnsi="Arial" w:cs="Arial"/>
        </w:rPr>
        <w:t xml:space="preserve">Schwerstöl, </w:t>
      </w:r>
      <w:r>
        <w:rPr>
          <w:rFonts w:ascii="Arial" w:hAnsi="Arial" w:cs="Arial"/>
        </w:rPr>
        <w:t>Ölsand</w:t>
      </w:r>
      <w:r w:rsidRPr="00E77CB9">
        <w:rPr>
          <w:rFonts w:ascii="Arial" w:hAnsi="Arial" w:cs="Arial"/>
        </w:rPr>
        <w:t xml:space="preserve">, Erdöl </w:t>
      </w:r>
      <w:r>
        <w:rPr>
          <w:rFonts w:ascii="Arial" w:hAnsi="Arial" w:cs="Arial"/>
        </w:rPr>
        <w:t xml:space="preserve">aus </w:t>
      </w:r>
      <w:r w:rsidRPr="00E77CB9">
        <w:rPr>
          <w:rFonts w:ascii="Arial" w:hAnsi="Arial" w:cs="Arial"/>
        </w:rPr>
        <w:t>dichten Gesteinen,</w:t>
      </w:r>
      <w:r>
        <w:rPr>
          <w:rFonts w:ascii="Arial" w:hAnsi="Arial" w:cs="Arial"/>
        </w:rPr>
        <w:t xml:space="preserve"> Öls</w:t>
      </w:r>
      <w:r w:rsidRPr="00E77CB9">
        <w:rPr>
          <w:rFonts w:ascii="Arial" w:hAnsi="Arial" w:cs="Arial"/>
        </w:rPr>
        <w:t>chiefer) kann nicht m</w:t>
      </w:r>
      <w:r>
        <w:rPr>
          <w:rFonts w:ascii="Arial" w:hAnsi="Arial" w:cs="Arial"/>
        </w:rPr>
        <w:t xml:space="preserve">it </w:t>
      </w:r>
      <w:r w:rsidRPr="00E77CB9">
        <w:rPr>
          <w:rFonts w:ascii="Arial" w:hAnsi="Arial" w:cs="Arial"/>
        </w:rPr>
        <w:t>"klassischen" Methoden gefördert werden</w:t>
      </w:r>
      <w:r>
        <w:rPr>
          <w:rFonts w:ascii="Arial" w:hAnsi="Arial" w:cs="Arial"/>
        </w:rPr>
        <w:t xml:space="preserve"> und ist </w:t>
      </w:r>
      <w:r w:rsidRPr="00E77CB9">
        <w:rPr>
          <w:rFonts w:ascii="Arial" w:hAnsi="Arial" w:cs="Arial"/>
        </w:rPr>
        <w:t>oft nur bedingt oder nicht fließfähig</w:t>
      </w:r>
      <w:r>
        <w:rPr>
          <w:rFonts w:ascii="Arial" w:hAnsi="Arial" w:cs="Arial"/>
        </w:rPr>
        <w:t>.</w:t>
      </w:r>
    </w:p>
    <w:p w14:paraId="7419EE80" w14:textId="77777777" w:rsidR="00FB5625" w:rsidRDefault="00FB5625">
      <w:pPr>
        <w:rPr>
          <w:rFonts w:ascii="Arial" w:hAnsi="Arial"/>
        </w:rPr>
      </w:pPr>
    </w:p>
    <w:p w14:paraId="21DF9B7D" w14:textId="38EE81C0" w:rsidR="007A61AD" w:rsidRDefault="00F7580D">
      <w:pPr>
        <w:rPr>
          <w:rFonts w:ascii="Arial" w:hAnsi="Arial" w:cs="Arial"/>
        </w:rPr>
      </w:pPr>
      <w:r w:rsidRPr="00F7580D">
        <w:rPr>
          <w:rFonts w:ascii="Arial" w:hAnsi="Arial" w:cs="Arial"/>
        </w:rPr>
        <w:t>Die von BP veröffentlichten Angaben zu</w:t>
      </w:r>
      <w:r w:rsidR="007C478D">
        <w:rPr>
          <w:rFonts w:ascii="Arial" w:hAnsi="Arial" w:cs="Arial"/>
        </w:rPr>
        <w:t xml:space="preserve"> den </w:t>
      </w:r>
      <w:r w:rsidRPr="007C478D">
        <w:rPr>
          <w:rFonts w:ascii="Arial" w:hAnsi="Arial" w:cs="Arial"/>
        </w:rPr>
        <w:t>Ölsand-Vorkommen Kanadas</w:t>
      </w:r>
      <w:r w:rsidR="007C478D" w:rsidRPr="007C478D">
        <w:rPr>
          <w:rFonts w:ascii="Arial" w:hAnsi="Arial" w:cs="Arial"/>
        </w:rPr>
        <w:t>, die aktiv erschlossen werden,</w:t>
      </w:r>
      <w:r w:rsidRPr="007C478D">
        <w:rPr>
          <w:rFonts w:ascii="Arial" w:hAnsi="Arial" w:cs="Arial"/>
        </w:rPr>
        <w:t xml:space="preserve"> sind offizielle Schätzungen. Die Angaben zu den Reserven Venezuelas im Orinoco-Gürtel basieren auf Angaben der Regierung und des OPEC-Sekretariats</w:t>
      </w:r>
      <w:r w:rsidR="007A61AD" w:rsidRPr="007C478D">
        <w:rPr>
          <w:rFonts w:ascii="Arial" w:hAnsi="Arial" w:cs="Arial"/>
        </w:rPr>
        <w:t>.</w:t>
      </w:r>
      <w:bookmarkStart w:id="0" w:name="_GoBack"/>
      <w:bookmarkEnd w:id="0"/>
    </w:p>
    <w:p w14:paraId="30F476F8" w14:textId="77777777" w:rsidR="007531B6" w:rsidRDefault="007531B6">
      <w:pPr>
        <w:rPr>
          <w:rFonts w:ascii="Arial" w:hAnsi="Arial" w:cs="Arial"/>
        </w:rPr>
      </w:pPr>
    </w:p>
    <w:p w14:paraId="53945A06" w14:textId="1E03CA86" w:rsidR="00413153" w:rsidRDefault="00FB5625">
      <w:pPr>
        <w:rPr>
          <w:rFonts w:ascii="Arial" w:hAnsi="Arial"/>
        </w:rPr>
      </w:pPr>
      <w:r w:rsidRPr="007C478D">
        <w:rPr>
          <w:rFonts w:ascii="Arial" w:hAnsi="Arial"/>
        </w:rPr>
        <w:t>Informationen zu</w:t>
      </w:r>
      <w:r w:rsidR="007C478D" w:rsidRPr="007C478D">
        <w:rPr>
          <w:rFonts w:ascii="Arial" w:hAnsi="Arial"/>
        </w:rPr>
        <w:t>r</w:t>
      </w:r>
      <w:r w:rsidR="007C478D" w:rsidRPr="007C478D">
        <w:rPr>
          <w:rFonts w:ascii="Arial" w:hAnsi="Arial" w:cs="Arial"/>
          <w:b/>
        </w:rPr>
        <w:t xml:space="preserve"> Endlichkeit des Rohstoffs Erdöl </w:t>
      </w:r>
      <w:r w:rsidRPr="007C478D">
        <w:rPr>
          <w:rFonts w:ascii="Arial" w:hAnsi="Arial"/>
        </w:rPr>
        <w:t xml:space="preserve">finden Sie </w:t>
      </w:r>
      <w:r w:rsidR="00413153" w:rsidRPr="007C478D">
        <w:rPr>
          <w:rFonts w:ascii="Arial" w:hAnsi="Arial"/>
        </w:rPr>
        <w:t>hier</w:t>
      </w:r>
      <w:r w:rsidR="0092459E">
        <w:rPr>
          <w:rFonts w:ascii="Arial" w:hAnsi="Arial"/>
        </w:rPr>
        <w:t>:</w:t>
      </w:r>
    </w:p>
    <w:p w14:paraId="7D4E74B6" w14:textId="77777777" w:rsidR="00FB5625" w:rsidRPr="00786F10" w:rsidRDefault="0092459E">
      <w:pPr>
        <w:rPr>
          <w:rFonts w:ascii="Arial" w:hAnsi="Arial"/>
        </w:rPr>
      </w:pPr>
      <w:hyperlink r:id="rId6" w:history="1">
        <w:r w:rsidR="00413153" w:rsidRPr="00786F10">
          <w:rPr>
            <w:rStyle w:val="Hyperlink"/>
            <w:rFonts w:ascii="Arial" w:hAnsi="Arial"/>
          </w:rPr>
          <w:t>http://www.bpb.de/wissen/W3QYQT</w:t>
        </w:r>
      </w:hyperlink>
    </w:p>
    <w:p w14:paraId="45E076D5" w14:textId="77777777" w:rsidR="00413153" w:rsidRPr="00174251" w:rsidRDefault="00413153">
      <w:pPr>
        <w:rPr>
          <w:rFonts w:ascii="Arial" w:hAnsi="Arial" w:cs="Arial"/>
        </w:rPr>
      </w:pPr>
    </w:p>
    <w:p w14:paraId="4F3BA803" w14:textId="77777777" w:rsidR="00FB5625" w:rsidRDefault="00FB5625">
      <w:pPr>
        <w:rPr>
          <w:rFonts w:ascii="Arial" w:hAnsi="Arial" w:cs="Arial"/>
          <w:lang w:val="en-US"/>
        </w:rPr>
      </w:pPr>
      <w:r w:rsidRPr="00F7580D">
        <w:rPr>
          <w:rFonts w:ascii="Arial" w:hAnsi="Arial" w:cs="Arial"/>
          <w:lang w:val="en-US"/>
        </w:rPr>
        <w:lastRenderedPageBreak/>
        <w:t>OPEC – Organization of the Petroleum Exporting Countries (Organisation erdölexportierender Länder)</w:t>
      </w:r>
    </w:p>
    <w:p w14:paraId="3EA964BD" w14:textId="77777777" w:rsidR="0032496D" w:rsidRDefault="0032496D">
      <w:pPr>
        <w:rPr>
          <w:rFonts w:ascii="Arial" w:hAnsi="Arial" w:cs="Arial"/>
          <w:lang w:val="en-US"/>
        </w:rPr>
      </w:pPr>
    </w:p>
    <w:p w14:paraId="038A84D9" w14:textId="77777777" w:rsidR="0032496D" w:rsidRDefault="0032496D" w:rsidP="0032496D">
      <w:pPr>
        <w:rPr>
          <w:rFonts w:ascii="Arial" w:hAnsi="Arial" w:cs="Arial"/>
        </w:rPr>
      </w:pPr>
      <w:r>
        <w:rPr>
          <w:rFonts w:ascii="Arial" w:hAnsi="Arial" w:cs="Arial"/>
        </w:rPr>
        <w:t>OECD – Organisation for Economic Co-operation and Development (Organisation für wirtschaftliche Zusammenarbeit und Entwicklung)</w:t>
      </w:r>
    </w:p>
    <w:p w14:paraId="741738AB" w14:textId="77777777" w:rsidR="0032496D" w:rsidRDefault="0032496D" w:rsidP="0032496D">
      <w:pPr>
        <w:rPr>
          <w:rFonts w:ascii="Arial" w:hAnsi="Arial" w:cs="Arial"/>
        </w:rPr>
      </w:pPr>
    </w:p>
    <w:p w14:paraId="39E5EF08" w14:textId="1C3CC85E" w:rsidR="00FB5625" w:rsidRDefault="00FB5625">
      <w:pPr>
        <w:rPr>
          <w:rFonts w:ascii="Arial" w:hAnsi="Arial" w:cs="Arial"/>
        </w:rPr>
      </w:pPr>
      <w:r w:rsidRPr="00901945">
        <w:rPr>
          <w:rFonts w:ascii="Arial" w:hAnsi="Arial" w:cs="Arial"/>
        </w:rPr>
        <w:t>Eine (metrische) Tonne Rohöl entspricht 7,33 Barrel.</w:t>
      </w:r>
    </w:p>
    <w:p w14:paraId="62DF72D2" w14:textId="77777777" w:rsidR="007531B6" w:rsidRDefault="007531B6">
      <w:pPr>
        <w:rPr>
          <w:rFonts w:ascii="Arial" w:hAnsi="Arial" w:cs="Arial"/>
        </w:rPr>
      </w:pPr>
    </w:p>
    <w:p w14:paraId="35416DE8" w14:textId="77777777" w:rsidR="00C5695D" w:rsidRDefault="00C5695D" w:rsidP="00C5695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Dieser Text ist unter der Creative Commons Lizenz </w:t>
      </w:r>
      <w:hyperlink r:id="rId7" w:tgtFrame="extern" w:history="1">
        <w:r w:rsidRPr="00DB72F5">
          <w:rPr>
            <w:rFonts w:ascii="Arial" w:hAnsi="Arial"/>
            <w:sz w:val="20"/>
            <w:szCs w:val="20"/>
          </w:rPr>
          <w:t>by-nc-nd/3.0/de/</w:t>
        </w:r>
      </w:hyperlink>
      <w:r>
        <w:rPr>
          <w:rFonts w:ascii="Arial" w:hAnsi="Arial"/>
          <w:sz w:val="20"/>
          <w:szCs w:val="20"/>
        </w:rPr>
        <w:t xml:space="preserve"> veröffentlicht. </w:t>
      </w:r>
    </w:p>
    <w:p w14:paraId="2A223CD1" w14:textId="2028C1CE" w:rsidR="00C5695D" w:rsidRDefault="00C5695D" w:rsidP="00C5695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Bundeszentrale für politische Bildung 201</w:t>
      </w:r>
      <w:r w:rsidR="00CD2298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 | </w:t>
      </w:r>
      <w:hyperlink r:id="rId8" w:history="1">
        <w:r w:rsidRPr="00DB72F5">
          <w:rPr>
            <w:rFonts w:ascii="Arial" w:hAnsi="Arial"/>
            <w:sz w:val="20"/>
            <w:szCs w:val="20"/>
          </w:rPr>
          <w:t>www.bpb.de</w:t>
        </w:r>
      </w:hyperlink>
    </w:p>
    <w:sectPr w:rsidR="00C569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3A"/>
    <w:rsid w:val="0004583A"/>
    <w:rsid w:val="00054ACC"/>
    <w:rsid w:val="00075525"/>
    <w:rsid w:val="000D66E4"/>
    <w:rsid w:val="000E1AC3"/>
    <w:rsid w:val="00100D67"/>
    <w:rsid w:val="00161C90"/>
    <w:rsid w:val="00174251"/>
    <w:rsid w:val="001C5EB2"/>
    <w:rsid w:val="001D2516"/>
    <w:rsid w:val="002B3BF6"/>
    <w:rsid w:val="002E016C"/>
    <w:rsid w:val="002F7204"/>
    <w:rsid w:val="00303514"/>
    <w:rsid w:val="00323B0A"/>
    <w:rsid w:val="00323FB9"/>
    <w:rsid w:val="0032496D"/>
    <w:rsid w:val="003608B0"/>
    <w:rsid w:val="00395D29"/>
    <w:rsid w:val="00413153"/>
    <w:rsid w:val="00481A67"/>
    <w:rsid w:val="004F1417"/>
    <w:rsid w:val="005A408C"/>
    <w:rsid w:val="0073003B"/>
    <w:rsid w:val="0074389F"/>
    <w:rsid w:val="007531B6"/>
    <w:rsid w:val="00786F10"/>
    <w:rsid w:val="007A61AD"/>
    <w:rsid w:val="007C2FA7"/>
    <w:rsid w:val="007C478D"/>
    <w:rsid w:val="00857CCC"/>
    <w:rsid w:val="00880890"/>
    <w:rsid w:val="008B0837"/>
    <w:rsid w:val="00901945"/>
    <w:rsid w:val="009150B6"/>
    <w:rsid w:val="0092459E"/>
    <w:rsid w:val="009613A0"/>
    <w:rsid w:val="00987597"/>
    <w:rsid w:val="0099038D"/>
    <w:rsid w:val="00B0675C"/>
    <w:rsid w:val="00B72682"/>
    <w:rsid w:val="00B75B29"/>
    <w:rsid w:val="00B774A7"/>
    <w:rsid w:val="00C25ACE"/>
    <w:rsid w:val="00C25D69"/>
    <w:rsid w:val="00C5695D"/>
    <w:rsid w:val="00C92192"/>
    <w:rsid w:val="00CD2298"/>
    <w:rsid w:val="00D2638E"/>
    <w:rsid w:val="00D935AF"/>
    <w:rsid w:val="00DE0579"/>
    <w:rsid w:val="00DF2C57"/>
    <w:rsid w:val="00E44106"/>
    <w:rsid w:val="00E5255E"/>
    <w:rsid w:val="00E532F0"/>
    <w:rsid w:val="00E54DA2"/>
    <w:rsid w:val="00E67492"/>
    <w:rsid w:val="00EB641F"/>
    <w:rsid w:val="00EC630D"/>
    <w:rsid w:val="00F7580D"/>
    <w:rsid w:val="00FB5625"/>
    <w:rsid w:val="00FD7AF5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D5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character" w:styleId="HTMLAkronym">
    <w:name w:val="HTML Acronym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Fett">
    <w:name w:val="Strong"/>
    <w:uiPriority w:val="22"/>
    <w:qFormat/>
    <w:rsid w:val="00054ACC"/>
    <w:rPr>
      <w:b/>
      <w:bCs/>
    </w:rPr>
  </w:style>
  <w:style w:type="character" w:customStyle="1" w:styleId="st">
    <w:name w:val="st"/>
    <w:rsid w:val="00EC630D"/>
  </w:style>
  <w:style w:type="character" w:styleId="Hervorhebung">
    <w:name w:val="Emphasis"/>
    <w:uiPriority w:val="20"/>
    <w:qFormat/>
    <w:rsid w:val="00EC63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character" w:styleId="HTMLAkronym">
    <w:name w:val="HTML Acronym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Fett">
    <w:name w:val="Strong"/>
    <w:uiPriority w:val="22"/>
    <w:qFormat/>
    <w:rsid w:val="00054ACC"/>
    <w:rPr>
      <w:b/>
      <w:bCs/>
    </w:rPr>
  </w:style>
  <w:style w:type="character" w:customStyle="1" w:styleId="st">
    <w:name w:val="st"/>
    <w:rsid w:val="00EC630D"/>
  </w:style>
  <w:style w:type="character" w:styleId="Hervorhebung">
    <w:name w:val="Emphasis"/>
    <w:uiPriority w:val="20"/>
    <w:qFormat/>
    <w:rsid w:val="00EC63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b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reativecommons.org/licenses/by-nc-nd/3.0/d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pb.de/wissen/W3QYQ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40CD-0727-4206-9A5A-EE87CAD7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Bevölkerung Deutschlands zählen alle Einwohner, die mit ihrer Hauptwohnung in der Bundesrepublik Deutschland gemeldet sind</vt:lpstr>
    </vt:vector>
  </TitlesOfParts>
  <Company/>
  <LinksUpToDate>false</LinksUpToDate>
  <CharactersWithSpaces>6392</CharactersWithSpaces>
  <SharedDoc>false</SharedDoc>
  <HLinks>
    <vt:vector size="18" baseType="variant">
      <vt:variant>
        <vt:i4>6291563</vt:i4>
      </vt:variant>
      <vt:variant>
        <vt:i4>6</vt:i4>
      </vt:variant>
      <vt:variant>
        <vt:i4>0</vt:i4>
      </vt:variant>
      <vt:variant>
        <vt:i4>5</vt:i4>
      </vt:variant>
      <vt:variant>
        <vt:lpwstr>http://www.bpb.de/</vt:lpwstr>
      </vt:variant>
      <vt:variant>
        <vt:lpwstr/>
      </vt:variant>
      <vt:variant>
        <vt:i4>524300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http://creativecommons.org/licenses/by-nc-nd/3.0/de/</vt:lpwstr>
      </vt:variant>
      <vt:variant>
        <vt:lpwstr/>
      </vt:variant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http://www.bpb.de/wissen/W3QYQT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Bevölkerung Deutschlands zählen alle Einwohner, die mit ihrer Hauptwohnung in der Bundesrepublik Deutschland gemeldet sind</dc:title>
  <dc:creator>Fossi</dc:creator>
  <cp:lastModifiedBy>Christian Hartmann</cp:lastModifiedBy>
  <cp:revision>3</cp:revision>
  <dcterms:created xsi:type="dcterms:W3CDTF">2016-08-25T17:04:00Z</dcterms:created>
  <dcterms:modified xsi:type="dcterms:W3CDTF">2016-08-25T17:06:00Z</dcterms:modified>
</cp:coreProperties>
</file>