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04BB2" w14:textId="198156A3" w:rsidR="00B91589" w:rsidRPr="00B91589" w:rsidRDefault="00B91589" w:rsidP="00B91589">
      <w:pPr>
        <w:rPr>
          <w:rFonts w:ascii="Arial" w:hAnsi="Arial" w:cs="Arial"/>
          <w:b/>
        </w:rPr>
      </w:pPr>
      <w:bookmarkStart w:id="0" w:name="_GoBack"/>
      <w:bookmarkEnd w:id="0"/>
      <w:r w:rsidRPr="00B91589">
        <w:rPr>
          <w:rFonts w:ascii="Arial" w:hAnsi="Arial" w:cs="Arial"/>
          <w:b/>
        </w:rPr>
        <w:t xml:space="preserve">Durch Neufunde und </w:t>
      </w:r>
      <w:r w:rsidR="00562570">
        <w:rPr>
          <w:rFonts w:ascii="Arial" w:hAnsi="Arial" w:cs="Arial"/>
          <w:b/>
        </w:rPr>
        <w:t>N</w:t>
      </w:r>
      <w:r w:rsidRPr="00B91589">
        <w:rPr>
          <w:rFonts w:ascii="Arial" w:hAnsi="Arial" w:cs="Arial"/>
          <w:b/>
        </w:rPr>
        <w:t>eu</w:t>
      </w:r>
      <w:r w:rsidR="00562570">
        <w:rPr>
          <w:rFonts w:ascii="Arial" w:hAnsi="Arial" w:cs="Arial"/>
          <w:b/>
        </w:rPr>
        <w:t>b</w:t>
      </w:r>
      <w:r w:rsidRPr="00B91589">
        <w:rPr>
          <w:rFonts w:ascii="Arial" w:hAnsi="Arial" w:cs="Arial"/>
          <w:b/>
        </w:rPr>
        <w:t>ewertungen bereits bekannter Gasvorkommen nahmen – trotz des parallel steigenden Verbrauchs – die Erdgas-Reserven seit 1980 um rund 160 Prozent zu</w:t>
      </w:r>
      <w:r w:rsidR="00562570">
        <w:rPr>
          <w:rFonts w:ascii="Arial" w:hAnsi="Arial" w:cs="Arial"/>
          <w:b/>
        </w:rPr>
        <w:t>.</w:t>
      </w:r>
      <w:r w:rsidR="00562570" w:rsidRPr="00562570">
        <w:rPr>
          <w:rFonts w:ascii="Arial" w:hAnsi="Arial" w:cs="Arial"/>
          <w:b/>
        </w:rPr>
        <w:t xml:space="preserve"> </w:t>
      </w:r>
      <w:r w:rsidR="00562570">
        <w:rPr>
          <w:rFonts w:ascii="Arial" w:hAnsi="Arial" w:cs="Arial"/>
          <w:b/>
        </w:rPr>
        <w:t xml:space="preserve">Zum Beispiel können </w:t>
      </w:r>
      <w:r w:rsidRPr="00B91589">
        <w:rPr>
          <w:rFonts w:ascii="Arial" w:hAnsi="Arial" w:cs="Arial"/>
          <w:b/>
        </w:rPr>
        <w:t>in Zeiten hoher Rohstoffpreise teure Fördertechniken zum Einsatz kommen und entsprechend den Reservebestand erhöhen. Unabhängig vom Einsatz teurer und neuer Technik bleiben der Mittlere Osten und Europa/Eurasien die Regionen mit dem höchsten Anteil an den weltweiten Gasreserven: 2014 lag der Anteil zusammen bei 73,7 Prozent.</w:t>
      </w:r>
    </w:p>
    <w:p w14:paraId="2AA4DD56" w14:textId="77777777" w:rsidR="00B91589" w:rsidRPr="00B91589" w:rsidRDefault="00B91589">
      <w:pPr>
        <w:rPr>
          <w:rFonts w:ascii="Arial" w:hAnsi="Arial"/>
          <w:b/>
          <w:color w:val="FF0000"/>
        </w:rPr>
      </w:pPr>
    </w:p>
    <w:p w14:paraId="3A704ACA" w14:textId="6FEB0722" w:rsidR="002B3D21" w:rsidRDefault="0095749D">
      <w:pPr>
        <w:rPr>
          <w:rFonts w:ascii="Arial" w:hAnsi="Arial"/>
          <w:color w:val="FF0000"/>
        </w:rPr>
      </w:pPr>
      <w:r>
        <w:rPr>
          <w:rFonts w:ascii="Arial" w:hAnsi="Arial"/>
          <w:color w:val="FF0000"/>
        </w:rPr>
        <w:t>Fakten</w:t>
      </w:r>
    </w:p>
    <w:p w14:paraId="00F1F8D6" w14:textId="77777777" w:rsidR="007E2B99" w:rsidRPr="00A24562" w:rsidRDefault="007E2B99">
      <w:pPr>
        <w:rPr>
          <w:rFonts w:ascii="Arial" w:hAnsi="Arial"/>
        </w:rPr>
      </w:pPr>
    </w:p>
    <w:p w14:paraId="7B5ED01E" w14:textId="3B449199" w:rsidR="00677728" w:rsidRDefault="002B3D21" w:rsidP="00677728">
      <w:pPr>
        <w:rPr>
          <w:rFonts w:ascii="Arial" w:hAnsi="Arial" w:cs="Arial"/>
        </w:rPr>
      </w:pPr>
      <w:r w:rsidRPr="00AC4EB7">
        <w:rPr>
          <w:rFonts w:ascii="Arial" w:hAnsi="Arial"/>
        </w:rPr>
        <w:t>Die weltweit</w:t>
      </w:r>
      <w:r w:rsidR="00C33D8A">
        <w:rPr>
          <w:rFonts w:ascii="Arial" w:hAnsi="Arial"/>
        </w:rPr>
        <w:t>e</w:t>
      </w:r>
      <w:r w:rsidRPr="00AC4EB7">
        <w:rPr>
          <w:rFonts w:ascii="Arial" w:hAnsi="Arial"/>
        </w:rPr>
        <w:t xml:space="preserve">n Erdgas-Reserven </w:t>
      </w:r>
      <w:r w:rsidR="00935F26" w:rsidRPr="00AC4EB7">
        <w:rPr>
          <w:rFonts w:ascii="Arial" w:hAnsi="Arial"/>
        </w:rPr>
        <w:t>erhöht</w:t>
      </w:r>
      <w:r w:rsidRPr="00AC4EB7">
        <w:rPr>
          <w:rFonts w:ascii="Arial" w:hAnsi="Arial"/>
        </w:rPr>
        <w:t xml:space="preserve">en sich </w:t>
      </w:r>
      <w:r w:rsidR="00D53AC1" w:rsidRPr="00AC4EB7">
        <w:rPr>
          <w:rFonts w:ascii="Arial" w:hAnsi="Arial" w:cs="Arial"/>
        </w:rPr>
        <w:t xml:space="preserve">nach Angaben des Energiekonzerns </w:t>
      </w:r>
      <w:r w:rsidR="00D53AC1" w:rsidRPr="00AC4EB7">
        <w:rPr>
          <w:rFonts w:ascii="Arial" w:hAnsi="Arial" w:cs="Arial"/>
          <w:color w:val="000000"/>
        </w:rPr>
        <w:t xml:space="preserve">British Petroleum (BP) </w:t>
      </w:r>
      <w:r w:rsidR="00D53AC1" w:rsidRPr="00AC4EB7">
        <w:rPr>
          <w:rFonts w:ascii="Arial" w:hAnsi="Arial" w:cs="Arial"/>
        </w:rPr>
        <w:t xml:space="preserve">zwischen 1980 und 2014 </w:t>
      </w:r>
      <w:r w:rsidRPr="00AC4EB7">
        <w:rPr>
          <w:rFonts w:ascii="Arial" w:hAnsi="Arial"/>
        </w:rPr>
        <w:t xml:space="preserve">von </w:t>
      </w:r>
      <w:r w:rsidR="00D53AC1" w:rsidRPr="00AC4EB7">
        <w:rPr>
          <w:rFonts w:ascii="Arial" w:hAnsi="Arial"/>
        </w:rPr>
        <w:t>71,6</w:t>
      </w:r>
      <w:r w:rsidRPr="00AC4EB7">
        <w:rPr>
          <w:rFonts w:ascii="Arial" w:hAnsi="Arial"/>
        </w:rPr>
        <w:t xml:space="preserve"> auf 1</w:t>
      </w:r>
      <w:r w:rsidR="00D53AC1" w:rsidRPr="00AC4EB7">
        <w:rPr>
          <w:rFonts w:ascii="Arial" w:hAnsi="Arial"/>
        </w:rPr>
        <w:t>8</w:t>
      </w:r>
      <w:r w:rsidRPr="00AC4EB7">
        <w:rPr>
          <w:rFonts w:ascii="Arial" w:hAnsi="Arial"/>
        </w:rPr>
        <w:t>7,</w:t>
      </w:r>
      <w:r w:rsidR="00D53AC1" w:rsidRPr="00AC4EB7">
        <w:rPr>
          <w:rFonts w:ascii="Arial" w:hAnsi="Arial"/>
        </w:rPr>
        <w:t>1</w:t>
      </w:r>
      <w:r w:rsidRPr="00AC4EB7">
        <w:rPr>
          <w:rFonts w:ascii="Arial" w:hAnsi="Arial"/>
        </w:rPr>
        <w:t xml:space="preserve"> Billionen Kubikmeter</w:t>
      </w:r>
      <w:r w:rsidR="00D53AC1" w:rsidRPr="00AC4EB7">
        <w:rPr>
          <w:rFonts w:ascii="Arial" w:hAnsi="Arial" w:cs="Arial"/>
        </w:rPr>
        <w:t xml:space="preserve">. </w:t>
      </w:r>
      <w:r w:rsidR="00935F26">
        <w:rPr>
          <w:rFonts w:ascii="Arial" w:hAnsi="Arial" w:cs="Arial"/>
        </w:rPr>
        <w:t>O</w:t>
      </w:r>
      <w:r w:rsidR="00D53AC1" w:rsidRPr="00AC4EB7">
        <w:rPr>
          <w:rFonts w:ascii="Arial" w:hAnsi="Arial" w:cs="Arial"/>
        </w:rPr>
        <w:t xml:space="preserve">bwohl der jährliche Gasverbrauch </w:t>
      </w:r>
      <w:r w:rsidR="00935F26" w:rsidRPr="00AC4EB7">
        <w:rPr>
          <w:rFonts w:ascii="Arial" w:hAnsi="Arial" w:cs="Arial"/>
        </w:rPr>
        <w:t xml:space="preserve">parallel </w:t>
      </w:r>
      <w:r w:rsidR="00D53AC1" w:rsidRPr="00AC4EB7">
        <w:rPr>
          <w:rFonts w:ascii="Arial" w:hAnsi="Arial" w:cs="Arial"/>
        </w:rPr>
        <w:t xml:space="preserve">von 1.436 auf 3.393 Milliarden </w:t>
      </w:r>
      <w:r w:rsidR="00D53AC1" w:rsidRPr="00AC4EB7">
        <w:rPr>
          <w:rFonts w:ascii="Arial" w:hAnsi="Arial"/>
        </w:rPr>
        <w:t xml:space="preserve">Kubikmeter </w:t>
      </w:r>
      <w:r w:rsidR="00935F26">
        <w:rPr>
          <w:rFonts w:ascii="Arial" w:hAnsi="Arial" w:cs="Arial"/>
        </w:rPr>
        <w:t xml:space="preserve">zunahm </w:t>
      </w:r>
      <w:r w:rsidR="00D53AC1" w:rsidRPr="00AC4EB7">
        <w:rPr>
          <w:rFonts w:ascii="Arial" w:hAnsi="Arial" w:cs="Arial"/>
        </w:rPr>
        <w:t>(plus 136,3 Prozent), reduzierten sich die Erd</w:t>
      </w:r>
      <w:r w:rsidR="0036110E">
        <w:rPr>
          <w:rFonts w:ascii="Arial" w:hAnsi="Arial" w:cs="Arial"/>
        </w:rPr>
        <w:t>gas</w:t>
      </w:r>
      <w:r w:rsidR="00D53AC1" w:rsidRPr="00AC4EB7">
        <w:rPr>
          <w:rFonts w:ascii="Arial" w:hAnsi="Arial" w:cs="Arial"/>
        </w:rPr>
        <w:t>-Reserven im gesamten Zeitraum von 1980 bis 2014 led</w:t>
      </w:r>
      <w:r w:rsidR="00AC4EB7" w:rsidRPr="00AC4EB7">
        <w:rPr>
          <w:rFonts w:ascii="Arial" w:hAnsi="Arial" w:cs="Arial"/>
        </w:rPr>
        <w:t xml:space="preserve">iglich zweimal (2008/2009 um </w:t>
      </w:r>
      <w:r w:rsidR="00BA2296">
        <w:rPr>
          <w:rFonts w:ascii="Arial" w:hAnsi="Arial" w:cs="Arial"/>
        </w:rPr>
        <w:t>rund 700</w:t>
      </w:r>
      <w:r w:rsidR="00D53AC1" w:rsidRPr="00AC4EB7">
        <w:rPr>
          <w:rFonts w:ascii="Arial" w:hAnsi="Arial" w:cs="Arial"/>
        </w:rPr>
        <w:t xml:space="preserve"> Mrd.</w:t>
      </w:r>
      <w:r w:rsidR="00D53AC1" w:rsidRPr="00AC4EB7">
        <w:rPr>
          <w:rFonts w:ascii="Arial" w:hAnsi="Arial"/>
        </w:rPr>
        <w:t xml:space="preserve"> Kubikmeter </w:t>
      </w:r>
      <w:r w:rsidR="00D53AC1" w:rsidRPr="00AC4EB7">
        <w:rPr>
          <w:rFonts w:ascii="Arial" w:hAnsi="Arial" w:cs="Arial"/>
        </w:rPr>
        <w:t xml:space="preserve">und 2011/2012 um </w:t>
      </w:r>
      <w:r w:rsidR="00BA2296">
        <w:rPr>
          <w:rFonts w:ascii="Arial" w:hAnsi="Arial" w:cs="Arial"/>
        </w:rPr>
        <w:t>rund 40</w:t>
      </w:r>
      <w:r w:rsidR="00D53AC1" w:rsidRPr="00AC4EB7">
        <w:rPr>
          <w:rFonts w:ascii="Arial" w:hAnsi="Arial" w:cs="Arial"/>
        </w:rPr>
        <w:t xml:space="preserve">0 Mrd. </w:t>
      </w:r>
      <w:r w:rsidR="00D53AC1" w:rsidRPr="00AC4EB7">
        <w:rPr>
          <w:rFonts w:ascii="Arial" w:hAnsi="Arial"/>
        </w:rPr>
        <w:t>Kubikmeter</w:t>
      </w:r>
      <w:r w:rsidR="00D53AC1" w:rsidRPr="00AC4EB7">
        <w:rPr>
          <w:rFonts w:ascii="Arial" w:hAnsi="Arial" w:cs="Arial"/>
        </w:rPr>
        <w:t>)</w:t>
      </w:r>
      <w:r w:rsidR="0018219A">
        <w:rPr>
          <w:rFonts w:ascii="Arial" w:hAnsi="Arial" w:cs="Arial"/>
        </w:rPr>
        <w:t>. D</w:t>
      </w:r>
      <w:r w:rsidR="00677728">
        <w:rPr>
          <w:rFonts w:ascii="Arial" w:hAnsi="Arial" w:cs="Arial"/>
        </w:rPr>
        <w:t>ie Steigerung der Erdgas-Reserven ist dabei sowohl auf Neufunde als auch auf Neubewertungen zurückzuführen. Neubewertungen erfolgen insbesondere dann, wenn durch neue Techniken bekannte, aber bisher nicht zu fördernde Ressourcen gefördert werden können oder wenn steigende Gaspreise den Einsatz teurer Techniken e</w:t>
      </w:r>
      <w:r w:rsidR="00323740">
        <w:rPr>
          <w:rFonts w:ascii="Arial" w:hAnsi="Arial" w:cs="Arial"/>
        </w:rPr>
        <w:t>rmöglichen</w:t>
      </w:r>
      <w:r w:rsidR="00677728">
        <w:rPr>
          <w:rFonts w:ascii="Arial" w:hAnsi="Arial" w:cs="Arial"/>
        </w:rPr>
        <w:t>.</w:t>
      </w:r>
    </w:p>
    <w:p w14:paraId="4F2DB481" w14:textId="77777777" w:rsidR="0018219A" w:rsidRDefault="0018219A" w:rsidP="00677728">
      <w:pPr>
        <w:rPr>
          <w:rFonts w:ascii="Arial" w:hAnsi="Arial" w:cs="Arial"/>
        </w:rPr>
      </w:pPr>
    </w:p>
    <w:p w14:paraId="78F2CE18" w14:textId="490FD8CD" w:rsidR="00677728" w:rsidRDefault="002B3D21" w:rsidP="00677728">
      <w:pPr>
        <w:rPr>
          <w:rFonts w:ascii="Arial" w:hAnsi="Arial" w:cs="Arial"/>
        </w:rPr>
      </w:pPr>
      <w:r w:rsidRPr="00AC4EB7">
        <w:rPr>
          <w:rFonts w:ascii="Arial" w:hAnsi="Arial" w:cs="Arial"/>
        </w:rPr>
        <w:t>Im Jahr 20</w:t>
      </w:r>
      <w:r w:rsidR="00677728" w:rsidRPr="00AC4EB7">
        <w:rPr>
          <w:rFonts w:ascii="Arial" w:hAnsi="Arial" w:cs="Arial"/>
        </w:rPr>
        <w:t>14</w:t>
      </w:r>
      <w:r w:rsidRPr="00AC4EB7">
        <w:rPr>
          <w:rFonts w:ascii="Arial" w:hAnsi="Arial" w:cs="Arial"/>
        </w:rPr>
        <w:t xml:space="preserve"> verfügten der </w:t>
      </w:r>
      <w:r w:rsidR="00677728" w:rsidRPr="00AC4EB7">
        <w:rPr>
          <w:rFonts w:ascii="Arial" w:hAnsi="Arial" w:cs="Arial"/>
        </w:rPr>
        <w:t xml:space="preserve">Mittlere </w:t>
      </w:r>
      <w:r w:rsidRPr="00AC4EB7">
        <w:rPr>
          <w:rFonts w:ascii="Arial" w:hAnsi="Arial" w:cs="Arial"/>
        </w:rPr>
        <w:t>Osten (4</w:t>
      </w:r>
      <w:r w:rsidR="00677728" w:rsidRPr="00AC4EB7">
        <w:rPr>
          <w:rFonts w:ascii="Arial" w:hAnsi="Arial" w:cs="Arial"/>
        </w:rPr>
        <w:t>2</w:t>
      </w:r>
      <w:r w:rsidRPr="00AC4EB7">
        <w:rPr>
          <w:rFonts w:ascii="Arial" w:hAnsi="Arial" w:cs="Arial"/>
        </w:rPr>
        <w:t>,</w:t>
      </w:r>
      <w:r w:rsidR="00677728" w:rsidRPr="00AC4EB7">
        <w:rPr>
          <w:rFonts w:ascii="Arial" w:hAnsi="Arial" w:cs="Arial"/>
        </w:rPr>
        <w:t>7</w:t>
      </w:r>
      <w:r w:rsidRPr="00AC4EB7">
        <w:rPr>
          <w:rFonts w:ascii="Arial" w:hAnsi="Arial" w:cs="Arial"/>
        </w:rPr>
        <w:t xml:space="preserve"> Prozent) sowie Europa und Eurasien (3</w:t>
      </w:r>
      <w:r w:rsidR="00677728" w:rsidRPr="00AC4EB7">
        <w:rPr>
          <w:rFonts w:ascii="Arial" w:hAnsi="Arial" w:cs="Arial"/>
        </w:rPr>
        <w:t>1</w:t>
      </w:r>
      <w:r w:rsidRPr="00AC4EB7">
        <w:rPr>
          <w:rFonts w:ascii="Arial" w:hAnsi="Arial" w:cs="Arial"/>
        </w:rPr>
        <w:t>,</w:t>
      </w:r>
      <w:r w:rsidR="00677728" w:rsidRPr="00AC4EB7">
        <w:rPr>
          <w:rFonts w:ascii="Arial" w:hAnsi="Arial" w:cs="Arial"/>
        </w:rPr>
        <w:t>0</w:t>
      </w:r>
      <w:r w:rsidRPr="00AC4EB7">
        <w:rPr>
          <w:rFonts w:ascii="Arial" w:hAnsi="Arial" w:cs="Arial"/>
        </w:rPr>
        <w:t xml:space="preserve"> Prozent) über die mit Abstand größten Anteile an den weltweiten Erdgas-Reserven</w:t>
      </w:r>
      <w:r w:rsidR="00677728" w:rsidRPr="00AC4EB7">
        <w:rPr>
          <w:rFonts w:ascii="Arial" w:hAnsi="Arial" w:cs="Arial"/>
        </w:rPr>
        <w:t xml:space="preserve"> – </w:t>
      </w:r>
      <w:r w:rsidR="00323740">
        <w:rPr>
          <w:rFonts w:ascii="Arial" w:hAnsi="Arial" w:cs="Arial"/>
        </w:rPr>
        <w:t>da</w:t>
      </w:r>
      <w:r w:rsidR="00677728" w:rsidRPr="00AC4EB7">
        <w:rPr>
          <w:rFonts w:ascii="Arial" w:hAnsi="Arial" w:cs="Arial"/>
        </w:rPr>
        <w:t xml:space="preserve">bei </w:t>
      </w:r>
      <w:r w:rsidR="00323740">
        <w:rPr>
          <w:rFonts w:ascii="Arial" w:hAnsi="Arial" w:cs="Arial"/>
        </w:rPr>
        <w:t xml:space="preserve">lag </w:t>
      </w:r>
      <w:r w:rsidR="00677728" w:rsidRPr="00AC4EB7">
        <w:rPr>
          <w:rFonts w:ascii="Arial" w:hAnsi="Arial" w:cs="Arial"/>
        </w:rPr>
        <w:t>allein der Anteil der Staaten der ehemaligen Sowjetunion bei 29,2 Prozent</w:t>
      </w:r>
      <w:r w:rsidRPr="00AC4EB7">
        <w:rPr>
          <w:rFonts w:ascii="Arial" w:hAnsi="Arial" w:cs="Arial"/>
        </w:rPr>
        <w:t>.</w:t>
      </w:r>
      <w:r w:rsidR="00677728" w:rsidRPr="00AC4EB7">
        <w:rPr>
          <w:rFonts w:ascii="Arial" w:hAnsi="Arial" w:cs="Arial"/>
        </w:rPr>
        <w:t xml:space="preserve"> Auf den </w:t>
      </w:r>
      <w:r w:rsidRPr="00AC4EB7">
        <w:rPr>
          <w:rFonts w:ascii="Arial" w:hAnsi="Arial" w:cs="Arial"/>
        </w:rPr>
        <w:t>asiatisch-pazifischen Raum</w:t>
      </w:r>
      <w:r w:rsidR="00677728" w:rsidRPr="00AC4EB7">
        <w:rPr>
          <w:rFonts w:ascii="Arial" w:hAnsi="Arial" w:cs="Arial"/>
        </w:rPr>
        <w:t xml:space="preserve"> und </w:t>
      </w:r>
      <w:r w:rsidRPr="00AC4EB7">
        <w:rPr>
          <w:rFonts w:ascii="Arial" w:hAnsi="Arial" w:cs="Arial"/>
        </w:rPr>
        <w:t xml:space="preserve">Afrika </w:t>
      </w:r>
      <w:r w:rsidR="00677728" w:rsidRPr="00AC4EB7">
        <w:rPr>
          <w:rFonts w:ascii="Arial" w:hAnsi="Arial" w:cs="Arial"/>
        </w:rPr>
        <w:t xml:space="preserve">entfielen 8,2 beziehungsweise 7,6 </w:t>
      </w:r>
      <w:r w:rsidR="00323740">
        <w:rPr>
          <w:rFonts w:ascii="Arial" w:hAnsi="Arial" w:cs="Arial"/>
        </w:rPr>
        <w:t xml:space="preserve">Prozent </w:t>
      </w:r>
      <w:r w:rsidRPr="00AC4EB7">
        <w:rPr>
          <w:rFonts w:ascii="Arial" w:hAnsi="Arial" w:cs="Arial"/>
        </w:rPr>
        <w:t>der Erdgas-Reserven</w:t>
      </w:r>
      <w:r w:rsidR="00677728" w:rsidRPr="00AC4EB7">
        <w:rPr>
          <w:rFonts w:ascii="Arial" w:hAnsi="Arial" w:cs="Arial"/>
        </w:rPr>
        <w:t xml:space="preserve"> des Jahres 2014, gefolgt von </w:t>
      </w:r>
      <w:r w:rsidRPr="00AC4EB7">
        <w:rPr>
          <w:rFonts w:ascii="Arial" w:hAnsi="Arial" w:cs="Arial"/>
        </w:rPr>
        <w:t xml:space="preserve">Nordamerika sowie Mittel- und Südamerika </w:t>
      </w:r>
      <w:r w:rsidR="00677728" w:rsidRPr="00AC4EB7">
        <w:rPr>
          <w:rFonts w:ascii="Arial" w:hAnsi="Arial" w:cs="Arial"/>
        </w:rPr>
        <w:t xml:space="preserve">mit </w:t>
      </w:r>
      <w:r w:rsidRPr="00AC4EB7">
        <w:rPr>
          <w:rFonts w:ascii="Arial" w:hAnsi="Arial" w:cs="Arial"/>
        </w:rPr>
        <w:t>Anteil</w:t>
      </w:r>
      <w:r w:rsidR="00677728" w:rsidRPr="00AC4EB7">
        <w:rPr>
          <w:rFonts w:ascii="Arial" w:hAnsi="Arial" w:cs="Arial"/>
        </w:rPr>
        <w:t xml:space="preserve">en von 6,5 und </w:t>
      </w:r>
      <w:r w:rsidRPr="00AC4EB7">
        <w:rPr>
          <w:rFonts w:ascii="Arial" w:hAnsi="Arial" w:cs="Arial"/>
        </w:rPr>
        <w:t>4,</w:t>
      </w:r>
      <w:r w:rsidR="00677728" w:rsidRPr="00AC4EB7">
        <w:rPr>
          <w:rFonts w:ascii="Arial" w:hAnsi="Arial" w:cs="Arial"/>
        </w:rPr>
        <w:t>1</w:t>
      </w:r>
      <w:r w:rsidRPr="00AC4EB7">
        <w:rPr>
          <w:rFonts w:ascii="Arial" w:hAnsi="Arial" w:cs="Arial"/>
        </w:rPr>
        <w:t xml:space="preserve"> Prozent.</w:t>
      </w:r>
    </w:p>
    <w:p w14:paraId="43D13FA0" w14:textId="77777777" w:rsidR="0018219A" w:rsidRDefault="0018219A" w:rsidP="00677728">
      <w:pPr>
        <w:rPr>
          <w:rFonts w:ascii="Arial" w:hAnsi="Arial" w:cs="Arial"/>
        </w:rPr>
      </w:pPr>
    </w:p>
    <w:p w14:paraId="4F05E223" w14:textId="336D706D" w:rsidR="000F78F2" w:rsidRDefault="000F78F2" w:rsidP="000F78F2">
      <w:pPr>
        <w:rPr>
          <w:rFonts w:ascii="Arial" w:hAnsi="Arial" w:cs="Arial"/>
        </w:rPr>
      </w:pPr>
      <w:r w:rsidRPr="00857CCC">
        <w:rPr>
          <w:rFonts w:ascii="Arial" w:hAnsi="Arial" w:cs="Arial"/>
        </w:rPr>
        <w:t xml:space="preserve">Bezogen auf die einzelnen Staaten </w:t>
      </w:r>
      <w:r>
        <w:rPr>
          <w:rFonts w:ascii="Arial" w:hAnsi="Arial" w:cs="Arial"/>
        </w:rPr>
        <w:t xml:space="preserve">verfügte 2014 Iran über den höchsten Anteil </w:t>
      </w:r>
      <w:r w:rsidRPr="00857CCC">
        <w:rPr>
          <w:rFonts w:ascii="Arial" w:hAnsi="Arial" w:cs="Arial"/>
        </w:rPr>
        <w:t>an den weltweiten Erd</w:t>
      </w:r>
      <w:r w:rsidR="006313DC">
        <w:rPr>
          <w:rFonts w:ascii="Arial" w:hAnsi="Arial" w:cs="Arial"/>
        </w:rPr>
        <w:t>gas</w:t>
      </w:r>
      <w:r w:rsidRPr="00857CCC">
        <w:rPr>
          <w:rFonts w:ascii="Arial" w:hAnsi="Arial" w:cs="Arial"/>
        </w:rPr>
        <w:t xml:space="preserve">-Reserven </w:t>
      </w:r>
      <w:r w:rsidR="006313DC">
        <w:rPr>
          <w:rFonts w:ascii="Arial" w:hAnsi="Arial" w:cs="Arial"/>
        </w:rPr>
        <w:t>(18,2 Prozent). Darauf folgten Russland (17,4 Prozent), Katar (13,1 Prozent) und – seit 2008 zunehmend relevant – Turkmenistan (9,</w:t>
      </w:r>
      <w:r w:rsidR="00DA3B13">
        <w:rPr>
          <w:rFonts w:ascii="Arial" w:hAnsi="Arial" w:cs="Arial"/>
        </w:rPr>
        <w:t>3</w:t>
      </w:r>
      <w:r w:rsidR="006313DC">
        <w:rPr>
          <w:rFonts w:ascii="Arial" w:hAnsi="Arial" w:cs="Arial"/>
        </w:rPr>
        <w:t xml:space="preserve"> Prozent). </w:t>
      </w:r>
      <w:r w:rsidR="00F6631A">
        <w:rPr>
          <w:rFonts w:ascii="Arial" w:hAnsi="Arial" w:cs="Arial"/>
        </w:rPr>
        <w:t xml:space="preserve">Der Anteil der USA an den weltweiten Gasreserven </w:t>
      </w:r>
      <w:r w:rsidR="00C624EC">
        <w:rPr>
          <w:rFonts w:ascii="Arial" w:hAnsi="Arial" w:cs="Arial"/>
        </w:rPr>
        <w:t xml:space="preserve">(2014: 5,2 Prozent) </w:t>
      </w:r>
      <w:r w:rsidR="00F6631A">
        <w:rPr>
          <w:rFonts w:ascii="Arial" w:hAnsi="Arial" w:cs="Arial"/>
        </w:rPr>
        <w:t xml:space="preserve">liegt seit 2010 durchgehend über dem von </w:t>
      </w:r>
      <w:r w:rsidRPr="00857CCC">
        <w:rPr>
          <w:rFonts w:ascii="Arial" w:hAnsi="Arial" w:cs="Arial"/>
        </w:rPr>
        <w:t xml:space="preserve">Saudi-Arabien </w:t>
      </w:r>
      <w:r w:rsidR="00F6631A">
        <w:rPr>
          <w:rFonts w:ascii="Arial" w:hAnsi="Arial" w:cs="Arial"/>
        </w:rPr>
        <w:t>und den Vereinigten Arabischen Emiraten</w:t>
      </w:r>
      <w:r w:rsidR="00C624EC">
        <w:rPr>
          <w:rFonts w:ascii="Arial" w:hAnsi="Arial" w:cs="Arial"/>
        </w:rPr>
        <w:t xml:space="preserve"> (2014: 4,4 bzw. 3.3 Prozent)</w:t>
      </w:r>
      <w:r w:rsidR="00AB386B">
        <w:rPr>
          <w:rFonts w:ascii="Arial" w:hAnsi="Arial" w:cs="Arial"/>
        </w:rPr>
        <w:t xml:space="preserve"> – zwischen 1988 und 2006 war der Anteil der USA noch durchgehend niedriger. </w:t>
      </w:r>
      <w:r w:rsidR="00F6631A">
        <w:rPr>
          <w:rFonts w:ascii="Arial" w:hAnsi="Arial" w:cs="Arial"/>
        </w:rPr>
        <w:t>Dies</w:t>
      </w:r>
      <w:r w:rsidR="00AB386B">
        <w:rPr>
          <w:rFonts w:ascii="Arial" w:hAnsi="Arial" w:cs="Arial"/>
        </w:rPr>
        <w:t>e Entwicklung</w:t>
      </w:r>
      <w:r w:rsidR="00F6631A">
        <w:rPr>
          <w:rFonts w:ascii="Arial" w:hAnsi="Arial" w:cs="Arial"/>
        </w:rPr>
        <w:t xml:space="preserve"> ist insbesondere </w:t>
      </w:r>
      <w:r w:rsidR="00AB386B">
        <w:rPr>
          <w:rFonts w:ascii="Arial" w:hAnsi="Arial" w:cs="Arial"/>
        </w:rPr>
        <w:t>dar</w:t>
      </w:r>
      <w:r w:rsidR="00F6631A">
        <w:rPr>
          <w:rFonts w:ascii="Arial" w:hAnsi="Arial" w:cs="Arial"/>
        </w:rPr>
        <w:t xml:space="preserve">auf zurückzuführen, </w:t>
      </w:r>
      <w:r w:rsidR="00AB386B">
        <w:rPr>
          <w:rFonts w:ascii="Arial" w:hAnsi="Arial" w:cs="Arial"/>
        </w:rPr>
        <w:t xml:space="preserve">dass steigende Rohstoffpreise das sogenannte Fracking </w:t>
      </w:r>
      <w:r w:rsidR="005C2BD9">
        <w:rPr>
          <w:rFonts w:ascii="Arial" w:hAnsi="Arial" w:cs="Arial"/>
        </w:rPr>
        <w:t>für die Unternehmen</w:t>
      </w:r>
      <w:r w:rsidR="005C2BD9">
        <w:rPr>
          <w:rFonts w:ascii="Arial" w:hAnsi="Arial" w:cs="Arial"/>
        </w:rPr>
        <w:t xml:space="preserve"> </w:t>
      </w:r>
      <w:r w:rsidR="00365929">
        <w:rPr>
          <w:rFonts w:ascii="Arial" w:hAnsi="Arial" w:cs="Arial"/>
        </w:rPr>
        <w:t xml:space="preserve">wirtschaftlich sinnvoll machen </w:t>
      </w:r>
      <w:r w:rsidR="00AB386B">
        <w:rPr>
          <w:rFonts w:ascii="Arial" w:hAnsi="Arial" w:cs="Arial"/>
        </w:rPr>
        <w:t>und da</w:t>
      </w:r>
      <w:r w:rsidR="00F6631A">
        <w:rPr>
          <w:rFonts w:ascii="Arial" w:hAnsi="Arial" w:cs="Arial"/>
        </w:rPr>
        <w:t xml:space="preserve">durch bekannte Ressourcen </w:t>
      </w:r>
      <w:r w:rsidR="00AB386B">
        <w:rPr>
          <w:rFonts w:ascii="Arial" w:hAnsi="Arial" w:cs="Arial"/>
        </w:rPr>
        <w:t xml:space="preserve">als Reserven bewertet und </w:t>
      </w:r>
      <w:r w:rsidR="00DA3B13">
        <w:rPr>
          <w:rFonts w:ascii="Arial" w:hAnsi="Arial" w:cs="Arial"/>
        </w:rPr>
        <w:t xml:space="preserve">gefördert werden </w:t>
      </w:r>
      <w:r w:rsidR="00AB386B">
        <w:rPr>
          <w:rFonts w:ascii="Arial" w:hAnsi="Arial" w:cs="Arial"/>
        </w:rPr>
        <w:t>können.</w:t>
      </w:r>
    </w:p>
    <w:p w14:paraId="43508FDD" w14:textId="77777777" w:rsidR="0018219A" w:rsidRDefault="0018219A" w:rsidP="000F78F2">
      <w:pPr>
        <w:rPr>
          <w:rFonts w:ascii="Arial" w:hAnsi="Arial" w:cs="Arial"/>
        </w:rPr>
      </w:pPr>
    </w:p>
    <w:p w14:paraId="78AD40F8" w14:textId="3B92DF8C" w:rsidR="002B3D21" w:rsidRDefault="000F78F2">
      <w:pPr>
        <w:rPr>
          <w:rFonts w:ascii="Arial" w:hAnsi="Arial" w:cs="Arial"/>
        </w:rPr>
      </w:pPr>
      <w:r w:rsidRPr="002F7204">
        <w:rPr>
          <w:rFonts w:ascii="Arial" w:hAnsi="Arial" w:cs="Arial"/>
        </w:rPr>
        <w:t>Werden die Erd</w:t>
      </w:r>
      <w:r>
        <w:rPr>
          <w:rFonts w:ascii="Arial" w:hAnsi="Arial" w:cs="Arial"/>
        </w:rPr>
        <w:t>gas</w:t>
      </w:r>
      <w:r w:rsidRPr="002F7204">
        <w:rPr>
          <w:rFonts w:ascii="Arial" w:hAnsi="Arial" w:cs="Arial"/>
        </w:rPr>
        <w:t>-Reserven des Jahres 2014 in Beziehung zu</w:t>
      </w:r>
      <w:r>
        <w:rPr>
          <w:rFonts w:ascii="Arial" w:hAnsi="Arial" w:cs="Arial"/>
        </w:rPr>
        <w:t xml:space="preserve">m Verbrauch </w:t>
      </w:r>
      <w:r w:rsidR="00323740">
        <w:rPr>
          <w:rFonts w:ascii="Arial" w:hAnsi="Arial" w:cs="Arial"/>
        </w:rPr>
        <w:t xml:space="preserve">desselben Jahres </w:t>
      </w:r>
      <w:r w:rsidRPr="002F7204">
        <w:rPr>
          <w:rFonts w:ascii="Arial" w:hAnsi="Arial" w:cs="Arial"/>
        </w:rPr>
        <w:t>gesetzt, dauert es unter sonst gleichbleibenden Bedingungen und ohne Neufunde beziehungsweise Neubewertungen noch 5</w:t>
      </w:r>
      <w:r>
        <w:rPr>
          <w:rFonts w:ascii="Arial" w:hAnsi="Arial" w:cs="Arial"/>
        </w:rPr>
        <w:t>5,1</w:t>
      </w:r>
      <w:r w:rsidRPr="002F7204">
        <w:rPr>
          <w:rFonts w:ascii="Arial" w:hAnsi="Arial" w:cs="Arial"/>
        </w:rPr>
        <w:t xml:space="preserve"> Jahre bis die Reserven komplett aufgebraucht sind. </w:t>
      </w:r>
      <w:r w:rsidR="002B3D21" w:rsidRPr="000F78F2">
        <w:rPr>
          <w:rFonts w:ascii="Arial" w:hAnsi="Arial" w:cs="Arial"/>
        </w:rPr>
        <w:t xml:space="preserve">1980 lag dieser Wert mit </w:t>
      </w:r>
      <w:r w:rsidRPr="000F78F2">
        <w:rPr>
          <w:rFonts w:ascii="Arial" w:hAnsi="Arial" w:cs="Arial"/>
        </w:rPr>
        <w:t>49,9</w:t>
      </w:r>
      <w:r w:rsidR="002B3D21" w:rsidRPr="000F78F2">
        <w:rPr>
          <w:rFonts w:ascii="Arial" w:hAnsi="Arial" w:cs="Arial"/>
        </w:rPr>
        <w:t xml:space="preserve"> Jahren zwar noch niedriger, aber seit dem bisherigen Höchstwert von </w:t>
      </w:r>
      <w:r w:rsidRPr="000F78F2">
        <w:rPr>
          <w:rFonts w:ascii="Arial" w:hAnsi="Arial" w:cs="Arial"/>
        </w:rPr>
        <w:t>62,5</w:t>
      </w:r>
      <w:r w:rsidR="002B3D21" w:rsidRPr="000F78F2">
        <w:rPr>
          <w:rFonts w:ascii="Arial" w:hAnsi="Arial" w:cs="Arial"/>
        </w:rPr>
        <w:t xml:space="preserve"> Jahren im Jahr 2001 ist der </w:t>
      </w:r>
      <w:r w:rsidRPr="000F78F2">
        <w:rPr>
          <w:rFonts w:ascii="Arial" w:hAnsi="Arial" w:cs="Arial"/>
        </w:rPr>
        <w:t xml:space="preserve">Wert </w:t>
      </w:r>
      <w:r w:rsidR="00323740">
        <w:rPr>
          <w:rFonts w:ascii="Arial" w:hAnsi="Arial" w:cs="Arial"/>
        </w:rPr>
        <w:t>klar</w:t>
      </w:r>
      <w:r w:rsidR="002B3D21" w:rsidRPr="000F78F2">
        <w:rPr>
          <w:rFonts w:ascii="Arial" w:hAnsi="Arial" w:cs="Arial"/>
        </w:rPr>
        <w:t xml:space="preserve"> gesunken.</w:t>
      </w:r>
    </w:p>
    <w:p w14:paraId="78BD3C41" w14:textId="77777777" w:rsidR="0018219A" w:rsidRDefault="0018219A">
      <w:pPr>
        <w:rPr>
          <w:rFonts w:ascii="Arial" w:hAnsi="Arial" w:cs="Arial"/>
        </w:rPr>
      </w:pPr>
    </w:p>
    <w:p w14:paraId="25E5FA1F" w14:textId="0C96D587" w:rsidR="002B3D21" w:rsidRDefault="002B3D21">
      <w:pPr>
        <w:rPr>
          <w:rFonts w:ascii="Arial" w:hAnsi="Arial" w:cs="Arial"/>
        </w:rPr>
      </w:pPr>
      <w:r w:rsidRPr="0098678C">
        <w:rPr>
          <w:rFonts w:ascii="Arial" w:hAnsi="Arial" w:cs="Arial"/>
        </w:rPr>
        <w:t>Könnten die einzelnen Regionen lediglich auf die eigenen Reserven des Jahres 20</w:t>
      </w:r>
      <w:r w:rsidR="00D24A7B" w:rsidRPr="0098678C">
        <w:rPr>
          <w:rFonts w:ascii="Arial" w:hAnsi="Arial" w:cs="Arial"/>
        </w:rPr>
        <w:t>14</w:t>
      </w:r>
      <w:r w:rsidRPr="0098678C">
        <w:rPr>
          <w:rFonts w:ascii="Arial" w:hAnsi="Arial" w:cs="Arial"/>
        </w:rPr>
        <w:t xml:space="preserve"> zurückgreifen, würde es – </w:t>
      </w:r>
      <w:r w:rsidR="00323740">
        <w:rPr>
          <w:rFonts w:ascii="Arial" w:hAnsi="Arial" w:cs="Arial"/>
        </w:rPr>
        <w:t xml:space="preserve">wiederum </w:t>
      </w:r>
      <w:r w:rsidRPr="0098678C">
        <w:rPr>
          <w:rFonts w:ascii="Arial" w:hAnsi="Arial" w:cs="Arial"/>
        </w:rPr>
        <w:t>ausgehend von dem Verbrauch des</w:t>
      </w:r>
      <w:r w:rsidR="00E57316" w:rsidRPr="0098678C">
        <w:rPr>
          <w:rFonts w:ascii="Arial" w:hAnsi="Arial" w:cs="Arial"/>
        </w:rPr>
        <w:t>selben</w:t>
      </w:r>
      <w:r w:rsidRPr="0098678C">
        <w:rPr>
          <w:rFonts w:ascii="Arial" w:hAnsi="Arial" w:cs="Arial"/>
        </w:rPr>
        <w:t xml:space="preserve"> Jahres</w:t>
      </w:r>
      <w:r w:rsidR="00E57316" w:rsidRPr="0098678C">
        <w:rPr>
          <w:rFonts w:ascii="Arial" w:hAnsi="Arial" w:cs="Arial"/>
        </w:rPr>
        <w:t xml:space="preserve"> </w:t>
      </w:r>
      <w:r w:rsidRPr="0098678C">
        <w:rPr>
          <w:rFonts w:ascii="Arial" w:hAnsi="Arial" w:cs="Arial"/>
        </w:rPr>
        <w:t xml:space="preserve">– nur </w:t>
      </w:r>
      <w:r w:rsidR="00E57316" w:rsidRPr="0098678C">
        <w:rPr>
          <w:rFonts w:ascii="Arial" w:hAnsi="Arial" w:cs="Arial"/>
        </w:rPr>
        <w:t>12,8</w:t>
      </w:r>
      <w:r w:rsidRPr="0098678C">
        <w:rPr>
          <w:rFonts w:ascii="Arial" w:hAnsi="Arial" w:cs="Arial"/>
        </w:rPr>
        <w:t xml:space="preserve"> Jahre dauern, bis ganz Nordamerika ohne Gas auskommen </w:t>
      </w:r>
      <w:r w:rsidRPr="0098678C">
        <w:rPr>
          <w:rFonts w:ascii="Arial" w:hAnsi="Arial" w:cs="Arial"/>
        </w:rPr>
        <w:lastRenderedPageBreak/>
        <w:t xml:space="preserve">müsste. Im asiatisch-pazifischen Raum wären es </w:t>
      </w:r>
      <w:r w:rsidR="00E57316" w:rsidRPr="0098678C">
        <w:rPr>
          <w:rFonts w:ascii="Arial" w:hAnsi="Arial" w:cs="Arial"/>
        </w:rPr>
        <w:t>22,5</w:t>
      </w:r>
      <w:r w:rsidRPr="0098678C">
        <w:rPr>
          <w:rFonts w:ascii="Arial" w:hAnsi="Arial" w:cs="Arial"/>
        </w:rPr>
        <w:t xml:space="preserve"> Jahre, </w:t>
      </w:r>
      <w:r w:rsidR="00E57316" w:rsidRPr="0098678C">
        <w:rPr>
          <w:rFonts w:ascii="Arial" w:hAnsi="Arial" w:cs="Arial"/>
        </w:rPr>
        <w:t xml:space="preserve">in Mittel- und Südamerika 45,1 Jahre. </w:t>
      </w:r>
      <w:r w:rsidRPr="0098678C">
        <w:rPr>
          <w:rFonts w:ascii="Arial" w:hAnsi="Arial" w:cs="Arial"/>
        </w:rPr>
        <w:t>Europa und Eurasien</w:t>
      </w:r>
      <w:r w:rsidR="00E57316" w:rsidRPr="0098678C">
        <w:rPr>
          <w:rFonts w:ascii="Arial" w:hAnsi="Arial" w:cs="Arial"/>
        </w:rPr>
        <w:t xml:space="preserve"> kämen</w:t>
      </w:r>
      <w:r w:rsidRPr="0098678C">
        <w:rPr>
          <w:rFonts w:ascii="Arial" w:hAnsi="Arial" w:cs="Arial"/>
        </w:rPr>
        <w:t xml:space="preserve">, vor allem wegen der russischen Erdgas-Reserven, </w:t>
      </w:r>
      <w:r w:rsidR="00E57316" w:rsidRPr="0098678C">
        <w:rPr>
          <w:rFonts w:ascii="Arial" w:hAnsi="Arial" w:cs="Arial"/>
        </w:rPr>
        <w:t>57,5</w:t>
      </w:r>
      <w:r w:rsidRPr="0098678C">
        <w:rPr>
          <w:rFonts w:ascii="Arial" w:hAnsi="Arial" w:cs="Arial"/>
        </w:rPr>
        <w:t xml:space="preserve"> Jahre</w:t>
      </w:r>
      <w:r w:rsidR="0098678C" w:rsidRPr="0098678C">
        <w:rPr>
          <w:rFonts w:ascii="Arial" w:hAnsi="Arial" w:cs="Arial"/>
        </w:rPr>
        <w:t xml:space="preserve"> mit ihren Reserven aus – bei der EU allein sind es jedoch lediglich 3,9</w:t>
      </w:r>
      <w:r w:rsidRPr="0098678C">
        <w:rPr>
          <w:rFonts w:ascii="Arial" w:hAnsi="Arial" w:cs="Arial"/>
        </w:rPr>
        <w:t xml:space="preserve"> Jahre. </w:t>
      </w:r>
      <w:r w:rsidR="0098678C" w:rsidRPr="0098678C">
        <w:rPr>
          <w:rFonts w:ascii="Arial" w:hAnsi="Arial" w:cs="Arial"/>
        </w:rPr>
        <w:t>Wie beim Erdöl k</w:t>
      </w:r>
      <w:r w:rsidR="0098678C">
        <w:rPr>
          <w:rFonts w:ascii="Arial" w:hAnsi="Arial" w:cs="Arial"/>
        </w:rPr>
        <w:t xml:space="preserve">önnte </w:t>
      </w:r>
      <w:r w:rsidR="0098678C" w:rsidRPr="0098678C">
        <w:rPr>
          <w:rFonts w:ascii="Arial" w:hAnsi="Arial" w:cs="Arial"/>
        </w:rPr>
        <w:t xml:space="preserve">der Mittlere Osten am längsten </w:t>
      </w:r>
      <w:r w:rsidR="0098678C">
        <w:rPr>
          <w:rFonts w:ascii="Arial" w:hAnsi="Arial" w:cs="Arial"/>
        </w:rPr>
        <w:t xml:space="preserve">auf die </w:t>
      </w:r>
      <w:r w:rsidR="0098678C" w:rsidRPr="0098678C">
        <w:rPr>
          <w:rFonts w:ascii="Arial" w:hAnsi="Arial" w:cs="Arial"/>
        </w:rPr>
        <w:t xml:space="preserve">eigenen Reserven </w:t>
      </w:r>
      <w:r w:rsidR="0098678C">
        <w:rPr>
          <w:rFonts w:ascii="Arial" w:hAnsi="Arial" w:cs="Arial"/>
        </w:rPr>
        <w:t>zurückgreifen</w:t>
      </w:r>
      <w:r w:rsidR="0098678C" w:rsidRPr="0098678C">
        <w:rPr>
          <w:rFonts w:ascii="Arial" w:hAnsi="Arial" w:cs="Arial"/>
        </w:rPr>
        <w:t xml:space="preserve"> – 171,6 Jahre –, </w:t>
      </w:r>
      <w:r w:rsidR="0098678C">
        <w:rPr>
          <w:rFonts w:ascii="Arial" w:hAnsi="Arial" w:cs="Arial"/>
        </w:rPr>
        <w:t xml:space="preserve">bei </w:t>
      </w:r>
      <w:r w:rsidR="0098678C" w:rsidRPr="0098678C">
        <w:rPr>
          <w:rFonts w:ascii="Arial" w:hAnsi="Arial" w:cs="Arial"/>
        </w:rPr>
        <w:t xml:space="preserve">Afrika </w:t>
      </w:r>
      <w:r w:rsidR="0098678C">
        <w:rPr>
          <w:rFonts w:ascii="Arial" w:hAnsi="Arial" w:cs="Arial"/>
        </w:rPr>
        <w:t>wären es</w:t>
      </w:r>
      <w:r w:rsidR="0098678C" w:rsidRPr="0098678C">
        <w:rPr>
          <w:rFonts w:ascii="Arial" w:hAnsi="Arial" w:cs="Arial"/>
        </w:rPr>
        <w:t xml:space="preserve"> immerhin </w:t>
      </w:r>
      <w:r w:rsidR="0098678C">
        <w:rPr>
          <w:rFonts w:ascii="Arial" w:hAnsi="Arial" w:cs="Arial"/>
        </w:rPr>
        <w:t xml:space="preserve">noch </w:t>
      </w:r>
      <w:r w:rsidR="0098678C" w:rsidRPr="0098678C">
        <w:rPr>
          <w:rFonts w:ascii="Arial" w:hAnsi="Arial" w:cs="Arial"/>
        </w:rPr>
        <w:t>117,8 Jahre</w:t>
      </w:r>
      <w:r w:rsidRPr="0098678C">
        <w:rPr>
          <w:rFonts w:ascii="Arial" w:hAnsi="Arial" w:cs="Arial"/>
        </w:rPr>
        <w:t>.</w:t>
      </w:r>
    </w:p>
    <w:p w14:paraId="0CACA21E" w14:textId="77777777" w:rsidR="0018219A" w:rsidRDefault="0018219A">
      <w:pPr>
        <w:rPr>
          <w:rFonts w:ascii="Arial" w:hAnsi="Arial" w:cs="Arial"/>
        </w:rPr>
      </w:pPr>
    </w:p>
    <w:p w14:paraId="153BFFBD" w14:textId="77777777" w:rsidR="002B3D21" w:rsidRDefault="002B3D21">
      <w:pPr>
        <w:rPr>
          <w:rFonts w:ascii="Arial" w:hAnsi="Arial"/>
          <w:color w:val="FF0000"/>
          <w:lang w:val="en-GB"/>
        </w:rPr>
      </w:pPr>
      <w:r>
        <w:rPr>
          <w:rFonts w:ascii="Arial" w:hAnsi="Arial"/>
          <w:color w:val="FF0000"/>
          <w:lang w:val="en-GB"/>
        </w:rPr>
        <w:t>Datenquelle</w:t>
      </w:r>
    </w:p>
    <w:p w14:paraId="39CEBCB2" w14:textId="77777777" w:rsidR="002B3D21" w:rsidRDefault="002B3D21">
      <w:pPr>
        <w:autoSpaceDE w:val="0"/>
        <w:autoSpaceDN w:val="0"/>
        <w:adjustRightInd w:val="0"/>
        <w:rPr>
          <w:rFonts w:ascii="Arial" w:hAnsi="Arial"/>
          <w:lang w:val="en-GB"/>
        </w:rPr>
      </w:pPr>
    </w:p>
    <w:p w14:paraId="4B29CAA3" w14:textId="77777777" w:rsidR="0095749D" w:rsidRDefault="0095749D" w:rsidP="0095749D">
      <w:pPr>
        <w:tabs>
          <w:tab w:val="left" w:pos="3060"/>
        </w:tabs>
        <w:rPr>
          <w:rFonts w:ascii="Arial" w:hAnsi="Arial"/>
          <w:color w:val="000000"/>
          <w:lang w:val="en-GB"/>
        </w:rPr>
      </w:pPr>
      <w:r>
        <w:rPr>
          <w:rFonts w:ascii="Arial" w:hAnsi="Arial"/>
          <w:color w:val="000000"/>
          <w:lang w:val="en-GB"/>
        </w:rPr>
        <w:t>British Petroleum (BP): Statistical Review of World Energy 2015</w:t>
      </w:r>
    </w:p>
    <w:p w14:paraId="1D4F9E1E" w14:textId="77777777" w:rsidR="002B3D21" w:rsidRDefault="002B3D21">
      <w:pPr>
        <w:autoSpaceDE w:val="0"/>
        <w:autoSpaceDN w:val="0"/>
        <w:adjustRightInd w:val="0"/>
        <w:rPr>
          <w:rFonts w:ascii="Arial" w:hAnsi="Arial"/>
          <w:lang w:val="en-GB"/>
        </w:rPr>
      </w:pPr>
    </w:p>
    <w:p w14:paraId="1271A2A4" w14:textId="77777777" w:rsidR="002B3D21" w:rsidRDefault="002B3D21">
      <w:pPr>
        <w:rPr>
          <w:rFonts w:ascii="Arial" w:hAnsi="Arial"/>
          <w:color w:val="FF0000"/>
        </w:rPr>
      </w:pPr>
      <w:r>
        <w:rPr>
          <w:rFonts w:ascii="Arial" w:hAnsi="Arial"/>
          <w:color w:val="FF0000"/>
        </w:rPr>
        <w:t>Begriffe, methodische Anmerkungen oder Lesehilfen</w:t>
      </w:r>
    </w:p>
    <w:p w14:paraId="2C793AD5" w14:textId="77777777" w:rsidR="002B3D21" w:rsidRDefault="002B3D21">
      <w:pPr>
        <w:rPr>
          <w:rFonts w:ascii="Arial" w:hAnsi="Arial"/>
        </w:rPr>
      </w:pPr>
    </w:p>
    <w:p w14:paraId="4C672141" w14:textId="05161097" w:rsidR="005B77D7" w:rsidRDefault="0018219A" w:rsidP="005B77D7">
      <w:pPr>
        <w:autoSpaceDE w:val="0"/>
        <w:autoSpaceDN w:val="0"/>
        <w:adjustRightInd w:val="0"/>
        <w:rPr>
          <w:rFonts w:ascii="Arial" w:hAnsi="Arial" w:cs="Arial"/>
        </w:rPr>
      </w:pPr>
      <w:r>
        <w:rPr>
          <w:rFonts w:ascii="Arial" w:hAnsi="Arial" w:cs="Arial"/>
        </w:rPr>
        <w:t>Z</w:t>
      </w:r>
      <w:r w:rsidR="005B77D7">
        <w:rPr>
          <w:rFonts w:ascii="Arial" w:hAnsi="Arial" w:cs="Arial"/>
        </w:rPr>
        <w:t xml:space="preserve">u den </w:t>
      </w:r>
      <w:r w:rsidR="00323740">
        <w:rPr>
          <w:rStyle w:val="Fett"/>
          <w:rFonts w:ascii="Arial" w:hAnsi="Arial" w:cs="Arial"/>
        </w:rPr>
        <w:t>Erdg</w:t>
      </w:r>
      <w:r w:rsidR="005B77D7">
        <w:rPr>
          <w:rStyle w:val="Fett"/>
          <w:rFonts w:ascii="Arial" w:hAnsi="Arial" w:cs="Arial"/>
        </w:rPr>
        <w:t>as</w:t>
      </w:r>
      <w:r w:rsidR="002714E4">
        <w:rPr>
          <w:rStyle w:val="Fett"/>
          <w:rFonts w:ascii="Arial" w:hAnsi="Arial" w:cs="Arial"/>
        </w:rPr>
        <w:t>-R</w:t>
      </w:r>
      <w:r w:rsidR="005B77D7">
        <w:rPr>
          <w:rStyle w:val="Fett"/>
          <w:rFonts w:ascii="Arial" w:hAnsi="Arial" w:cs="Arial"/>
        </w:rPr>
        <w:t>eserven</w:t>
      </w:r>
      <w:r w:rsidR="005B77D7">
        <w:rPr>
          <w:rFonts w:ascii="Arial" w:hAnsi="Arial" w:cs="Arial"/>
        </w:rPr>
        <w:t xml:space="preserve"> zählen die nachgewiesenen Vorkommen, die unter den derzeitigen wirtschaftlichen und technischen Bedingungen künftig gefördert werden können.</w:t>
      </w:r>
    </w:p>
    <w:p w14:paraId="2B7396A0" w14:textId="77777777" w:rsidR="005B77D7" w:rsidRDefault="005B77D7" w:rsidP="005B77D7">
      <w:pPr>
        <w:autoSpaceDE w:val="0"/>
        <w:autoSpaceDN w:val="0"/>
        <w:adjustRightInd w:val="0"/>
        <w:rPr>
          <w:rFonts w:ascii="Arial" w:hAnsi="Arial" w:cs="Arial"/>
        </w:rPr>
      </w:pPr>
    </w:p>
    <w:p w14:paraId="0C665411" w14:textId="77777777" w:rsidR="005B77D7" w:rsidRDefault="005B77D7" w:rsidP="005B77D7">
      <w:pPr>
        <w:autoSpaceDE w:val="0"/>
        <w:autoSpaceDN w:val="0"/>
        <w:adjustRightInd w:val="0"/>
        <w:rPr>
          <w:rFonts w:ascii="Arial" w:hAnsi="Arial" w:cs="Arial"/>
        </w:rPr>
      </w:pPr>
      <w:r>
        <w:rPr>
          <w:rFonts w:ascii="Arial" w:hAnsi="Arial" w:cs="Arial"/>
        </w:rPr>
        <w:t xml:space="preserve">Von den Reserven sind grundsätzlich die </w:t>
      </w:r>
      <w:r>
        <w:rPr>
          <w:rStyle w:val="Fett"/>
          <w:rFonts w:ascii="Arial" w:hAnsi="Arial" w:cs="Arial"/>
        </w:rPr>
        <w:t>Ressourcen</w:t>
      </w:r>
      <w:r>
        <w:rPr>
          <w:rFonts w:ascii="Arial" w:hAnsi="Arial" w:cs="Arial"/>
        </w:rPr>
        <w:t xml:space="preserve"> zu unterscheiden. Ressourcen sind zum einen die nachgewiesenen, aber derzeit technisch und/oder wirtschaftlich nicht gewinnbaren Mengen an Energierohstoffen, zum anderen die nicht nachgewiesenen, aber geologisch möglichen, künftig gewinnbaren Mengen an Energierohstoffen.</w:t>
      </w:r>
    </w:p>
    <w:p w14:paraId="4CB3BEC8" w14:textId="77777777" w:rsidR="005B77D7" w:rsidRDefault="005B77D7" w:rsidP="005B77D7">
      <w:pPr>
        <w:autoSpaceDE w:val="0"/>
        <w:autoSpaceDN w:val="0"/>
        <w:adjustRightInd w:val="0"/>
        <w:rPr>
          <w:rFonts w:ascii="Arial" w:hAnsi="Arial" w:cs="Arial"/>
        </w:rPr>
      </w:pPr>
    </w:p>
    <w:p w14:paraId="26AAD7BF" w14:textId="77777777" w:rsidR="00E258ED" w:rsidRDefault="00E258ED" w:rsidP="00E258ED">
      <w:pPr>
        <w:rPr>
          <w:rFonts w:ascii="Arial" w:hAnsi="Arial" w:cs="Arial"/>
        </w:rPr>
      </w:pPr>
      <w:r w:rsidRPr="002E1896">
        <w:rPr>
          <w:rFonts w:ascii="Arial" w:hAnsi="Arial" w:cs="Arial"/>
        </w:rPr>
        <w:t xml:space="preserve">OECD – Organisation for Economic Co-operation and Development (Organisation für </w:t>
      </w:r>
      <w:r w:rsidRPr="00854CAB">
        <w:rPr>
          <w:rFonts w:ascii="Arial" w:hAnsi="Arial" w:cs="Arial"/>
        </w:rPr>
        <w:t xml:space="preserve">wirtschaftliche </w:t>
      </w:r>
      <w:r>
        <w:rPr>
          <w:rFonts w:ascii="Arial" w:hAnsi="Arial" w:cs="Arial"/>
        </w:rPr>
        <w:t>Zusammenarbeit und Entwicklung)</w:t>
      </w:r>
    </w:p>
    <w:p w14:paraId="0323931B" w14:textId="77777777" w:rsidR="00E258ED" w:rsidRDefault="00E258ED" w:rsidP="00E258ED">
      <w:pPr>
        <w:rPr>
          <w:rFonts w:ascii="Arial" w:hAnsi="Arial" w:cs="Arial"/>
        </w:rPr>
      </w:pPr>
    </w:p>
    <w:p w14:paraId="0E158AB3" w14:textId="77777777" w:rsidR="0018219A" w:rsidRDefault="006A2EB2" w:rsidP="006A2EB2">
      <w:pPr>
        <w:rPr>
          <w:rFonts w:ascii="Arial" w:hAnsi="Arial" w:cs="Arial"/>
        </w:rPr>
      </w:pPr>
      <w:r w:rsidRPr="008B6596">
        <w:rPr>
          <w:rFonts w:ascii="Arial" w:hAnsi="Arial" w:cs="Arial"/>
        </w:rPr>
        <w:t xml:space="preserve">Hydraulic Fracturing (deutsch: hydraulische Risserzeugung), kurz auch </w:t>
      </w:r>
      <w:r w:rsidRPr="003754A3">
        <w:rPr>
          <w:rFonts w:ascii="Arial" w:hAnsi="Arial" w:cs="Arial"/>
          <w:b/>
        </w:rPr>
        <w:t>Fracking</w:t>
      </w:r>
      <w:r w:rsidRPr="008B6596">
        <w:rPr>
          <w:rFonts w:ascii="Arial" w:hAnsi="Arial" w:cs="Arial"/>
        </w:rPr>
        <w:t xml:space="preserve"> genannt, ist eine seit Jahrzehnten bekannte, aber erst </w:t>
      </w:r>
      <w:r>
        <w:rPr>
          <w:rFonts w:ascii="Arial" w:hAnsi="Arial" w:cs="Arial"/>
        </w:rPr>
        <w:t xml:space="preserve">seit wenigen Jahren </w:t>
      </w:r>
      <w:r w:rsidRPr="008B6596">
        <w:rPr>
          <w:rFonts w:ascii="Arial" w:hAnsi="Arial" w:cs="Arial"/>
        </w:rPr>
        <w:t>in großem Umfang angewandte Technik zur Erschließung unterirdischer Lagerstätten. Sie wird angewendet, um die Durchlässigkeit von Gesteinen zu steigern und dadurch die Förderung von Erdgas, Erdöl und geothermischer Energie zu verbessern oder in manchen Fällen überhaupt erst zu ermöglichen. Dazu wird das Gestein durch Einpressen einer Flüssigkeit unter hohem Druck aufgebrochen. Die durch Fracking technisch förderbaren nicht-konventionellen Öl- und Gasressourcen sind regional anders verteilt als konventionelle Öl- und Gasressourcen.</w:t>
      </w:r>
    </w:p>
    <w:p w14:paraId="45082D8F" w14:textId="77777777" w:rsidR="0018219A" w:rsidRDefault="0018219A" w:rsidP="006A2EB2">
      <w:pPr>
        <w:rPr>
          <w:rFonts w:ascii="Arial" w:hAnsi="Arial" w:cs="Arial"/>
        </w:rPr>
      </w:pPr>
    </w:p>
    <w:p w14:paraId="354925CD" w14:textId="15F915E4" w:rsidR="00E258ED" w:rsidRDefault="00E258ED" w:rsidP="00E258ED">
      <w:pPr>
        <w:rPr>
          <w:rFonts w:ascii="Arial" w:hAnsi="Arial"/>
        </w:rPr>
      </w:pPr>
      <w:r>
        <w:rPr>
          <w:rFonts w:ascii="Arial" w:hAnsi="Arial"/>
        </w:rPr>
        <w:t>Informationen zur</w:t>
      </w:r>
      <w:r>
        <w:rPr>
          <w:rFonts w:ascii="Arial" w:hAnsi="Arial" w:cs="Arial"/>
          <w:b/>
        </w:rPr>
        <w:t xml:space="preserve"> Endlichkeit des Rohstoffs Erdöl </w:t>
      </w:r>
      <w:r>
        <w:rPr>
          <w:rFonts w:ascii="Arial" w:hAnsi="Arial"/>
        </w:rPr>
        <w:t>finden Sie hier</w:t>
      </w:r>
      <w:r w:rsidR="00F23F2E">
        <w:rPr>
          <w:rFonts w:ascii="Arial" w:hAnsi="Arial"/>
        </w:rPr>
        <w:t>:</w:t>
      </w:r>
    </w:p>
    <w:p w14:paraId="523BF659" w14:textId="77777777" w:rsidR="00E258ED" w:rsidRPr="005C2BD9" w:rsidRDefault="00493D94" w:rsidP="00E258ED">
      <w:pPr>
        <w:rPr>
          <w:rFonts w:ascii="Arial" w:hAnsi="Arial"/>
        </w:rPr>
      </w:pPr>
      <w:hyperlink r:id="rId5" w:history="1">
        <w:r w:rsidR="00E258ED" w:rsidRPr="005C2BD9">
          <w:rPr>
            <w:rStyle w:val="Hyperlink"/>
            <w:rFonts w:ascii="Arial" w:hAnsi="Arial"/>
          </w:rPr>
          <w:t>http://www.bpb.de/wissen/W3QYQT</w:t>
        </w:r>
      </w:hyperlink>
    </w:p>
    <w:p w14:paraId="61669C1B" w14:textId="77777777" w:rsidR="00E258ED" w:rsidRDefault="00E258ED" w:rsidP="0095749D">
      <w:pPr>
        <w:rPr>
          <w:rFonts w:ascii="Arial" w:hAnsi="Arial"/>
          <w:sz w:val="20"/>
          <w:szCs w:val="20"/>
        </w:rPr>
      </w:pPr>
    </w:p>
    <w:p w14:paraId="387FA79A" w14:textId="77777777" w:rsidR="0095749D" w:rsidRDefault="0095749D" w:rsidP="0095749D">
      <w:pPr>
        <w:rPr>
          <w:rFonts w:ascii="Arial" w:hAnsi="Arial"/>
          <w:sz w:val="20"/>
          <w:szCs w:val="20"/>
        </w:rPr>
      </w:pPr>
      <w:r>
        <w:rPr>
          <w:rFonts w:ascii="Arial" w:hAnsi="Arial"/>
          <w:sz w:val="20"/>
          <w:szCs w:val="20"/>
        </w:rPr>
        <w:t xml:space="preserve">Dieser Text ist unter der Creative Commons Lizenz </w:t>
      </w:r>
      <w:hyperlink r:id="rId6" w:tgtFrame="extern" w:history="1">
        <w:r w:rsidRPr="00DB72F5">
          <w:rPr>
            <w:rFonts w:ascii="Arial" w:hAnsi="Arial"/>
            <w:sz w:val="20"/>
            <w:szCs w:val="20"/>
          </w:rPr>
          <w:t>by-nc-nd/3.0/de/</w:t>
        </w:r>
      </w:hyperlink>
      <w:r>
        <w:rPr>
          <w:rFonts w:ascii="Arial" w:hAnsi="Arial"/>
          <w:sz w:val="20"/>
          <w:szCs w:val="20"/>
        </w:rPr>
        <w:t xml:space="preserve"> veröffentlicht. </w:t>
      </w:r>
    </w:p>
    <w:p w14:paraId="144D9916" w14:textId="3FE87B17" w:rsidR="0095749D" w:rsidRDefault="0095749D" w:rsidP="0095749D">
      <w:pPr>
        <w:rPr>
          <w:rFonts w:ascii="Arial" w:hAnsi="Arial"/>
          <w:sz w:val="20"/>
          <w:szCs w:val="20"/>
        </w:rPr>
      </w:pPr>
      <w:r>
        <w:rPr>
          <w:rFonts w:ascii="Arial" w:hAnsi="Arial"/>
          <w:sz w:val="20"/>
          <w:szCs w:val="20"/>
        </w:rPr>
        <w:t>Bundeszentrale für politische Bildung 201</w:t>
      </w:r>
      <w:r w:rsidR="00097B9F">
        <w:rPr>
          <w:rFonts w:ascii="Arial" w:hAnsi="Arial"/>
          <w:sz w:val="20"/>
          <w:szCs w:val="20"/>
        </w:rPr>
        <w:t>6</w:t>
      </w:r>
      <w:r>
        <w:rPr>
          <w:rFonts w:ascii="Arial" w:hAnsi="Arial"/>
          <w:sz w:val="20"/>
          <w:szCs w:val="20"/>
        </w:rPr>
        <w:t xml:space="preserve"> | </w:t>
      </w:r>
      <w:hyperlink r:id="rId7" w:history="1">
        <w:r w:rsidRPr="00DB72F5">
          <w:rPr>
            <w:rFonts w:ascii="Arial" w:hAnsi="Arial"/>
            <w:sz w:val="20"/>
            <w:szCs w:val="20"/>
          </w:rPr>
          <w:t>www.bpb.de</w:t>
        </w:r>
      </w:hyperlink>
    </w:p>
    <w:sectPr w:rsidR="0095749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89B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62"/>
    <w:rsid w:val="00022F08"/>
    <w:rsid w:val="00097B9F"/>
    <w:rsid w:val="000F78F2"/>
    <w:rsid w:val="00113779"/>
    <w:rsid w:val="00170854"/>
    <w:rsid w:val="0018219A"/>
    <w:rsid w:val="002714E4"/>
    <w:rsid w:val="002B3D21"/>
    <w:rsid w:val="00323740"/>
    <w:rsid w:val="0036110E"/>
    <w:rsid w:val="00365929"/>
    <w:rsid w:val="00493D94"/>
    <w:rsid w:val="004D5D72"/>
    <w:rsid w:val="00503350"/>
    <w:rsid w:val="00562570"/>
    <w:rsid w:val="005A1FDB"/>
    <w:rsid w:val="005B77D7"/>
    <w:rsid w:val="005C2BD9"/>
    <w:rsid w:val="005F45AC"/>
    <w:rsid w:val="00613B30"/>
    <w:rsid w:val="006313DC"/>
    <w:rsid w:val="00677728"/>
    <w:rsid w:val="006A2EB2"/>
    <w:rsid w:val="007E2B99"/>
    <w:rsid w:val="00821A20"/>
    <w:rsid w:val="00935F26"/>
    <w:rsid w:val="0095749D"/>
    <w:rsid w:val="0098678C"/>
    <w:rsid w:val="00A13550"/>
    <w:rsid w:val="00A24562"/>
    <w:rsid w:val="00A81B8A"/>
    <w:rsid w:val="00AB386B"/>
    <w:rsid w:val="00AC4EB7"/>
    <w:rsid w:val="00AF47EC"/>
    <w:rsid w:val="00B91589"/>
    <w:rsid w:val="00BA2296"/>
    <w:rsid w:val="00BC3FFA"/>
    <w:rsid w:val="00C33D8A"/>
    <w:rsid w:val="00C624EC"/>
    <w:rsid w:val="00D24A7B"/>
    <w:rsid w:val="00D53AC1"/>
    <w:rsid w:val="00DA3B13"/>
    <w:rsid w:val="00E258ED"/>
    <w:rsid w:val="00E33A12"/>
    <w:rsid w:val="00E57316"/>
    <w:rsid w:val="00E83CA9"/>
    <w:rsid w:val="00EB1A27"/>
    <w:rsid w:val="00F23F2E"/>
    <w:rsid w:val="00F663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D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character" w:styleId="Fett">
    <w:name w:val="Strong"/>
    <w:basedOn w:val="Absatz-Standardschriftart"/>
    <w:uiPriority w:val="22"/>
    <w:qFormat/>
    <w:rsid w:val="005B77D7"/>
    <w:rPr>
      <w:b/>
      <w:bCs/>
    </w:rPr>
  </w:style>
  <w:style w:type="character" w:styleId="Hervorhebung">
    <w:name w:val="Emphasis"/>
    <w:basedOn w:val="Absatz-Standardschriftart"/>
    <w:uiPriority w:val="20"/>
    <w:qFormat/>
    <w:rsid w:val="005B77D7"/>
    <w:rPr>
      <w:i/>
      <w:iCs/>
    </w:rPr>
  </w:style>
  <w:style w:type="paragraph" w:styleId="Kommentarthema">
    <w:name w:val="annotation subject"/>
    <w:basedOn w:val="Kommentartext"/>
    <w:next w:val="Kommentartext"/>
    <w:link w:val="KommentarthemaZchn"/>
    <w:uiPriority w:val="99"/>
    <w:semiHidden/>
    <w:unhideWhenUsed/>
    <w:rsid w:val="00365929"/>
    <w:rPr>
      <w:b/>
      <w:bCs/>
      <w:szCs w:val="20"/>
    </w:rPr>
  </w:style>
  <w:style w:type="character" w:customStyle="1" w:styleId="KommentartextZchn">
    <w:name w:val="Kommentartext Zchn"/>
    <w:basedOn w:val="Absatz-Standardschriftart"/>
    <w:link w:val="Kommentartext"/>
    <w:semiHidden/>
    <w:rsid w:val="00365929"/>
    <w:rPr>
      <w:szCs w:val="24"/>
    </w:rPr>
  </w:style>
  <w:style w:type="character" w:customStyle="1" w:styleId="KommentarthemaZchn">
    <w:name w:val="Kommentarthema Zchn"/>
    <w:basedOn w:val="KommentartextZchn"/>
    <w:link w:val="Kommentarthema"/>
    <w:uiPriority w:val="99"/>
    <w:semiHidden/>
    <w:rsid w:val="00365929"/>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character" w:styleId="Fett">
    <w:name w:val="Strong"/>
    <w:basedOn w:val="Absatz-Standardschriftart"/>
    <w:uiPriority w:val="22"/>
    <w:qFormat/>
    <w:rsid w:val="005B77D7"/>
    <w:rPr>
      <w:b/>
      <w:bCs/>
    </w:rPr>
  </w:style>
  <w:style w:type="character" w:styleId="Hervorhebung">
    <w:name w:val="Emphasis"/>
    <w:basedOn w:val="Absatz-Standardschriftart"/>
    <w:uiPriority w:val="20"/>
    <w:qFormat/>
    <w:rsid w:val="005B77D7"/>
    <w:rPr>
      <w:i/>
      <w:iCs/>
    </w:rPr>
  </w:style>
  <w:style w:type="paragraph" w:styleId="Kommentarthema">
    <w:name w:val="annotation subject"/>
    <w:basedOn w:val="Kommentartext"/>
    <w:next w:val="Kommentartext"/>
    <w:link w:val="KommentarthemaZchn"/>
    <w:uiPriority w:val="99"/>
    <w:semiHidden/>
    <w:unhideWhenUsed/>
    <w:rsid w:val="00365929"/>
    <w:rPr>
      <w:b/>
      <w:bCs/>
      <w:szCs w:val="20"/>
    </w:rPr>
  </w:style>
  <w:style w:type="character" w:customStyle="1" w:styleId="KommentartextZchn">
    <w:name w:val="Kommentartext Zchn"/>
    <w:basedOn w:val="Absatz-Standardschriftart"/>
    <w:link w:val="Kommentartext"/>
    <w:semiHidden/>
    <w:rsid w:val="00365929"/>
    <w:rPr>
      <w:szCs w:val="24"/>
    </w:rPr>
  </w:style>
  <w:style w:type="character" w:customStyle="1" w:styleId="KommentarthemaZchn">
    <w:name w:val="Kommentarthema Zchn"/>
    <w:basedOn w:val="KommentartextZchn"/>
    <w:link w:val="Kommentarthema"/>
    <w:uiPriority w:val="99"/>
    <w:semiHidden/>
    <w:rsid w:val="00365929"/>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8229">
      <w:bodyDiv w:val="1"/>
      <w:marLeft w:val="0"/>
      <w:marRight w:val="0"/>
      <w:marTop w:val="0"/>
      <w:marBottom w:val="0"/>
      <w:divBdr>
        <w:top w:val="none" w:sz="0" w:space="0" w:color="auto"/>
        <w:left w:val="none" w:sz="0" w:space="0" w:color="auto"/>
        <w:bottom w:val="none" w:sz="0" w:space="0" w:color="auto"/>
        <w:right w:val="none" w:sz="0" w:space="0" w:color="auto"/>
      </w:divBdr>
    </w:div>
    <w:div w:id="804587694">
      <w:bodyDiv w:val="1"/>
      <w:marLeft w:val="0"/>
      <w:marRight w:val="0"/>
      <w:marTop w:val="0"/>
      <w:marBottom w:val="0"/>
      <w:divBdr>
        <w:top w:val="none" w:sz="0" w:space="0" w:color="auto"/>
        <w:left w:val="none" w:sz="0" w:space="0" w:color="auto"/>
        <w:bottom w:val="none" w:sz="0" w:space="0" w:color="auto"/>
        <w:right w:val="none" w:sz="0" w:space="0" w:color="auto"/>
      </w:divBdr>
    </w:div>
    <w:div w:id="12172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www.bpb.de/wissen/W3QYQT"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2016-08-25T17:03:00Z</dcterms:created>
  <dcterms:modified xsi:type="dcterms:W3CDTF">2016-08-25T17:03:00Z</dcterms:modified>
</cp:coreProperties>
</file>