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A2" w:rsidRPr="002363A2" w:rsidRDefault="002363A2">
      <w:pPr>
        <w:rPr>
          <w:rFonts w:ascii="Arial" w:hAnsi="Arial" w:cs="Arial"/>
          <w:b/>
        </w:rPr>
      </w:pPr>
      <w:bookmarkStart w:id="0" w:name="_GoBack"/>
      <w:bookmarkEnd w:id="0"/>
      <w:r>
        <w:rPr>
          <w:rFonts w:ascii="Arial" w:hAnsi="Arial" w:cs="Arial"/>
          <w:b/>
        </w:rPr>
        <w:t>Weltweit ist Kohle der zweitwichtigste Energieträger – knapp ein Drittel des P</w:t>
      </w:r>
      <w:r w:rsidRPr="002363A2">
        <w:rPr>
          <w:rFonts w:ascii="Arial" w:hAnsi="Arial" w:cs="Arial"/>
          <w:b/>
        </w:rPr>
        <w:t xml:space="preserve">rimärenergie-Verbrauchs entfällt auf Kohle (30,0 Prozent). Die Region Asien-Pazifik ist dabei </w:t>
      </w:r>
      <w:r w:rsidR="005C349E">
        <w:rPr>
          <w:rFonts w:ascii="Arial" w:hAnsi="Arial" w:cs="Arial"/>
          <w:b/>
        </w:rPr>
        <w:t xml:space="preserve">mit Abstand </w:t>
      </w:r>
      <w:r w:rsidRPr="002363A2">
        <w:rPr>
          <w:rFonts w:ascii="Arial" w:hAnsi="Arial" w:cs="Arial"/>
          <w:b/>
        </w:rPr>
        <w:t xml:space="preserve">der größte Verbraucher. Zudem ist – bezogen auf den Energiemix – in keiner Region die Bedeutung der Kohle höher. Im Gegensatz zu den </w:t>
      </w:r>
      <w:r w:rsidR="005C349E">
        <w:rPr>
          <w:rFonts w:ascii="Arial" w:hAnsi="Arial" w:cs="Arial"/>
          <w:b/>
        </w:rPr>
        <w:t xml:space="preserve">seit 1980 </w:t>
      </w:r>
      <w:r w:rsidR="005C349E" w:rsidRPr="002363A2">
        <w:rPr>
          <w:rFonts w:ascii="Arial" w:hAnsi="Arial" w:cs="Arial"/>
          <w:b/>
        </w:rPr>
        <w:t xml:space="preserve">weltweit </w:t>
      </w:r>
      <w:r w:rsidR="005C349E">
        <w:rPr>
          <w:rFonts w:ascii="Arial" w:hAnsi="Arial" w:cs="Arial"/>
          <w:b/>
        </w:rPr>
        <w:t xml:space="preserve">steigenden </w:t>
      </w:r>
      <w:r w:rsidRPr="002363A2">
        <w:rPr>
          <w:rFonts w:ascii="Arial" w:hAnsi="Arial" w:cs="Arial"/>
          <w:b/>
        </w:rPr>
        <w:t xml:space="preserve">Öl- und Gasreserven reduzierten sich die Kohle-Reserven zwischen 1980 und 2014 (minus 14,2 Prozent). 2014 entfiel </w:t>
      </w:r>
      <w:r w:rsidR="005C349E">
        <w:rPr>
          <w:rFonts w:ascii="Arial" w:hAnsi="Arial" w:cs="Arial"/>
          <w:b/>
        </w:rPr>
        <w:t xml:space="preserve">jeweils </w:t>
      </w:r>
      <w:r w:rsidRPr="002363A2">
        <w:rPr>
          <w:rFonts w:ascii="Arial" w:hAnsi="Arial" w:cs="Arial"/>
          <w:b/>
        </w:rPr>
        <w:t>rund ein Drittel der Kohle-Reserven auf Europa und Eurasien sowie auf den asiatisch-pazifischen Raum</w:t>
      </w:r>
      <w:r w:rsidR="005C349E">
        <w:rPr>
          <w:rFonts w:ascii="Arial" w:hAnsi="Arial" w:cs="Arial"/>
          <w:b/>
        </w:rPr>
        <w:t xml:space="preserve">. </w:t>
      </w:r>
      <w:r w:rsidR="005C349E" w:rsidRPr="005C349E">
        <w:rPr>
          <w:rFonts w:ascii="Arial" w:hAnsi="Arial" w:cs="Arial"/>
          <w:b/>
        </w:rPr>
        <w:t>Nordamerika stand mit einem Anteil von 27,5 Prozent an dritter Stelle.</w:t>
      </w:r>
    </w:p>
    <w:p w:rsidR="002363A2" w:rsidRDefault="002363A2">
      <w:pPr>
        <w:rPr>
          <w:rFonts w:ascii="Arial" w:hAnsi="Arial" w:cs="Arial"/>
          <w:b/>
        </w:rPr>
      </w:pPr>
    </w:p>
    <w:p w:rsidR="00DB21C2" w:rsidRDefault="009100C3">
      <w:pPr>
        <w:rPr>
          <w:rFonts w:ascii="Arial" w:hAnsi="Arial"/>
          <w:color w:val="FF0000"/>
        </w:rPr>
      </w:pPr>
      <w:r>
        <w:rPr>
          <w:rFonts w:ascii="Arial" w:hAnsi="Arial"/>
          <w:color w:val="FF0000"/>
        </w:rPr>
        <w:t>Fakten</w:t>
      </w:r>
    </w:p>
    <w:p w:rsidR="003704E0" w:rsidRDefault="003704E0">
      <w:pPr>
        <w:rPr>
          <w:rFonts w:ascii="Arial" w:hAnsi="Arial"/>
        </w:rPr>
      </w:pPr>
    </w:p>
    <w:p w:rsidR="00DB21C2" w:rsidRDefault="00DB21C2">
      <w:pPr>
        <w:rPr>
          <w:rFonts w:ascii="Arial" w:hAnsi="Arial" w:cs="Arial"/>
        </w:rPr>
      </w:pPr>
      <w:r w:rsidRPr="00BB0E69">
        <w:rPr>
          <w:rFonts w:ascii="Arial" w:hAnsi="Arial" w:cs="Arial"/>
        </w:rPr>
        <w:t>Nach Angaben des Energiekonzerns British Petroleum (BP) stieg der weltweite Verbrauch von Primärenergie zwischen 1980 und 20</w:t>
      </w:r>
      <w:r w:rsidR="00D63558" w:rsidRPr="00BB0E69">
        <w:rPr>
          <w:rFonts w:ascii="Arial" w:hAnsi="Arial" w:cs="Arial"/>
        </w:rPr>
        <w:t>14</w:t>
      </w:r>
      <w:r w:rsidRPr="00BB0E69">
        <w:rPr>
          <w:rFonts w:ascii="Arial" w:hAnsi="Arial" w:cs="Arial"/>
        </w:rPr>
        <w:t xml:space="preserve"> von 6.6</w:t>
      </w:r>
      <w:r w:rsidR="00D63558" w:rsidRPr="00BB0E69">
        <w:rPr>
          <w:rFonts w:ascii="Arial" w:hAnsi="Arial" w:cs="Arial"/>
        </w:rPr>
        <w:t>31</w:t>
      </w:r>
      <w:r w:rsidRPr="00BB0E69">
        <w:rPr>
          <w:rFonts w:ascii="Arial" w:hAnsi="Arial" w:cs="Arial"/>
        </w:rPr>
        <w:t xml:space="preserve"> auf</w:t>
      </w:r>
      <w:r w:rsidR="00BB0E69" w:rsidRPr="00BB0E69">
        <w:rPr>
          <w:rFonts w:ascii="Arial" w:hAnsi="Arial" w:cs="Arial"/>
        </w:rPr>
        <w:t xml:space="preserve"> </w:t>
      </w:r>
      <w:r w:rsidRPr="00BB0E69">
        <w:rPr>
          <w:rFonts w:ascii="Arial" w:hAnsi="Arial" w:cs="Arial"/>
        </w:rPr>
        <w:t>1</w:t>
      </w:r>
      <w:r w:rsidR="00D63558" w:rsidRPr="00BB0E69">
        <w:rPr>
          <w:rFonts w:ascii="Arial" w:hAnsi="Arial" w:cs="Arial"/>
        </w:rPr>
        <w:t>2</w:t>
      </w:r>
      <w:r w:rsidRPr="00BB0E69">
        <w:rPr>
          <w:rFonts w:ascii="Arial" w:hAnsi="Arial" w:cs="Arial"/>
        </w:rPr>
        <w:t>.</w:t>
      </w:r>
      <w:r w:rsidR="00D63558" w:rsidRPr="00BB0E69">
        <w:rPr>
          <w:rFonts w:ascii="Arial" w:hAnsi="Arial" w:cs="Arial"/>
        </w:rPr>
        <w:t>928</w:t>
      </w:r>
      <w:r w:rsidRPr="00BB0E69">
        <w:rPr>
          <w:rFonts w:ascii="Arial" w:hAnsi="Arial" w:cs="Arial"/>
        </w:rPr>
        <w:t xml:space="preserve"> Millionen Tonnen Öläquivalent. Nach Öl ist Kohle dabei der wichtigste Energieträger – noch vor Erdgas, Wasserkraft und Kernenergie. Im Jahr 20</w:t>
      </w:r>
      <w:r w:rsidR="00D63558" w:rsidRPr="00BB0E69">
        <w:rPr>
          <w:rFonts w:ascii="Arial" w:hAnsi="Arial" w:cs="Arial"/>
        </w:rPr>
        <w:t>14</w:t>
      </w:r>
      <w:r w:rsidRPr="00BB0E69">
        <w:rPr>
          <w:rFonts w:ascii="Arial" w:hAnsi="Arial" w:cs="Arial"/>
        </w:rPr>
        <w:t xml:space="preserve"> hatte Kohle einen Anteil von </w:t>
      </w:r>
      <w:r w:rsidR="00D63558" w:rsidRPr="00BB0E69">
        <w:rPr>
          <w:rFonts w:ascii="Arial" w:hAnsi="Arial" w:cs="Arial"/>
        </w:rPr>
        <w:t>30</w:t>
      </w:r>
      <w:r w:rsidRPr="00BB0E69">
        <w:rPr>
          <w:rFonts w:ascii="Arial" w:hAnsi="Arial" w:cs="Arial"/>
        </w:rPr>
        <w:t>,</w:t>
      </w:r>
      <w:r w:rsidR="00D63558" w:rsidRPr="00BB0E69">
        <w:rPr>
          <w:rFonts w:ascii="Arial" w:hAnsi="Arial" w:cs="Arial"/>
        </w:rPr>
        <w:t>0</w:t>
      </w:r>
      <w:r w:rsidRPr="00BB0E69">
        <w:rPr>
          <w:rFonts w:ascii="Arial" w:hAnsi="Arial" w:cs="Arial"/>
        </w:rPr>
        <w:t xml:space="preserve"> Prozent am gesamten Primärenergie-Verbrauch.</w:t>
      </w:r>
    </w:p>
    <w:p w:rsidR="007D59D8" w:rsidRDefault="007D59D8">
      <w:pPr>
        <w:rPr>
          <w:rFonts w:ascii="Arial" w:hAnsi="Arial" w:cs="Arial"/>
        </w:rPr>
      </w:pPr>
    </w:p>
    <w:p w:rsidR="00DB21C2" w:rsidRDefault="00DB21C2">
      <w:pPr>
        <w:rPr>
          <w:rFonts w:ascii="Arial" w:hAnsi="Arial" w:cs="Arial"/>
        </w:rPr>
      </w:pPr>
      <w:r w:rsidRPr="00BB0E69">
        <w:rPr>
          <w:rFonts w:ascii="Arial" w:hAnsi="Arial" w:cs="Arial"/>
        </w:rPr>
        <w:t>Regional ist die Bedeutung der Kohle teilweise noch</w:t>
      </w:r>
      <w:r w:rsidR="00BB0E69" w:rsidRPr="00BB0E69">
        <w:rPr>
          <w:rFonts w:ascii="Arial" w:hAnsi="Arial" w:cs="Arial"/>
        </w:rPr>
        <w:t xml:space="preserve"> deutlich</w:t>
      </w:r>
      <w:r w:rsidRPr="00BB0E69">
        <w:rPr>
          <w:rFonts w:ascii="Arial" w:hAnsi="Arial" w:cs="Arial"/>
        </w:rPr>
        <w:t xml:space="preserve"> höher: Die Region Asien-Pazifik deckte 20</w:t>
      </w:r>
      <w:r w:rsidR="00D63558" w:rsidRPr="00BB0E69">
        <w:rPr>
          <w:rFonts w:ascii="Arial" w:hAnsi="Arial" w:cs="Arial"/>
        </w:rPr>
        <w:t>14</w:t>
      </w:r>
      <w:r w:rsidRPr="00BB0E69">
        <w:rPr>
          <w:rFonts w:ascii="Arial" w:hAnsi="Arial" w:cs="Arial"/>
        </w:rPr>
        <w:t xml:space="preserve"> mehr als die Hälfte ihres Primärenergiebedarfs durch Kohle ab (5</w:t>
      </w:r>
      <w:r w:rsidR="00D63558" w:rsidRPr="00BB0E69">
        <w:rPr>
          <w:rFonts w:ascii="Arial" w:hAnsi="Arial" w:cs="Arial"/>
        </w:rPr>
        <w:t>2</w:t>
      </w:r>
      <w:r w:rsidRPr="00BB0E69">
        <w:rPr>
          <w:rFonts w:ascii="Arial" w:hAnsi="Arial" w:cs="Arial"/>
        </w:rPr>
        <w:t xml:space="preserve">,0 Prozent). In keiner anderen Region war der Anteil eines einzelnen Energieträgers höher. Zudem lag der Anteil der Region Asien-Pazifik am weltweiten Kohleverbrauch bei </w:t>
      </w:r>
      <w:r w:rsidR="00D63558" w:rsidRPr="00BB0E69">
        <w:rPr>
          <w:rFonts w:ascii="Arial" w:hAnsi="Arial" w:cs="Arial"/>
        </w:rPr>
        <w:t>71</w:t>
      </w:r>
      <w:r w:rsidRPr="00BB0E69">
        <w:rPr>
          <w:rFonts w:ascii="Arial" w:hAnsi="Arial" w:cs="Arial"/>
        </w:rPr>
        <w:t xml:space="preserve">,5 Prozent – keine andere Region hat einen vergleichbar hohen Anteil am Verbrauch eines einzelnen Energieträgers. </w:t>
      </w:r>
      <w:r w:rsidRPr="003E6942">
        <w:rPr>
          <w:rFonts w:ascii="Arial" w:hAnsi="Arial" w:cs="Arial"/>
        </w:rPr>
        <w:t>Allein China war im Jahr 20</w:t>
      </w:r>
      <w:r w:rsidR="00D63558" w:rsidRPr="003E6942">
        <w:rPr>
          <w:rFonts w:ascii="Arial" w:hAnsi="Arial" w:cs="Arial"/>
        </w:rPr>
        <w:t>14</w:t>
      </w:r>
      <w:r w:rsidRPr="003E6942">
        <w:rPr>
          <w:rFonts w:ascii="Arial" w:hAnsi="Arial" w:cs="Arial"/>
        </w:rPr>
        <w:t xml:space="preserve"> für </w:t>
      </w:r>
      <w:r w:rsidR="003142C3" w:rsidRPr="003E6942">
        <w:rPr>
          <w:rFonts w:ascii="Arial" w:hAnsi="Arial" w:cs="Arial"/>
        </w:rPr>
        <w:t>50</w:t>
      </w:r>
      <w:r w:rsidRPr="003E6942">
        <w:rPr>
          <w:rFonts w:ascii="Arial" w:hAnsi="Arial" w:cs="Arial"/>
        </w:rPr>
        <w:t>,</w:t>
      </w:r>
      <w:r w:rsidR="003142C3" w:rsidRPr="003E6942">
        <w:rPr>
          <w:rFonts w:ascii="Arial" w:hAnsi="Arial" w:cs="Arial"/>
        </w:rPr>
        <w:t>8</w:t>
      </w:r>
      <w:r w:rsidRPr="003E6942">
        <w:rPr>
          <w:rFonts w:ascii="Arial" w:hAnsi="Arial" w:cs="Arial"/>
        </w:rPr>
        <w:t xml:space="preserve"> Prozent des weltweiten Kohleverbrauchs verantwortlich. Mit </w:t>
      </w:r>
      <w:r w:rsidR="003142C3" w:rsidRPr="003E6942">
        <w:rPr>
          <w:rFonts w:ascii="Arial" w:hAnsi="Arial" w:cs="Arial"/>
        </w:rPr>
        <w:t>weit</w:t>
      </w:r>
      <w:r w:rsidRPr="003E6942">
        <w:rPr>
          <w:rFonts w:ascii="Arial" w:hAnsi="Arial" w:cs="Arial"/>
        </w:rPr>
        <w:t>em Abstand folgten die USA (1</w:t>
      </w:r>
      <w:r w:rsidR="003142C3" w:rsidRPr="003E6942">
        <w:rPr>
          <w:rFonts w:ascii="Arial" w:hAnsi="Arial" w:cs="Arial"/>
        </w:rPr>
        <w:t>1</w:t>
      </w:r>
      <w:r w:rsidRPr="003E6942">
        <w:rPr>
          <w:rFonts w:ascii="Arial" w:hAnsi="Arial" w:cs="Arial"/>
        </w:rPr>
        <w:t>,</w:t>
      </w:r>
      <w:r w:rsidR="003142C3" w:rsidRPr="003E6942">
        <w:rPr>
          <w:rFonts w:ascii="Arial" w:hAnsi="Arial" w:cs="Arial"/>
        </w:rPr>
        <w:t>7</w:t>
      </w:r>
      <w:r w:rsidRPr="003E6942">
        <w:rPr>
          <w:rFonts w:ascii="Arial" w:hAnsi="Arial" w:cs="Arial"/>
        </w:rPr>
        <w:t xml:space="preserve"> Prozent) und Indien (</w:t>
      </w:r>
      <w:r w:rsidR="003142C3" w:rsidRPr="003E6942">
        <w:rPr>
          <w:rFonts w:ascii="Arial" w:hAnsi="Arial" w:cs="Arial"/>
        </w:rPr>
        <w:t>9</w:t>
      </w:r>
      <w:r w:rsidRPr="003E6942">
        <w:rPr>
          <w:rFonts w:ascii="Arial" w:hAnsi="Arial" w:cs="Arial"/>
        </w:rPr>
        <w:t>,</w:t>
      </w:r>
      <w:r w:rsidR="003142C3" w:rsidRPr="003E6942">
        <w:rPr>
          <w:rFonts w:ascii="Arial" w:hAnsi="Arial" w:cs="Arial"/>
        </w:rPr>
        <w:t>3</w:t>
      </w:r>
      <w:r w:rsidRPr="003E6942">
        <w:rPr>
          <w:rFonts w:ascii="Arial" w:hAnsi="Arial" w:cs="Arial"/>
        </w:rPr>
        <w:t xml:space="preserve"> Prozent).</w:t>
      </w:r>
    </w:p>
    <w:p w:rsidR="007D59D8" w:rsidRDefault="007D59D8">
      <w:pPr>
        <w:rPr>
          <w:rFonts w:ascii="Arial" w:hAnsi="Arial" w:cs="Arial"/>
        </w:rPr>
      </w:pPr>
    </w:p>
    <w:p w:rsidR="00DB21C2" w:rsidRDefault="00DB21C2">
      <w:pPr>
        <w:rPr>
          <w:rFonts w:ascii="Arial" w:hAnsi="Arial" w:cs="Arial"/>
        </w:rPr>
      </w:pPr>
      <w:r w:rsidRPr="00016372">
        <w:rPr>
          <w:rFonts w:ascii="Arial" w:hAnsi="Arial" w:cs="Arial"/>
        </w:rPr>
        <w:t xml:space="preserve">Die weltweiten Kohle-Reserven reduzierten sich zwischen </w:t>
      </w:r>
      <w:r w:rsidR="00F74CA8" w:rsidRPr="00016372">
        <w:rPr>
          <w:rFonts w:ascii="Arial" w:hAnsi="Arial" w:cs="Arial"/>
        </w:rPr>
        <w:t xml:space="preserve">1994 und </w:t>
      </w:r>
      <w:r w:rsidRPr="00016372">
        <w:rPr>
          <w:rFonts w:ascii="Arial" w:hAnsi="Arial" w:cs="Arial"/>
        </w:rPr>
        <w:t>20</w:t>
      </w:r>
      <w:r w:rsidR="003142C3" w:rsidRPr="00016372">
        <w:rPr>
          <w:rFonts w:ascii="Arial" w:hAnsi="Arial" w:cs="Arial"/>
        </w:rPr>
        <w:t>14</w:t>
      </w:r>
      <w:r w:rsidRPr="00016372">
        <w:rPr>
          <w:rFonts w:ascii="Arial" w:hAnsi="Arial" w:cs="Arial"/>
        </w:rPr>
        <w:t xml:space="preserve"> von </w:t>
      </w:r>
      <w:r w:rsidR="00F74CA8" w:rsidRPr="00016372">
        <w:rPr>
          <w:rFonts w:ascii="Arial" w:hAnsi="Arial" w:cs="Arial"/>
        </w:rPr>
        <w:t xml:space="preserve">1.039 </w:t>
      </w:r>
      <w:r w:rsidRPr="00016372">
        <w:rPr>
          <w:rFonts w:ascii="Arial" w:hAnsi="Arial" w:cs="Arial"/>
        </w:rPr>
        <w:t>auf 8</w:t>
      </w:r>
      <w:r w:rsidR="00F74CA8" w:rsidRPr="00016372">
        <w:rPr>
          <w:rFonts w:ascii="Arial" w:hAnsi="Arial" w:cs="Arial"/>
        </w:rPr>
        <w:t>92</w:t>
      </w:r>
      <w:r w:rsidRPr="00016372">
        <w:rPr>
          <w:rFonts w:ascii="Arial" w:hAnsi="Arial" w:cs="Arial"/>
        </w:rPr>
        <w:t xml:space="preserve"> Milliarden Tonnen – das entsprach einem Minus von </w:t>
      </w:r>
      <w:r w:rsidR="00F74CA8" w:rsidRPr="00016372">
        <w:rPr>
          <w:rFonts w:ascii="Arial" w:hAnsi="Arial" w:cs="Arial"/>
        </w:rPr>
        <w:t>14</w:t>
      </w:r>
      <w:r w:rsidRPr="00016372">
        <w:rPr>
          <w:rFonts w:ascii="Arial" w:hAnsi="Arial" w:cs="Arial"/>
        </w:rPr>
        <w:t>,</w:t>
      </w:r>
      <w:r w:rsidR="00F74CA8" w:rsidRPr="00016372">
        <w:rPr>
          <w:rFonts w:ascii="Arial" w:hAnsi="Arial" w:cs="Arial"/>
        </w:rPr>
        <w:t>2</w:t>
      </w:r>
      <w:r w:rsidRPr="00016372">
        <w:rPr>
          <w:rFonts w:ascii="Arial" w:hAnsi="Arial" w:cs="Arial"/>
        </w:rPr>
        <w:t xml:space="preserve"> Prozent. </w:t>
      </w:r>
      <w:r w:rsidR="00F74CA8" w:rsidRPr="00016372">
        <w:rPr>
          <w:rFonts w:ascii="Arial" w:hAnsi="Arial" w:cs="Arial"/>
        </w:rPr>
        <w:t xml:space="preserve">Von den Reserven des Jahres 2014 entfiel jeweils rund ein Drittel auf Europa und Eurasien sowie auf den </w:t>
      </w:r>
      <w:r w:rsidRPr="00016372">
        <w:rPr>
          <w:rFonts w:ascii="Arial" w:hAnsi="Arial" w:cs="Arial"/>
        </w:rPr>
        <w:t xml:space="preserve">asiatisch-pazifischen Raum </w:t>
      </w:r>
      <w:r w:rsidR="00F74CA8" w:rsidRPr="00016372">
        <w:rPr>
          <w:rFonts w:ascii="Arial" w:hAnsi="Arial" w:cs="Arial"/>
        </w:rPr>
        <w:t xml:space="preserve">(34,8 bzw. 32,3 Prozent). Auch Nordamerika verfügte mit 27,5 Prozent über einen großen Anteil an den weltweiten Kohle-Reserven. Hingegen lagen die Anteile </w:t>
      </w:r>
      <w:r w:rsidR="00BB0E69">
        <w:rPr>
          <w:rFonts w:ascii="Arial" w:hAnsi="Arial" w:cs="Arial"/>
        </w:rPr>
        <w:t>Afrikas</w:t>
      </w:r>
      <w:r w:rsidR="00F74CA8" w:rsidRPr="00016372">
        <w:rPr>
          <w:rFonts w:ascii="Arial" w:hAnsi="Arial" w:cs="Arial"/>
        </w:rPr>
        <w:t xml:space="preserve"> sowie Mittel- und Südamerikas bei lediglich 3,</w:t>
      </w:r>
      <w:r w:rsidR="00322C66">
        <w:rPr>
          <w:rFonts w:ascii="Arial" w:hAnsi="Arial" w:cs="Arial"/>
        </w:rPr>
        <w:t>6</w:t>
      </w:r>
      <w:r w:rsidR="00F74CA8" w:rsidRPr="00016372">
        <w:rPr>
          <w:rFonts w:ascii="Arial" w:hAnsi="Arial" w:cs="Arial"/>
        </w:rPr>
        <w:t xml:space="preserve"> beziehungsweise 1,6 </w:t>
      </w:r>
      <w:r w:rsidRPr="00016372">
        <w:rPr>
          <w:rFonts w:ascii="Arial" w:hAnsi="Arial" w:cs="Arial"/>
        </w:rPr>
        <w:t>Prozent</w:t>
      </w:r>
      <w:r w:rsidR="00322C66">
        <w:rPr>
          <w:rFonts w:ascii="Arial" w:hAnsi="Arial" w:cs="Arial"/>
        </w:rPr>
        <w:t>, beim Mittleren Osten waren es sogar nur 0,1 Prozent</w:t>
      </w:r>
      <w:r w:rsidR="007D59D8">
        <w:rPr>
          <w:rFonts w:ascii="Arial" w:hAnsi="Arial" w:cs="Arial"/>
        </w:rPr>
        <w:t>. B</w:t>
      </w:r>
      <w:r w:rsidR="00F74CA8" w:rsidRPr="00857CCC">
        <w:rPr>
          <w:rFonts w:ascii="Arial" w:hAnsi="Arial" w:cs="Arial"/>
        </w:rPr>
        <w:t xml:space="preserve">ezogen auf die einzelnen Staaten </w:t>
      </w:r>
      <w:r w:rsidR="00F74CA8">
        <w:rPr>
          <w:rFonts w:ascii="Arial" w:hAnsi="Arial" w:cs="Arial"/>
        </w:rPr>
        <w:t xml:space="preserve">hatten 2014 die USA den höchsten Anteil </w:t>
      </w:r>
      <w:r w:rsidR="00F74CA8" w:rsidRPr="00857CCC">
        <w:rPr>
          <w:rFonts w:ascii="Arial" w:hAnsi="Arial" w:cs="Arial"/>
        </w:rPr>
        <w:t xml:space="preserve">an den weltweiten </w:t>
      </w:r>
      <w:r w:rsidR="00F74CA8">
        <w:rPr>
          <w:rFonts w:ascii="Arial" w:hAnsi="Arial" w:cs="Arial"/>
        </w:rPr>
        <w:t>Kohle</w:t>
      </w:r>
      <w:r w:rsidR="00F74CA8" w:rsidRPr="00857CCC">
        <w:rPr>
          <w:rFonts w:ascii="Arial" w:hAnsi="Arial" w:cs="Arial"/>
        </w:rPr>
        <w:t xml:space="preserve">-Reserven </w:t>
      </w:r>
      <w:r w:rsidR="00F74CA8">
        <w:rPr>
          <w:rFonts w:ascii="Arial" w:hAnsi="Arial" w:cs="Arial"/>
        </w:rPr>
        <w:t>(26,6 Prozent). Darauf folgten Russland (17,6 Prozent), China (12,8 Prozent), Australien (8,6 Prozent), Indien (6,8 Prozent) und Deutschland (</w:t>
      </w:r>
      <w:r w:rsidR="00016372">
        <w:rPr>
          <w:rFonts w:ascii="Arial" w:hAnsi="Arial" w:cs="Arial"/>
        </w:rPr>
        <w:t>4,5 Prozent</w:t>
      </w:r>
      <w:r w:rsidR="00F74CA8">
        <w:rPr>
          <w:rFonts w:ascii="Arial" w:hAnsi="Arial" w:cs="Arial"/>
        </w:rPr>
        <w:t>).</w:t>
      </w:r>
    </w:p>
    <w:p w:rsidR="007D59D8" w:rsidRDefault="007D59D8">
      <w:pPr>
        <w:rPr>
          <w:rFonts w:ascii="Arial" w:hAnsi="Arial" w:cs="Arial"/>
        </w:rPr>
      </w:pPr>
    </w:p>
    <w:p w:rsidR="00322C66" w:rsidRDefault="00016372" w:rsidP="00016372">
      <w:pPr>
        <w:rPr>
          <w:rFonts w:ascii="Arial" w:hAnsi="Arial" w:cs="Arial"/>
        </w:rPr>
      </w:pPr>
      <w:r w:rsidRPr="002F7204">
        <w:rPr>
          <w:rFonts w:ascii="Arial" w:hAnsi="Arial" w:cs="Arial"/>
        </w:rPr>
        <w:t xml:space="preserve">Werden die </w:t>
      </w:r>
      <w:r>
        <w:rPr>
          <w:rFonts w:ascii="Arial" w:hAnsi="Arial" w:cs="Arial"/>
        </w:rPr>
        <w:t>Kohle</w:t>
      </w:r>
      <w:r w:rsidRPr="002F7204">
        <w:rPr>
          <w:rFonts w:ascii="Arial" w:hAnsi="Arial" w:cs="Arial"/>
        </w:rPr>
        <w:t>-Reserven des Jahres 2014 in Beziehung zu</w:t>
      </w:r>
      <w:r>
        <w:rPr>
          <w:rFonts w:ascii="Arial" w:hAnsi="Arial" w:cs="Arial"/>
        </w:rPr>
        <w:t xml:space="preserve">m Verbrauch </w:t>
      </w:r>
      <w:r w:rsidR="00877A69">
        <w:rPr>
          <w:rFonts w:ascii="Arial" w:hAnsi="Arial" w:cs="Arial"/>
        </w:rPr>
        <w:t xml:space="preserve">desselben Jahres </w:t>
      </w:r>
      <w:r w:rsidRPr="002F7204">
        <w:rPr>
          <w:rFonts w:ascii="Arial" w:hAnsi="Arial" w:cs="Arial"/>
        </w:rPr>
        <w:t xml:space="preserve">gesetzt, dauert es unter sonst gleichbleibenden Bedingungen und ohne Neufunde beziehungsweise Neubewertungen noch </w:t>
      </w:r>
      <w:r>
        <w:rPr>
          <w:rFonts w:ascii="Arial" w:hAnsi="Arial" w:cs="Arial"/>
        </w:rPr>
        <w:t>110,6</w:t>
      </w:r>
      <w:r w:rsidRPr="002F7204">
        <w:rPr>
          <w:rFonts w:ascii="Arial" w:hAnsi="Arial" w:cs="Arial"/>
        </w:rPr>
        <w:t xml:space="preserve"> Jahre bis die Reserven komplett aufgebraucht sind. </w:t>
      </w:r>
      <w:r w:rsidR="00BB0E69">
        <w:rPr>
          <w:rFonts w:ascii="Arial" w:hAnsi="Arial" w:cs="Arial"/>
        </w:rPr>
        <w:t xml:space="preserve">Allerdings lag der entsprechende Wert 2004 </w:t>
      </w:r>
      <w:r w:rsidR="00DB21C2" w:rsidRPr="00BB0E69">
        <w:rPr>
          <w:rFonts w:ascii="Arial" w:hAnsi="Arial" w:cs="Arial"/>
        </w:rPr>
        <w:t xml:space="preserve">noch bei </w:t>
      </w:r>
      <w:r w:rsidR="00BB0E69" w:rsidRPr="00BB0E69">
        <w:rPr>
          <w:rFonts w:ascii="Arial" w:hAnsi="Arial" w:cs="Arial"/>
        </w:rPr>
        <w:t>150,2</w:t>
      </w:r>
      <w:r w:rsidR="00DB21C2" w:rsidRPr="00BB0E69">
        <w:rPr>
          <w:rFonts w:ascii="Arial" w:hAnsi="Arial" w:cs="Arial"/>
        </w:rPr>
        <w:t xml:space="preserve"> Jahren</w:t>
      </w:r>
      <w:r w:rsidR="00BB0E69" w:rsidRPr="00BB0E69">
        <w:rPr>
          <w:rFonts w:ascii="Arial" w:hAnsi="Arial" w:cs="Arial"/>
        </w:rPr>
        <w:t xml:space="preserve"> und 1994 </w:t>
      </w:r>
      <w:r w:rsidR="00DB21C2" w:rsidRPr="00BB0E69">
        <w:rPr>
          <w:rFonts w:ascii="Arial" w:hAnsi="Arial" w:cs="Arial"/>
        </w:rPr>
        <w:t xml:space="preserve">noch bei </w:t>
      </w:r>
      <w:r w:rsidR="00BB0E69" w:rsidRPr="00BB0E69">
        <w:rPr>
          <w:rFonts w:ascii="Arial" w:hAnsi="Arial" w:cs="Arial"/>
        </w:rPr>
        <w:t>226,</w:t>
      </w:r>
      <w:r w:rsidR="00DB21C2" w:rsidRPr="00BB0E69">
        <w:rPr>
          <w:rFonts w:ascii="Arial" w:hAnsi="Arial" w:cs="Arial"/>
        </w:rPr>
        <w:t>4 Jahren.</w:t>
      </w:r>
      <w:r w:rsidR="00322C66">
        <w:rPr>
          <w:rFonts w:ascii="Arial" w:hAnsi="Arial" w:cs="Arial"/>
        </w:rPr>
        <w:t xml:space="preserve"> Könnte </w:t>
      </w:r>
      <w:r w:rsidR="00322C66" w:rsidRPr="00BB0E69">
        <w:rPr>
          <w:rFonts w:ascii="Arial" w:hAnsi="Arial" w:cs="Arial"/>
        </w:rPr>
        <w:t>Asien-Pazifik</w:t>
      </w:r>
      <w:r w:rsidR="00322C66">
        <w:rPr>
          <w:rFonts w:ascii="Arial" w:hAnsi="Arial" w:cs="Arial"/>
        </w:rPr>
        <w:t xml:space="preserve"> als die Region mit dem größten Kohleverbrauch nur auf die eigenen Reserven zurückgreifen</w:t>
      </w:r>
      <w:r w:rsidR="00322C66" w:rsidRPr="0098678C">
        <w:rPr>
          <w:rFonts w:ascii="Arial" w:hAnsi="Arial" w:cs="Arial"/>
        </w:rPr>
        <w:t xml:space="preserve">, würde es – ausgehend von </w:t>
      </w:r>
      <w:r w:rsidR="00322C66">
        <w:rPr>
          <w:rFonts w:ascii="Arial" w:hAnsi="Arial" w:cs="Arial"/>
        </w:rPr>
        <w:t xml:space="preserve">den Reserven und </w:t>
      </w:r>
      <w:r w:rsidR="00322C66" w:rsidRPr="0098678C">
        <w:rPr>
          <w:rFonts w:ascii="Arial" w:hAnsi="Arial" w:cs="Arial"/>
        </w:rPr>
        <w:t xml:space="preserve">dem Verbrauch </w:t>
      </w:r>
      <w:r w:rsidR="00322C66">
        <w:rPr>
          <w:rFonts w:ascii="Arial" w:hAnsi="Arial" w:cs="Arial"/>
        </w:rPr>
        <w:t xml:space="preserve">des </w:t>
      </w:r>
      <w:r w:rsidR="00322C66" w:rsidRPr="0098678C">
        <w:rPr>
          <w:rFonts w:ascii="Arial" w:hAnsi="Arial" w:cs="Arial"/>
        </w:rPr>
        <w:t xml:space="preserve">Jahres </w:t>
      </w:r>
      <w:r w:rsidR="00322C66">
        <w:rPr>
          <w:rFonts w:ascii="Arial" w:hAnsi="Arial" w:cs="Arial"/>
        </w:rPr>
        <w:t xml:space="preserve">2014 </w:t>
      </w:r>
      <w:r w:rsidR="00322C66" w:rsidRPr="0098678C">
        <w:rPr>
          <w:rFonts w:ascii="Arial" w:hAnsi="Arial" w:cs="Arial"/>
        </w:rPr>
        <w:t xml:space="preserve">– nur </w:t>
      </w:r>
      <w:r w:rsidR="00322C66">
        <w:rPr>
          <w:rFonts w:ascii="Arial" w:hAnsi="Arial" w:cs="Arial"/>
        </w:rPr>
        <w:t>50,0</w:t>
      </w:r>
      <w:r w:rsidR="00322C66" w:rsidRPr="0098678C">
        <w:rPr>
          <w:rFonts w:ascii="Arial" w:hAnsi="Arial" w:cs="Arial"/>
        </w:rPr>
        <w:t xml:space="preserve"> Jahre dauern, bis </w:t>
      </w:r>
      <w:r w:rsidR="00322C66">
        <w:rPr>
          <w:rFonts w:ascii="Arial" w:hAnsi="Arial" w:cs="Arial"/>
        </w:rPr>
        <w:t xml:space="preserve">der </w:t>
      </w:r>
      <w:r w:rsidR="00322C66" w:rsidRPr="0098678C">
        <w:rPr>
          <w:rFonts w:ascii="Arial" w:hAnsi="Arial" w:cs="Arial"/>
        </w:rPr>
        <w:t>ganz</w:t>
      </w:r>
      <w:r w:rsidR="00322C66">
        <w:rPr>
          <w:rFonts w:ascii="Arial" w:hAnsi="Arial" w:cs="Arial"/>
        </w:rPr>
        <w:t xml:space="preserve">e </w:t>
      </w:r>
      <w:r w:rsidR="00322C66" w:rsidRPr="00016372">
        <w:rPr>
          <w:rFonts w:ascii="Arial" w:hAnsi="Arial" w:cs="Arial"/>
        </w:rPr>
        <w:t>asiatisch-pazifische</w:t>
      </w:r>
      <w:r w:rsidR="00322C66">
        <w:rPr>
          <w:rFonts w:ascii="Arial" w:hAnsi="Arial" w:cs="Arial"/>
        </w:rPr>
        <w:t xml:space="preserve"> </w:t>
      </w:r>
      <w:r w:rsidR="00322C66" w:rsidRPr="00016372">
        <w:rPr>
          <w:rFonts w:ascii="Arial" w:hAnsi="Arial" w:cs="Arial"/>
        </w:rPr>
        <w:t>Raum</w:t>
      </w:r>
      <w:r w:rsidR="00322C66" w:rsidRPr="0098678C">
        <w:rPr>
          <w:rFonts w:ascii="Arial" w:hAnsi="Arial" w:cs="Arial"/>
        </w:rPr>
        <w:t xml:space="preserve"> ohne </w:t>
      </w:r>
      <w:r w:rsidR="00322C66">
        <w:rPr>
          <w:rFonts w:ascii="Arial" w:hAnsi="Arial" w:cs="Arial"/>
        </w:rPr>
        <w:t xml:space="preserve">Kohle </w:t>
      </w:r>
      <w:r w:rsidR="00322C66" w:rsidRPr="0098678C">
        <w:rPr>
          <w:rFonts w:ascii="Arial" w:hAnsi="Arial" w:cs="Arial"/>
        </w:rPr>
        <w:t>auskommen müsste.</w:t>
      </w:r>
    </w:p>
    <w:p w:rsidR="007D59D8" w:rsidRDefault="007D59D8" w:rsidP="00016372">
      <w:pPr>
        <w:rPr>
          <w:rFonts w:ascii="Arial" w:hAnsi="Arial" w:cs="Arial"/>
        </w:rPr>
      </w:pPr>
    </w:p>
    <w:p w:rsidR="00DB21C2" w:rsidRPr="002363A2" w:rsidRDefault="00DB21C2">
      <w:pPr>
        <w:rPr>
          <w:rFonts w:ascii="Arial" w:hAnsi="Arial"/>
          <w:color w:val="FF0000"/>
          <w:lang w:val="en-US"/>
        </w:rPr>
      </w:pPr>
      <w:proofErr w:type="spellStart"/>
      <w:r w:rsidRPr="002363A2">
        <w:rPr>
          <w:rFonts w:ascii="Arial" w:hAnsi="Arial"/>
          <w:color w:val="FF0000"/>
          <w:lang w:val="en-US"/>
        </w:rPr>
        <w:t>Datenquelle</w:t>
      </w:r>
      <w:proofErr w:type="spellEnd"/>
    </w:p>
    <w:p w:rsidR="00DB21C2" w:rsidRPr="002363A2" w:rsidRDefault="00DB21C2">
      <w:pPr>
        <w:autoSpaceDE w:val="0"/>
        <w:autoSpaceDN w:val="0"/>
        <w:adjustRightInd w:val="0"/>
        <w:rPr>
          <w:rFonts w:ascii="Arial" w:hAnsi="Arial"/>
          <w:lang w:val="en-US"/>
        </w:rPr>
      </w:pPr>
    </w:p>
    <w:p w:rsidR="009100C3" w:rsidRPr="002363A2" w:rsidRDefault="009100C3" w:rsidP="009100C3">
      <w:pPr>
        <w:tabs>
          <w:tab w:val="left" w:pos="3060"/>
        </w:tabs>
        <w:rPr>
          <w:rFonts w:ascii="Arial" w:hAnsi="Arial"/>
          <w:color w:val="000000"/>
          <w:lang w:val="en-US"/>
        </w:rPr>
      </w:pPr>
      <w:r w:rsidRPr="002363A2">
        <w:rPr>
          <w:rFonts w:ascii="Arial" w:hAnsi="Arial"/>
          <w:color w:val="000000"/>
          <w:lang w:val="en-US"/>
        </w:rPr>
        <w:lastRenderedPageBreak/>
        <w:t>British Petroleum (BP): Statistical Review of World Energy 2015</w:t>
      </w:r>
    </w:p>
    <w:p w:rsidR="00DB21C2" w:rsidRPr="002363A2" w:rsidRDefault="00DB21C2">
      <w:pPr>
        <w:autoSpaceDE w:val="0"/>
        <w:autoSpaceDN w:val="0"/>
        <w:adjustRightInd w:val="0"/>
        <w:rPr>
          <w:rFonts w:ascii="Arial" w:hAnsi="Arial"/>
          <w:lang w:val="en-US"/>
        </w:rPr>
      </w:pPr>
    </w:p>
    <w:p w:rsidR="00DB21C2" w:rsidRDefault="00DB21C2">
      <w:pPr>
        <w:rPr>
          <w:rFonts w:ascii="Arial" w:hAnsi="Arial"/>
          <w:color w:val="FF0000"/>
        </w:rPr>
      </w:pPr>
      <w:r>
        <w:rPr>
          <w:rFonts w:ascii="Arial" w:hAnsi="Arial"/>
          <w:color w:val="FF0000"/>
        </w:rPr>
        <w:t>Begriffe, methodische Anmerkungen oder Lesehilfen</w:t>
      </w:r>
    </w:p>
    <w:p w:rsidR="00DB21C2" w:rsidRDefault="00DB21C2">
      <w:pPr>
        <w:rPr>
          <w:rFonts w:ascii="Arial" w:hAnsi="Arial"/>
        </w:rPr>
      </w:pPr>
    </w:p>
    <w:p w:rsidR="00E73790" w:rsidRDefault="007D59D8" w:rsidP="00E73790">
      <w:pPr>
        <w:autoSpaceDE w:val="0"/>
        <w:autoSpaceDN w:val="0"/>
        <w:adjustRightInd w:val="0"/>
        <w:rPr>
          <w:rFonts w:ascii="Arial" w:hAnsi="Arial" w:cs="Arial"/>
        </w:rPr>
      </w:pPr>
      <w:r>
        <w:rPr>
          <w:rFonts w:ascii="Arial" w:hAnsi="Arial" w:cs="Arial"/>
        </w:rPr>
        <w:t>Z</w:t>
      </w:r>
      <w:r w:rsidR="00E73790">
        <w:rPr>
          <w:rFonts w:ascii="Arial" w:hAnsi="Arial" w:cs="Arial"/>
        </w:rPr>
        <w:t xml:space="preserve">u den </w:t>
      </w:r>
      <w:r w:rsidR="00E73790">
        <w:rPr>
          <w:rStyle w:val="Fett"/>
          <w:rFonts w:ascii="Arial" w:hAnsi="Arial" w:cs="Arial"/>
        </w:rPr>
        <w:t>Kohle-Reserven</w:t>
      </w:r>
      <w:r w:rsidR="00E73790">
        <w:rPr>
          <w:rFonts w:ascii="Arial" w:hAnsi="Arial" w:cs="Arial"/>
        </w:rPr>
        <w:t xml:space="preserve"> zählen die nachgewiesenen Vorkommen, die unter den derzeitigen wirtschaftlichen und technischen Bedingungen künftig gefördert werden können.</w:t>
      </w:r>
    </w:p>
    <w:p w:rsidR="00E73790" w:rsidRDefault="00E73790" w:rsidP="00E73790">
      <w:pPr>
        <w:autoSpaceDE w:val="0"/>
        <w:autoSpaceDN w:val="0"/>
        <w:adjustRightInd w:val="0"/>
        <w:rPr>
          <w:rFonts w:ascii="Arial" w:hAnsi="Arial" w:cs="Arial"/>
        </w:rPr>
      </w:pPr>
    </w:p>
    <w:p w:rsidR="00E73790" w:rsidRDefault="00E73790" w:rsidP="00E73790">
      <w:pPr>
        <w:autoSpaceDE w:val="0"/>
        <w:autoSpaceDN w:val="0"/>
        <w:adjustRightInd w:val="0"/>
        <w:rPr>
          <w:rFonts w:ascii="Arial" w:hAnsi="Arial" w:cs="Arial"/>
        </w:rPr>
      </w:pPr>
      <w:r>
        <w:rPr>
          <w:rFonts w:ascii="Arial" w:hAnsi="Arial" w:cs="Arial"/>
        </w:rPr>
        <w:t xml:space="preserve">Von den Reserven sind grundsätzlich die </w:t>
      </w:r>
      <w:r>
        <w:rPr>
          <w:rStyle w:val="Fett"/>
          <w:rFonts w:ascii="Arial" w:hAnsi="Arial" w:cs="Arial"/>
        </w:rPr>
        <w:t>Ressourcen</w:t>
      </w:r>
      <w:r>
        <w:rPr>
          <w:rFonts w:ascii="Arial" w:hAnsi="Arial" w:cs="Arial"/>
        </w:rPr>
        <w:t xml:space="preserve"> zu unterscheiden. Ressourcen sind zum einen die nachgewiesenen, aber derzeit technisch und/oder wirtschaftlich nicht gewinnbaren Mengen an Energierohstoffen, zum anderen die nicht nachgewiesenen, aber geologisch möglichen, künftig gewinnbaren Mengen an Energierohstoffen.</w:t>
      </w:r>
    </w:p>
    <w:p w:rsidR="00E73790" w:rsidRDefault="00E73790" w:rsidP="00E73790">
      <w:pPr>
        <w:autoSpaceDE w:val="0"/>
        <w:autoSpaceDN w:val="0"/>
        <w:adjustRightInd w:val="0"/>
        <w:rPr>
          <w:rFonts w:ascii="Arial" w:hAnsi="Arial" w:cs="Arial"/>
        </w:rPr>
      </w:pPr>
    </w:p>
    <w:p w:rsidR="00E750F1" w:rsidRDefault="00E750F1" w:rsidP="00E750F1">
      <w:pPr>
        <w:rPr>
          <w:rFonts w:ascii="Arial" w:hAnsi="Arial" w:cs="Arial"/>
        </w:rPr>
      </w:pPr>
      <w:bookmarkStart w:id="1" w:name="Primaerenergie"/>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p>
    <w:p w:rsidR="00E750F1" w:rsidRDefault="00E750F1" w:rsidP="00E750F1">
      <w:pPr>
        <w:rPr>
          <w:rFonts w:ascii="Arial" w:hAnsi="Arial" w:cs="Arial"/>
        </w:rPr>
      </w:pPr>
    </w:p>
    <w:p w:rsidR="00E750F1" w:rsidRDefault="00E750F1" w:rsidP="00E750F1">
      <w:pPr>
        <w:rPr>
          <w:rFonts w:ascii="Arial" w:hAnsi="Arial"/>
          <w:color w:val="000000"/>
        </w:rPr>
      </w:pPr>
      <w:r w:rsidRPr="00854CAB">
        <w:rPr>
          <w:rFonts w:ascii="Arial" w:hAnsi="Arial"/>
          <w:color w:val="000000"/>
        </w:rPr>
        <w:t xml:space="preserve">Die hier gemachten Angaben </w:t>
      </w:r>
      <w:r>
        <w:rPr>
          <w:rFonts w:ascii="Arial" w:hAnsi="Arial"/>
          <w:color w:val="000000"/>
        </w:rPr>
        <w:t xml:space="preserve">zur </w:t>
      </w:r>
      <w:r w:rsidRPr="00E750F1">
        <w:rPr>
          <w:rFonts w:ascii="Arial" w:hAnsi="Arial"/>
          <w:color w:val="000000"/>
        </w:rPr>
        <w:t xml:space="preserve">Primärenergie </w:t>
      </w:r>
      <w:r w:rsidRPr="00854CAB">
        <w:rPr>
          <w:rFonts w:ascii="Arial" w:hAnsi="Arial"/>
          <w:color w:val="000000"/>
        </w:rPr>
        <w:t>beziehen sich auf Öl, Kohle, Erdgas, Wasserkraft, Kernenergie und neue erneuerbare Energien (darunter Geothermie, Wind- und Solarenergie, Energie aus Biomasse</w:t>
      </w:r>
      <w:r>
        <w:rPr>
          <w:rFonts w:ascii="Arial" w:hAnsi="Arial"/>
          <w:color w:val="000000"/>
        </w:rPr>
        <w:t xml:space="preserve"> sowie aus Wellen- und Gezeitenkraftwerken</w:t>
      </w:r>
      <w:r w:rsidRPr="00854CAB">
        <w:rPr>
          <w:rFonts w:ascii="Arial" w:hAnsi="Arial"/>
          <w:color w:val="000000"/>
        </w:rPr>
        <w:t>)</w:t>
      </w:r>
      <w:r>
        <w:rPr>
          <w:rFonts w:ascii="Arial" w:hAnsi="Arial"/>
          <w:color w:val="000000"/>
        </w:rPr>
        <w:t>.</w:t>
      </w:r>
    </w:p>
    <w:p w:rsidR="00E750F1" w:rsidRDefault="00E750F1" w:rsidP="00E750F1">
      <w:pPr>
        <w:rPr>
          <w:rFonts w:ascii="Arial" w:hAnsi="Arial"/>
          <w:color w:val="000000"/>
        </w:rPr>
      </w:pPr>
    </w:p>
    <w:p w:rsidR="00E750F1" w:rsidRDefault="00E750F1" w:rsidP="00E750F1">
      <w:pPr>
        <w:rPr>
          <w:rFonts w:ascii="Arial" w:hAnsi="Arial" w:cs="Arial"/>
        </w:rPr>
      </w:pPr>
      <w:r w:rsidRPr="00D55D3F">
        <w:rPr>
          <w:rFonts w:ascii="Arial" w:hAnsi="Arial" w:cs="Arial"/>
        </w:rPr>
        <w:t>Um die Energieträger vergleichbar zu machen, werden sie mithilfe einzelner Umrechnungsfaktoren auf das Öl bezogen (</w:t>
      </w:r>
      <w:r w:rsidRPr="00D55D3F">
        <w:rPr>
          <w:rStyle w:val="Fett"/>
          <w:rFonts w:ascii="Arial" w:hAnsi="Arial" w:cs="Arial"/>
        </w:rPr>
        <w:t>Öläquivalent</w:t>
      </w:r>
      <w:r w:rsidRPr="00D55D3F">
        <w:rPr>
          <w:rFonts w:ascii="Arial" w:hAnsi="Arial" w:cs="Arial"/>
        </w:rPr>
        <w:t>). Nach Angaben des Energiekonzerns British Petroleum (BP) entspricht eine Tonne Öläquivalent beispielsweise in etwa 1,5 Tonnen Steinkohle, 1.111 Kubikmeter Erdgas oder auch 12 Megawattstunden (Primärenergie)</w:t>
      </w:r>
      <w:r>
        <w:rPr>
          <w:rFonts w:ascii="Arial" w:hAnsi="Arial" w:cs="Arial"/>
        </w:rPr>
        <w:t>.</w:t>
      </w:r>
    </w:p>
    <w:p w:rsidR="00E750F1" w:rsidRDefault="00E750F1" w:rsidP="007409A0">
      <w:pPr>
        <w:rPr>
          <w:rFonts w:ascii="Arial" w:hAnsi="Arial" w:cs="Arial"/>
        </w:rPr>
      </w:pPr>
    </w:p>
    <w:p w:rsidR="007409A0" w:rsidRPr="009437D5" w:rsidRDefault="007409A0" w:rsidP="007409A0">
      <w:pPr>
        <w:rPr>
          <w:rFonts w:ascii="Arial" w:hAnsi="Arial" w:cs="Arial"/>
        </w:rPr>
      </w:pPr>
      <w:r>
        <w:rPr>
          <w:rFonts w:ascii="Arial" w:hAnsi="Arial" w:cs="Arial"/>
        </w:rPr>
        <w:t>China einschließlich Hongkong, ohne Macao.</w:t>
      </w:r>
    </w:p>
    <w:p w:rsidR="00E73790" w:rsidRDefault="00E73790" w:rsidP="00E73790">
      <w:pPr>
        <w:rPr>
          <w:rFonts w:ascii="Arial" w:hAnsi="Arial" w:cs="Arial"/>
        </w:rPr>
      </w:pPr>
    </w:p>
    <w:p w:rsidR="00E73790" w:rsidRDefault="00E73790" w:rsidP="00E73790">
      <w:pPr>
        <w:rPr>
          <w:rFonts w:ascii="Arial" w:hAnsi="Arial"/>
        </w:rPr>
      </w:pPr>
      <w:r>
        <w:rPr>
          <w:rFonts w:ascii="Arial" w:hAnsi="Arial"/>
        </w:rPr>
        <w:t>Informationen zur</w:t>
      </w:r>
      <w:r>
        <w:rPr>
          <w:rFonts w:ascii="Arial" w:hAnsi="Arial" w:cs="Arial"/>
          <w:b/>
        </w:rPr>
        <w:t xml:space="preserve"> Endlichkeit des Rohstoffs Erdöl </w:t>
      </w:r>
      <w:r>
        <w:rPr>
          <w:rFonts w:ascii="Arial" w:hAnsi="Arial"/>
        </w:rPr>
        <w:t>finden Sie hier</w:t>
      </w:r>
      <w:r w:rsidR="00BC2379">
        <w:rPr>
          <w:rFonts w:ascii="Arial" w:hAnsi="Arial"/>
        </w:rPr>
        <w:t>:</w:t>
      </w:r>
    </w:p>
    <w:p w:rsidR="00E73790" w:rsidRPr="00BC2379" w:rsidRDefault="00BC2379" w:rsidP="00E73790">
      <w:pPr>
        <w:rPr>
          <w:rFonts w:ascii="Arial" w:hAnsi="Arial"/>
        </w:rPr>
      </w:pPr>
      <w:hyperlink r:id="rId5" w:history="1">
        <w:r w:rsidR="00E73790" w:rsidRPr="00BC2379">
          <w:rPr>
            <w:rStyle w:val="Hyperlink"/>
            <w:rFonts w:ascii="Arial" w:hAnsi="Arial"/>
          </w:rPr>
          <w:t>http://www.bpb.de/wissen/W3QYQT</w:t>
        </w:r>
      </w:hyperlink>
    </w:p>
    <w:p w:rsidR="00F00545" w:rsidRPr="007D59D8" w:rsidRDefault="00F00545" w:rsidP="00F00545">
      <w:pPr>
        <w:rPr>
          <w:rFonts w:ascii="Arial" w:hAnsi="Arial"/>
          <w:color w:val="FF0000"/>
        </w:rPr>
      </w:pPr>
    </w:p>
    <w:p w:rsidR="00F00545" w:rsidRDefault="00F00545" w:rsidP="00F00545">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proofErr w:type="spellStart"/>
      <w:r w:rsidRPr="00F00545">
        <w:rPr>
          <w:rFonts w:ascii="Arial" w:hAnsi="Arial"/>
          <w:sz w:val="20"/>
          <w:szCs w:val="20"/>
        </w:rPr>
        <w:t>by-nc-nd</w:t>
      </w:r>
      <w:proofErr w:type="spellEnd"/>
      <w:r w:rsidRPr="00F00545">
        <w:rPr>
          <w:rFonts w:ascii="Arial" w:hAnsi="Arial"/>
          <w:sz w:val="20"/>
          <w:szCs w:val="20"/>
        </w:rPr>
        <w:t>/3.0/de/</w:t>
      </w:r>
      <w:r>
        <w:rPr>
          <w:rFonts w:ascii="Arial" w:hAnsi="Arial"/>
          <w:sz w:val="20"/>
          <w:szCs w:val="20"/>
        </w:rPr>
        <w:t xml:space="preserve"> veröffentlicht. </w:t>
      </w:r>
    </w:p>
    <w:p w:rsidR="00F00545" w:rsidRPr="007409A0" w:rsidRDefault="00F00545" w:rsidP="007409A0">
      <w:pPr>
        <w:rPr>
          <w:rFonts w:ascii="Arial" w:hAnsi="Arial"/>
          <w:sz w:val="20"/>
          <w:szCs w:val="20"/>
        </w:rPr>
      </w:pPr>
      <w:r>
        <w:rPr>
          <w:rFonts w:ascii="Arial" w:hAnsi="Arial"/>
          <w:sz w:val="20"/>
          <w:szCs w:val="20"/>
        </w:rPr>
        <w:t>Bundeszentrale für politische Bildung 201</w:t>
      </w:r>
      <w:r w:rsidR="00053B9E">
        <w:rPr>
          <w:rFonts w:ascii="Arial" w:hAnsi="Arial"/>
          <w:sz w:val="20"/>
          <w:szCs w:val="20"/>
        </w:rPr>
        <w:t>6</w:t>
      </w:r>
      <w:r>
        <w:rPr>
          <w:rFonts w:ascii="Arial" w:hAnsi="Arial"/>
          <w:sz w:val="20"/>
          <w:szCs w:val="20"/>
        </w:rPr>
        <w:t xml:space="preserve"> | </w:t>
      </w:r>
      <w:r w:rsidRPr="00F00545">
        <w:rPr>
          <w:rFonts w:ascii="Arial" w:hAnsi="Arial"/>
          <w:sz w:val="20"/>
          <w:szCs w:val="20"/>
        </w:rPr>
        <w:t>www.bpb.de</w:t>
      </w:r>
    </w:p>
    <w:sectPr w:rsidR="00F00545" w:rsidRPr="007409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D3"/>
    <w:rsid w:val="00016372"/>
    <w:rsid w:val="00053B9E"/>
    <w:rsid w:val="002363A2"/>
    <w:rsid w:val="002B1AD3"/>
    <w:rsid w:val="002D0BCE"/>
    <w:rsid w:val="003142C3"/>
    <w:rsid w:val="00322C66"/>
    <w:rsid w:val="003704E0"/>
    <w:rsid w:val="003925FA"/>
    <w:rsid w:val="003E6942"/>
    <w:rsid w:val="00453959"/>
    <w:rsid w:val="00475F92"/>
    <w:rsid w:val="005C349E"/>
    <w:rsid w:val="00656177"/>
    <w:rsid w:val="006640F8"/>
    <w:rsid w:val="006C7A12"/>
    <w:rsid w:val="0070737D"/>
    <w:rsid w:val="007409A0"/>
    <w:rsid w:val="007A284D"/>
    <w:rsid w:val="007D59D8"/>
    <w:rsid w:val="00877A69"/>
    <w:rsid w:val="00890EB4"/>
    <w:rsid w:val="008C6208"/>
    <w:rsid w:val="009100C3"/>
    <w:rsid w:val="00A0095B"/>
    <w:rsid w:val="00B35E82"/>
    <w:rsid w:val="00B73B31"/>
    <w:rsid w:val="00BB0E69"/>
    <w:rsid w:val="00BC2379"/>
    <w:rsid w:val="00D31E86"/>
    <w:rsid w:val="00D63558"/>
    <w:rsid w:val="00DB21C2"/>
    <w:rsid w:val="00E17398"/>
    <w:rsid w:val="00E73790"/>
    <w:rsid w:val="00E750F1"/>
    <w:rsid w:val="00E87CB7"/>
    <w:rsid w:val="00EB4647"/>
    <w:rsid w:val="00F00545"/>
    <w:rsid w:val="00F16D65"/>
    <w:rsid w:val="00F74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B1AD3"/>
    <w:rPr>
      <w:rFonts w:ascii="Tahoma" w:hAnsi="Tahoma" w:cs="Tahoma"/>
      <w:sz w:val="16"/>
      <w:szCs w:val="16"/>
    </w:rPr>
  </w:style>
  <w:style w:type="character" w:styleId="Fett">
    <w:name w:val="Strong"/>
    <w:basedOn w:val="Absatz-Standardschriftart"/>
    <w:uiPriority w:val="22"/>
    <w:qFormat/>
    <w:rsid w:val="00E73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B1AD3"/>
    <w:rPr>
      <w:rFonts w:ascii="Tahoma" w:hAnsi="Tahoma" w:cs="Tahoma"/>
      <w:sz w:val="16"/>
      <w:szCs w:val="16"/>
    </w:rPr>
  </w:style>
  <w:style w:type="character" w:styleId="Fett">
    <w:name w:val="Strong"/>
    <w:basedOn w:val="Absatz-Standardschriftart"/>
    <w:uiPriority w:val="22"/>
    <w:qFormat/>
    <w:rsid w:val="00E73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4329">
      <w:bodyDiv w:val="1"/>
      <w:marLeft w:val="0"/>
      <w:marRight w:val="0"/>
      <w:marTop w:val="0"/>
      <w:marBottom w:val="0"/>
      <w:divBdr>
        <w:top w:val="none" w:sz="0" w:space="0" w:color="auto"/>
        <w:left w:val="none" w:sz="0" w:space="0" w:color="auto"/>
        <w:bottom w:val="none" w:sz="0" w:space="0" w:color="auto"/>
        <w:right w:val="none" w:sz="0" w:space="0" w:color="auto"/>
      </w:divBdr>
    </w:div>
    <w:div w:id="1032849776">
      <w:bodyDiv w:val="1"/>
      <w:marLeft w:val="0"/>
      <w:marRight w:val="0"/>
      <w:marTop w:val="0"/>
      <w:marBottom w:val="0"/>
      <w:divBdr>
        <w:top w:val="none" w:sz="0" w:space="0" w:color="auto"/>
        <w:left w:val="none" w:sz="0" w:space="0" w:color="auto"/>
        <w:bottom w:val="none" w:sz="0" w:space="0" w:color="auto"/>
        <w:right w:val="none" w:sz="0" w:space="0" w:color="auto"/>
      </w:divBdr>
    </w:div>
    <w:div w:id="1437097901">
      <w:bodyDiv w:val="1"/>
      <w:marLeft w:val="0"/>
      <w:marRight w:val="0"/>
      <w:marTop w:val="0"/>
      <w:marBottom w:val="0"/>
      <w:divBdr>
        <w:top w:val="none" w:sz="0" w:space="0" w:color="auto"/>
        <w:left w:val="none" w:sz="0" w:space="0" w:color="auto"/>
        <w:bottom w:val="none" w:sz="0" w:space="0" w:color="auto"/>
        <w:right w:val="none" w:sz="0" w:space="0" w:color="auto"/>
      </w:divBdr>
    </w:div>
    <w:div w:id="16976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pb.de/wissen/W3QYQ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2016-08-25T16:59:00Z</dcterms:created>
  <dcterms:modified xsi:type="dcterms:W3CDTF">2016-08-25T16:59:00Z</dcterms:modified>
</cp:coreProperties>
</file>