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B1AA" w14:textId="0C64F091" w:rsidR="00525B0E" w:rsidRDefault="00012187" w:rsidP="004147C4">
      <w:pPr>
        <w:pStyle w:val="Listenabsatz"/>
        <w:numPr>
          <w:ilvl w:val="0"/>
          <w:numId w:val="1"/>
        </w:numPr>
        <w:tabs>
          <w:tab w:val="left" w:pos="3060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Nach Ende des Kalten </w:t>
      </w:r>
      <w:r w:rsidRPr="00012187">
        <w:rPr>
          <w:rFonts w:ascii="Arial" w:hAnsi="Arial"/>
          <w:b/>
        </w:rPr>
        <w:t>Krieges w</w:t>
      </w:r>
      <w:r>
        <w:rPr>
          <w:rFonts w:ascii="Arial" w:hAnsi="Arial"/>
          <w:b/>
        </w:rPr>
        <w:t>aren die Ausgaben der Staaten für das Militär rückläufig.</w:t>
      </w:r>
      <w:r w:rsidR="000E47E6" w:rsidRPr="000E47E6">
        <w:rPr>
          <w:rFonts w:ascii="Arial" w:hAnsi="Arial"/>
          <w:b/>
        </w:rPr>
        <w:t xml:space="preserve"> Seit 1998 sind </w:t>
      </w:r>
      <w:r w:rsidR="000E47E6">
        <w:rPr>
          <w:rFonts w:ascii="Arial" w:hAnsi="Arial"/>
          <w:b/>
        </w:rPr>
        <w:t>s</w:t>
      </w:r>
      <w:r w:rsidR="000E47E6" w:rsidRPr="000E47E6">
        <w:rPr>
          <w:rFonts w:ascii="Arial" w:hAnsi="Arial"/>
          <w:b/>
        </w:rPr>
        <w:t>ie</w:t>
      </w:r>
      <w:r w:rsidR="00FD14AA">
        <w:rPr>
          <w:rFonts w:ascii="Arial" w:hAnsi="Arial"/>
          <w:b/>
        </w:rPr>
        <w:t xml:space="preserve"> fast jedes Jahr</w:t>
      </w:r>
      <w:r w:rsidR="00B40B87">
        <w:rPr>
          <w:rFonts w:ascii="Arial" w:hAnsi="Arial"/>
          <w:b/>
        </w:rPr>
        <w:t xml:space="preserve"> </w:t>
      </w:r>
      <w:r w:rsidR="000E47E6" w:rsidRPr="000E47E6">
        <w:rPr>
          <w:rFonts w:ascii="Arial" w:hAnsi="Arial"/>
          <w:b/>
        </w:rPr>
        <w:t>gestiegen.</w:t>
      </w:r>
    </w:p>
    <w:p w14:paraId="09D514F4" w14:textId="77777777" w:rsidR="000E47E6" w:rsidRDefault="000E47E6" w:rsidP="001C1524">
      <w:pPr>
        <w:pStyle w:val="Listenabsatz"/>
        <w:tabs>
          <w:tab w:val="left" w:pos="3060"/>
        </w:tabs>
        <w:rPr>
          <w:rFonts w:ascii="Arial" w:hAnsi="Arial"/>
          <w:b/>
        </w:rPr>
      </w:pPr>
    </w:p>
    <w:p w14:paraId="1C8EEBB6" w14:textId="5DDAEF4B" w:rsidR="00012187" w:rsidRDefault="00012187" w:rsidP="004147C4">
      <w:pPr>
        <w:pStyle w:val="Listenabsatz"/>
        <w:numPr>
          <w:ilvl w:val="0"/>
          <w:numId w:val="1"/>
        </w:numPr>
        <w:tabs>
          <w:tab w:val="left" w:pos="3060"/>
        </w:tabs>
        <w:rPr>
          <w:rFonts w:ascii="Arial" w:hAnsi="Arial"/>
          <w:b/>
        </w:rPr>
      </w:pPr>
      <w:r w:rsidRPr="000E47E6">
        <w:rPr>
          <w:rFonts w:ascii="Arial" w:hAnsi="Arial"/>
          <w:b/>
        </w:rPr>
        <w:t xml:space="preserve">Die größte </w:t>
      </w:r>
      <w:r w:rsidR="00272EB8">
        <w:rPr>
          <w:rFonts w:ascii="Arial" w:hAnsi="Arial"/>
          <w:b/>
        </w:rPr>
        <w:t>Ausgabens</w:t>
      </w:r>
      <w:r w:rsidRPr="000E47E6">
        <w:rPr>
          <w:rFonts w:ascii="Arial" w:hAnsi="Arial"/>
          <w:b/>
        </w:rPr>
        <w:t>teigerung fand von 2023 auf 2024 statt</w:t>
      </w:r>
      <w:r w:rsidR="000E47E6" w:rsidRPr="000E47E6">
        <w:rPr>
          <w:rFonts w:ascii="Arial" w:hAnsi="Arial"/>
          <w:b/>
        </w:rPr>
        <w:t>.</w:t>
      </w:r>
    </w:p>
    <w:p w14:paraId="12DDE181" w14:textId="77777777" w:rsidR="000E47E6" w:rsidRPr="000E47E6" w:rsidRDefault="000E47E6" w:rsidP="001C1524">
      <w:pPr>
        <w:pStyle w:val="Listenabsatz"/>
        <w:tabs>
          <w:tab w:val="left" w:pos="3060"/>
        </w:tabs>
        <w:rPr>
          <w:rFonts w:ascii="Arial" w:hAnsi="Arial"/>
          <w:b/>
        </w:rPr>
      </w:pPr>
    </w:p>
    <w:p w14:paraId="07BCBBB4" w14:textId="27B9F13A" w:rsidR="00012187" w:rsidRDefault="00012187" w:rsidP="004147C4">
      <w:pPr>
        <w:pStyle w:val="Listenabsatz"/>
        <w:numPr>
          <w:ilvl w:val="0"/>
          <w:numId w:val="1"/>
        </w:numPr>
        <w:tabs>
          <w:tab w:val="left" w:pos="3060"/>
        </w:tabs>
        <w:rPr>
          <w:rFonts w:ascii="Arial" w:hAnsi="Arial"/>
          <w:b/>
        </w:rPr>
      </w:pPr>
      <w:r w:rsidRPr="000E47E6">
        <w:rPr>
          <w:rFonts w:ascii="Arial" w:hAnsi="Arial"/>
          <w:b/>
        </w:rPr>
        <w:t xml:space="preserve">2024 </w:t>
      </w:r>
      <w:r w:rsidR="000E47E6">
        <w:rPr>
          <w:rFonts w:ascii="Arial" w:hAnsi="Arial"/>
          <w:b/>
        </w:rPr>
        <w:t xml:space="preserve">lagen die </w:t>
      </w:r>
      <w:r w:rsidR="000E47E6" w:rsidRPr="000E47E6">
        <w:rPr>
          <w:rFonts w:ascii="Arial" w:hAnsi="Arial"/>
          <w:b/>
        </w:rPr>
        <w:t>Militärausgaben weltweit</w:t>
      </w:r>
      <w:r w:rsidR="000E47E6">
        <w:rPr>
          <w:rFonts w:ascii="Arial" w:hAnsi="Arial"/>
          <w:b/>
        </w:rPr>
        <w:t xml:space="preserve"> bei gut 2.700 Mrd. US$. Davon </w:t>
      </w:r>
      <w:r w:rsidRPr="000E47E6">
        <w:rPr>
          <w:rFonts w:ascii="Arial" w:hAnsi="Arial"/>
          <w:b/>
        </w:rPr>
        <w:t xml:space="preserve">entfielen 36,7 </w:t>
      </w:r>
      <w:r w:rsidR="000E47E6">
        <w:rPr>
          <w:rFonts w:ascii="Arial" w:hAnsi="Arial"/>
          <w:b/>
        </w:rPr>
        <w:t xml:space="preserve">% </w:t>
      </w:r>
      <w:r w:rsidRPr="000E47E6">
        <w:rPr>
          <w:rFonts w:ascii="Arial" w:hAnsi="Arial"/>
          <w:b/>
        </w:rPr>
        <w:t>auf die USA</w:t>
      </w:r>
      <w:r w:rsidR="000E47E6">
        <w:rPr>
          <w:rFonts w:ascii="Arial" w:hAnsi="Arial"/>
          <w:b/>
        </w:rPr>
        <w:t xml:space="preserve">, 11,5 % auf </w:t>
      </w:r>
      <w:r w:rsidRPr="000E47E6">
        <w:rPr>
          <w:rFonts w:ascii="Arial" w:hAnsi="Arial"/>
          <w:b/>
        </w:rPr>
        <w:t>China</w:t>
      </w:r>
      <w:r w:rsidR="000E47E6">
        <w:rPr>
          <w:rFonts w:ascii="Arial" w:hAnsi="Arial"/>
          <w:b/>
        </w:rPr>
        <w:t xml:space="preserve">, 5,5 % auf Russland und </w:t>
      </w:r>
      <w:r w:rsidR="000E47E6" w:rsidRPr="000E47E6">
        <w:rPr>
          <w:rFonts w:ascii="Arial" w:hAnsi="Arial"/>
          <w:b/>
        </w:rPr>
        <w:t>3,3 %</w:t>
      </w:r>
      <w:r w:rsidR="000E47E6">
        <w:rPr>
          <w:rFonts w:ascii="Arial" w:hAnsi="Arial"/>
          <w:b/>
        </w:rPr>
        <w:t xml:space="preserve"> auf </w:t>
      </w:r>
      <w:r w:rsidR="000E47E6" w:rsidRPr="000E47E6">
        <w:rPr>
          <w:rFonts w:ascii="Arial" w:hAnsi="Arial"/>
          <w:b/>
        </w:rPr>
        <w:t xml:space="preserve">Deutschland </w:t>
      </w:r>
      <w:r w:rsidR="000E47E6">
        <w:rPr>
          <w:rFonts w:ascii="Arial" w:hAnsi="Arial"/>
          <w:b/>
        </w:rPr>
        <w:t>(</w:t>
      </w:r>
      <w:r w:rsidR="000E47E6" w:rsidRPr="000E47E6">
        <w:rPr>
          <w:rFonts w:ascii="Arial" w:hAnsi="Arial"/>
          <w:b/>
        </w:rPr>
        <w:t>EU-27: 13,6 %)</w:t>
      </w:r>
      <w:r w:rsidRPr="000E47E6">
        <w:rPr>
          <w:rFonts w:ascii="Arial" w:hAnsi="Arial"/>
          <w:b/>
        </w:rPr>
        <w:t>.</w:t>
      </w:r>
    </w:p>
    <w:p w14:paraId="7F925022" w14:textId="77777777" w:rsidR="000E47E6" w:rsidRPr="000E47E6" w:rsidRDefault="000E47E6" w:rsidP="001C1524">
      <w:pPr>
        <w:pStyle w:val="Listenabsatz"/>
        <w:tabs>
          <w:tab w:val="left" w:pos="3060"/>
        </w:tabs>
        <w:rPr>
          <w:rFonts w:ascii="Arial" w:hAnsi="Arial"/>
          <w:b/>
        </w:rPr>
      </w:pPr>
    </w:p>
    <w:p w14:paraId="28311F81" w14:textId="6B4D6F7B" w:rsidR="000E47E6" w:rsidRPr="001C1524" w:rsidRDefault="000E47E6" w:rsidP="004147C4">
      <w:pPr>
        <w:pStyle w:val="Listenabsatz"/>
        <w:numPr>
          <w:ilvl w:val="0"/>
          <w:numId w:val="1"/>
        </w:numPr>
        <w:tabs>
          <w:tab w:val="left" w:pos="3060"/>
        </w:tabs>
        <w:rPr>
          <w:rFonts w:ascii="Arial" w:hAnsi="Arial"/>
          <w:b/>
        </w:rPr>
      </w:pPr>
      <w:r w:rsidRPr="001C1524">
        <w:rPr>
          <w:rFonts w:ascii="Arial" w:hAnsi="Arial"/>
          <w:b/>
        </w:rPr>
        <w:t>Zwischen 2005 und 2024 sank der Anteil der USA von 51,3 auf 36,2 %.</w:t>
      </w:r>
      <w:r w:rsidR="00FD14AA">
        <w:rPr>
          <w:rFonts w:ascii="Arial" w:hAnsi="Arial"/>
          <w:b/>
        </w:rPr>
        <w:t xml:space="preserve"> </w:t>
      </w:r>
      <w:r w:rsidRPr="001C1524">
        <w:rPr>
          <w:rFonts w:ascii="Arial" w:hAnsi="Arial"/>
          <w:b/>
        </w:rPr>
        <w:t>Der Anteil Chinas erhöhte sich von 4,7 auf 11,9 %.</w:t>
      </w:r>
    </w:p>
    <w:p w14:paraId="5376B336" w14:textId="77777777" w:rsidR="001C1524" w:rsidRPr="001C1524" w:rsidRDefault="001C1524" w:rsidP="001C1524">
      <w:pPr>
        <w:pStyle w:val="Listenabsatz"/>
        <w:tabs>
          <w:tab w:val="left" w:pos="3060"/>
        </w:tabs>
        <w:rPr>
          <w:rFonts w:ascii="Arial" w:hAnsi="Arial"/>
          <w:b/>
        </w:rPr>
      </w:pPr>
    </w:p>
    <w:p w14:paraId="5F584182" w14:textId="24711847" w:rsidR="001C1524" w:rsidRPr="001C1524" w:rsidRDefault="001C1524" w:rsidP="004764AB">
      <w:pPr>
        <w:pStyle w:val="Listenabsatz"/>
        <w:numPr>
          <w:ilvl w:val="0"/>
          <w:numId w:val="1"/>
        </w:numPr>
        <w:tabs>
          <w:tab w:val="left" w:pos="3060"/>
        </w:tabs>
        <w:rPr>
          <w:rFonts w:ascii="Arial" w:hAnsi="Arial"/>
          <w:b/>
        </w:rPr>
      </w:pPr>
      <w:r w:rsidRPr="001C1524">
        <w:rPr>
          <w:rFonts w:ascii="Arial" w:hAnsi="Arial"/>
          <w:b/>
        </w:rPr>
        <w:t>Im Verhältnis zur Wirtschaftskraft gaben die Ukraine (2024: 34,5 % des BIP), Israel und Algerien (8,8 bzw. 8,0 %) am meisten für das Militär aus. Bei den pro-Kopf-Ausgaben waren es Israel (4.989 US$), die USA (2.895 US$)</w:t>
      </w:r>
      <w:r w:rsidR="00B40B87">
        <w:rPr>
          <w:rFonts w:ascii="Arial" w:hAnsi="Arial"/>
          <w:b/>
        </w:rPr>
        <w:t xml:space="preserve"> und</w:t>
      </w:r>
      <w:r w:rsidRPr="001C1524">
        <w:rPr>
          <w:rFonts w:ascii="Arial" w:hAnsi="Arial"/>
          <w:b/>
        </w:rPr>
        <w:t xml:space="preserve"> Singapur (2.591 US$).</w:t>
      </w:r>
    </w:p>
    <w:p w14:paraId="75CDBAAB" w14:textId="77777777" w:rsidR="00525B0E" w:rsidRDefault="00525B0E" w:rsidP="004D1BB9">
      <w:pPr>
        <w:tabs>
          <w:tab w:val="left" w:pos="3060"/>
        </w:tabs>
        <w:rPr>
          <w:rFonts w:ascii="Arial" w:hAnsi="Arial"/>
        </w:rPr>
      </w:pPr>
    </w:p>
    <w:p w14:paraId="707F323F" w14:textId="77777777" w:rsidR="00F62D5A" w:rsidRDefault="00FA6E23">
      <w:pPr>
        <w:tabs>
          <w:tab w:val="left" w:pos="3060"/>
        </w:tabs>
        <w:rPr>
          <w:rFonts w:ascii="Arial" w:hAnsi="Arial"/>
          <w:color w:val="FF0000"/>
        </w:rPr>
      </w:pPr>
      <w:r w:rsidRPr="00117627">
        <w:rPr>
          <w:rFonts w:ascii="Arial" w:hAnsi="Arial"/>
          <w:color w:val="FF0000"/>
        </w:rPr>
        <w:t>Fakten</w:t>
      </w:r>
    </w:p>
    <w:p w14:paraId="5AB78C1A" w14:textId="77777777" w:rsidR="00FA6E23" w:rsidRPr="0093244F" w:rsidRDefault="00FA6E23">
      <w:pPr>
        <w:tabs>
          <w:tab w:val="left" w:pos="3060"/>
        </w:tabs>
        <w:rPr>
          <w:rFonts w:ascii="Arial" w:hAnsi="Arial"/>
        </w:rPr>
      </w:pPr>
    </w:p>
    <w:p w14:paraId="4B204523" w14:textId="2F10EBEF" w:rsidR="00436794" w:rsidRDefault="0093244F">
      <w:pPr>
        <w:tabs>
          <w:tab w:val="left" w:pos="3060"/>
        </w:tabs>
        <w:rPr>
          <w:rFonts w:ascii="Arial" w:hAnsi="Arial"/>
        </w:rPr>
      </w:pPr>
      <w:r w:rsidRPr="0093244F">
        <w:rPr>
          <w:rFonts w:ascii="Arial" w:hAnsi="Arial"/>
        </w:rPr>
        <w:t>Nach Angaben des Friedensforschungsinstituts SIPRI lagen die Militärausgaben im Jahr 1988 weltweit bei 1.750 Milliarden US-Dollar (in konstanten Preisen 2023).</w:t>
      </w:r>
      <w:r>
        <w:rPr>
          <w:rFonts w:ascii="Arial" w:hAnsi="Arial"/>
        </w:rPr>
        <w:t xml:space="preserve"> Aufgrund des Endes de</w:t>
      </w:r>
      <w:r w:rsidR="00272EB8">
        <w:rPr>
          <w:rFonts w:ascii="Arial" w:hAnsi="Arial"/>
        </w:rPr>
        <w:t>s</w:t>
      </w:r>
      <w:r>
        <w:rPr>
          <w:rFonts w:ascii="Arial" w:hAnsi="Arial"/>
        </w:rPr>
        <w:t xml:space="preserve"> Kalten Krieges bzw. durch den Zerfall der Sowjetunion sanken die Ausgaben auf 1.388 </w:t>
      </w:r>
      <w:r w:rsidRPr="0093244F">
        <w:rPr>
          <w:rFonts w:ascii="Arial" w:hAnsi="Arial"/>
        </w:rPr>
        <w:t>Milliarden US-Dollar</w:t>
      </w:r>
      <w:r>
        <w:rPr>
          <w:rFonts w:ascii="Arial" w:hAnsi="Arial"/>
        </w:rPr>
        <w:t xml:space="preserve"> </w:t>
      </w:r>
      <w:r w:rsidR="005974BE">
        <w:rPr>
          <w:rFonts w:ascii="Arial" w:hAnsi="Arial"/>
        </w:rPr>
        <w:t xml:space="preserve">im Jahr 1992 </w:t>
      </w:r>
      <w:r>
        <w:rPr>
          <w:rFonts w:ascii="Arial" w:hAnsi="Arial"/>
        </w:rPr>
        <w:t>und bis 1998 weiter auf 1.183</w:t>
      </w:r>
      <w:r w:rsidRPr="0093244F">
        <w:rPr>
          <w:rFonts w:ascii="Arial" w:hAnsi="Arial"/>
        </w:rPr>
        <w:t xml:space="preserve"> Milliarden US-Dollar</w:t>
      </w:r>
      <w:r>
        <w:rPr>
          <w:rFonts w:ascii="Arial" w:hAnsi="Arial"/>
        </w:rPr>
        <w:t>.</w:t>
      </w:r>
      <w:r w:rsidR="00AF58B7">
        <w:rPr>
          <w:rFonts w:ascii="Arial" w:hAnsi="Arial"/>
        </w:rPr>
        <w:t xml:space="preserve"> </w:t>
      </w:r>
      <w:r w:rsidR="009D2EAD">
        <w:rPr>
          <w:rFonts w:ascii="Arial" w:hAnsi="Arial"/>
        </w:rPr>
        <w:t>Seit</w:t>
      </w:r>
      <w:r w:rsidR="005858FC">
        <w:rPr>
          <w:rFonts w:ascii="Arial" w:hAnsi="Arial"/>
        </w:rPr>
        <w:t xml:space="preserve"> 1998 </w:t>
      </w:r>
      <w:r w:rsidR="009D2EAD">
        <w:rPr>
          <w:rFonts w:ascii="Arial" w:hAnsi="Arial"/>
        </w:rPr>
        <w:t xml:space="preserve">sind die </w:t>
      </w:r>
      <w:r w:rsidR="009D2EAD" w:rsidRPr="0093244F">
        <w:rPr>
          <w:rFonts w:ascii="Arial" w:hAnsi="Arial"/>
        </w:rPr>
        <w:t>Militärausgaben</w:t>
      </w:r>
      <w:r w:rsidR="009D2EAD">
        <w:rPr>
          <w:rFonts w:ascii="Arial" w:hAnsi="Arial"/>
        </w:rPr>
        <w:t xml:space="preserve"> nahezu jedes Jahr gestiegen. Die größte Steigerung fand dabei von 2023 auf 2024 statt</w:t>
      </w:r>
      <w:r w:rsidR="00AF58B7">
        <w:rPr>
          <w:rFonts w:ascii="Arial" w:hAnsi="Arial"/>
        </w:rPr>
        <w:t>:</w:t>
      </w:r>
      <w:r w:rsidR="009D2EAD">
        <w:rPr>
          <w:rFonts w:ascii="Arial" w:hAnsi="Arial"/>
        </w:rPr>
        <w:t xml:space="preserve"> In nur einem Jahr erhöhten sich die Ausgaben von 2.447 auf 2.677 </w:t>
      </w:r>
      <w:r w:rsidR="009D2EAD" w:rsidRPr="0093244F">
        <w:rPr>
          <w:rFonts w:ascii="Arial" w:hAnsi="Arial"/>
        </w:rPr>
        <w:t>Milliarden US-Dollar</w:t>
      </w:r>
      <w:r w:rsidR="009D2EAD">
        <w:rPr>
          <w:rFonts w:ascii="Arial" w:hAnsi="Arial"/>
        </w:rPr>
        <w:t xml:space="preserve"> – ein Plus von 229 </w:t>
      </w:r>
      <w:r w:rsidR="009D2EAD" w:rsidRPr="0093244F">
        <w:rPr>
          <w:rFonts w:ascii="Arial" w:hAnsi="Arial"/>
        </w:rPr>
        <w:t>Milliarden US-Dollar</w:t>
      </w:r>
      <w:r w:rsidR="009D2EAD">
        <w:rPr>
          <w:rFonts w:ascii="Arial" w:hAnsi="Arial"/>
        </w:rPr>
        <w:t xml:space="preserve"> bzw. 9,4 Prozent.</w:t>
      </w:r>
    </w:p>
    <w:p w14:paraId="399FF472" w14:textId="77777777" w:rsidR="00FD14AA" w:rsidRDefault="00FD14AA">
      <w:pPr>
        <w:tabs>
          <w:tab w:val="left" w:pos="3060"/>
        </w:tabs>
        <w:rPr>
          <w:rFonts w:ascii="Arial" w:hAnsi="Arial"/>
        </w:rPr>
      </w:pPr>
    </w:p>
    <w:p w14:paraId="65CAB291" w14:textId="77777777" w:rsidR="00FD14AA" w:rsidRDefault="00C12E4B">
      <w:pPr>
        <w:tabs>
          <w:tab w:val="left" w:pos="3060"/>
        </w:tabs>
        <w:rPr>
          <w:rFonts w:ascii="Arial" w:hAnsi="Arial"/>
        </w:rPr>
      </w:pPr>
      <w:r>
        <w:rPr>
          <w:rFonts w:ascii="Arial" w:hAnsi="Arial"/>
        </w:rPr>
        <w:t xml:space="preserve">Im Jahr 2024 lagen die Militärausgaben weltweit bei 2.718 </w:t>
      </w:r>
      <w:r w:rsidRPr="0093244F">
        <w:rPr>
          <w:rFonts w:ascii="Arial" w:hAnsi="Arial"/>
        </w:rPr>
        <w:t>Milliarden US-Dollar</w:t>
      </w:r>
      <w:r>
        <w:rPr>
          <w:rFonts w:ascii="Arial" w:hAnsi="Arial"/>
        </w:rPr>
        <w:t xml:space="preserve"> (laufende Preise).</w:t>
      </w:r>
      <w:r w:rsidR="006F6386">
        <w:rPr>
          <w:rFonts w:ascii="Arial" w:hAnsi="Arial"/>
        </w:rPr>
        <w:t xml:space="preserve"> </w:t>
      </w:r>
      <w:r w:rsidR="00484B48">
        <w:rPr>
          <w:rFonts w:ascii="Arial" w:hAnsi="Arial"/>
        </w:rPr>
        <w:t xml:space="preserve">Bezogen auf die einzelnen Regionen hatte Nordamerika mit 37,8 Prozent den mit Abstand höchsten Anteil. </w:t>
      </w:r>
      <w:r w:rsidR="00FA0EA3" w:rsidRPr="00FA0EA3">
        <w:rPr>
          <w:rFonts w:ascii="Arial" w:hAnsi="Arial"/>
        </w:rPr>
        <w:t>Darauf folgten Asien mit 19,7 Prozent sowie West- und Zentraleuropa mit 17,4 Prozent</w:t>
      </w:r>
      <w:r w:rsidR="003315F7">
        <w:rPr>
          <w:rFonts w:ascii="Arial" w:hAnsi="Arial"/>
        </w:rPr>
        <w:t xml:space="preserve"> (EU-27: 13,6 Prozent)</w:t>
      </w:r>
      <w:r w:rsidR="00FA0EA3" w:rsidRPr="00FA0EA3">
        <w:rPr>
          <w:rFonts w:ascii="Arial" w:hAnsi="Arial"/>
        </w:rPr>
        <w:t>.</w:t>
      </w:r>
      <w:r w:rsidR="003315F7">
        <w:rPr>
          <w:rFonts w:ascii="Arial" w:hAnsi="Arial"/>
        </w:rPr>
        <w:t xml:space="preserve"> </w:t>
      </w:r>
      <w:r w:rsidR="00A0052D" w:rsidRPr="00A0052D">
        <w:rPr>
          <w:rFonts w:ascii="Arial" w:hAnsi="Arial"/>
        </w:rPr>
        <w:t>Auf den Mittleren Osten entfielen 9,0 Prozent der weltweiten Militärausgaben, auf Osteuropa 8,1 Prozent. Die verbleibenden Ausgaben entfielen auf andere Staaten Asiens (3,5 Prozent), Zentral- und Südamerika</w:t>
      </w:r>
      <w:r w:rsidR="00A0052D">
        <w:rPr>
          <w:rFonts w:ascii="Arial" w:hAnsi="Arial"/>
        </w:rPr>
        <w:t xml:space="preserve"> </w:t>
      </w:r>
      <w:r w:rsidR="00A0052D" w:rsidRPr="00A0052D">
        <w:rPr>
          <w:rFonts w:ascii="Arial" w:hAnsi="Arial"/>
        </w:rPr>
        <w:t>(2,7 Prozent) sowie Afrika (1,9 Prozent).</w:t>
      </w:r>
    </w:p>
    <w:p w14:paraId="78DED81F" w14:textId="77777777" w:rsidR="00FD14AA" w:rsidRDefault="00FD14AA">
      <w:pPr>
        <w:tabs>
          <w:tab w:val="left" w:pos="3060"/>
        </w:tabs>
        <w:rPr>
          <w:rFonts w:ascii="Arial" w:hAnsi="Arial"/>
        </w:rPr>
      </w:pPr>
    </w:p>
    <w:p w14:paraId="14A96F9A" w14:textId="00F2BED2" w:rsidR="00652AAE" w:rsidRDefault="00652AAE">
      <w:pPr>
        <w:tabs>
          <w:tab w:val="left" w:pos="3060"/>
        </w:tabs>
        <w:rPr>
          <w:rFonts w:ascii="Arial" w:hAnsi="Arial"/>
        </w:rPr>
      </w:pPr>
      <w:r>
        <w:rPr>
          <w:rFonts w:ascii="Arial" w:hAnsi="Arial"/>
        </w:rPr>
        <w:t xml:space="preserve">Bezogen auf die einzelnen Staaten fällt vor allem die Stellung der USA auf: Im Jahr 2024 entfiel mit 36,7 Prozent deutlich mehr als ein Drittel der </w:t>
      </w:r>
      <w:r w:rsidRPr="00A0052D">
        <w:rPr>
          <w:rFonts w:ascii="Arial" w:hAnsi="Arial"/>
        </w:rPr>
        <w:t>weltweiten Militärausgaben</w:t>
      </w:r>
      <w:r>
        <w:rPr>
          <w:rFonts w:ascii="Arial" w:hAnsi="Arial"/>
        </w:rPr>
        <w:t xml:space="preserve"> allein auf die USA. Mit großem Abstand folgte China mit einem Anteil von 11,5 Prozent.</w:t>
      </w:r>
      <w:r w:rsidRPr="00652AAE">
        <w:t xml:space="preserve"> </w:t>
      </w:r>
      <w:r w:rsidRPr="00652AAE">
        <w:rPr>
          <w:rFonts w:ascii="Arial" w:hAnsi="Arial"/>
        </w:rPr>
        <w:t>Zusammen mit Russland (5,5 Prozent), Deutschland (3,3 Prozent), Indien (3,2 Prozent), dem Vereinigten Königreich und Saudi-Arabien (jeweils 3,0 Prozent)</w:t>
      </w:r>
      <w:r>
        <w:rPr>
          <w:rFonts w:ascii="Arial" w:hAnsi="Arial"/>
        </w:rPr>
        <w:t xml:space="preserve"> entfielen rund zwei Drittel der </w:t>
      </w:r>
      <w:r w:rsidRPr="00A0052D">
        <w:rPr>
          <w:rFonts w:ascii="Arial" w:hAnsi="Arial"/>
        </w:rPr>
        <w:t>weltweiten Militärausgaben</w:t>
      </w:r>
      <w:r>
        <w:rPr>
          <w:rFonts w:ascii="Arial" w:hAnsi="Arial"/>
        </w:rPr>
        <w:t xml:space="preserve"> auf nur sieben Staaten</w:t>
      </w:r>
      <w:r w:rsidR="005858FC">
        <w:rPr>
          <w:rFonts w:ascii="Arial" w:hAnsi="Arial"/>
        </w:rPr>
        <w:t xml:space="preserve"> (66,1 Prozent)</w:t>
      </w:r>
      <w:r>
        <w:rPr>
          <w:rFonts w:ascii="Arial" w:hAnsi="Arial"/>
        </w:rPr>
        <w:t>. Bei den Top 15 steigt der Anteil auf 80,4 Prozent.</w:t>
      </w:r>
    </w:p>
    <w:p w14:paraId="2210C004" w14:textId="77777777" w:rsidR="00FD14AA" w:rsidRDefault="00FD14AA">
      <w:pPr>
        <w:tabs>
          <w:tab w:val="left" w:pos="3060"/>
        </w:tabs>
        <w:rPr>
          <w:rFonts w:ascii="Arial" w:hAnsi="Arial"/>
        </w:rPr>
      </w:pPr>
    </w:p>
    <w:p w14:paraId="20ABEB35" w14:textId="4C1876CE" w:rsidR="008A7F1A" w:rsidRDefault="000E08A0">
      <w:pPr>
        <w:tabs>
          <w:tab w:val="left" w:pos="3060"/>
        </w:tabs>
        <w:rPr>
          <w:rFonts w:ascii="Arial" w:hAnsi="Arial"/>
        </w:rPr>
      </w:pPr>
      <w:r>
        <w:rPr>
          <w:rFonts w:ascii="Arial" w:hAnsi="Arial"/>
        </w:rPr>
        <w:t xml:space="preserve">In </w:t>
      </w:r>
      <w:r w:rsidR="003150D9">
        <w:rPr>
          <w:rFonts w:ascii="Arial" w:hAnsi="Arial"/>
        </w:rPr>
        <w:t xml:space="preserve">konstanten Preisen (2023) sind die </w:t>
      </w:r>
      <w:r w:rsidR="003150D9" w:rsidRPr="00A0052D">
        <w:rPr>
          <w:rFonts w:ascii="Arial" w:hAnsi="Arial"/>
        </w:rPr>
        <w:t>Militärausgaben</w:t>
      </w:r>
      <w:r w:rsidR="003150D9">
        <w:rPr>
          <w:rFonts w:ascii="Arial" w:hAnsi="Arial"/>
        </w:rPr>
        <w:t xml:space="preserve"> der USA zwischen 2005 und 2024 von gut 830 auf knapp 970</w:t>
      </w:r>
      <w:r w:rsidR="003150D9" w:rsidRPr="003150D9">
        <w:rPr>
          <w:rFonts w:ascii="Arial" w:hAnsi="Arial"/>
        </w:rPr>
        <w:t xml:space="preserve"> </w:t>
      </w:r>
      <w:r w:rsidR="003150D9" w:rsidRPr="0093244F">
        <w:rPr>
          <w:rFonts w:ascii="Arial" w:hAnsi="Arial"/>
        </w:rPr>
        <w:t>Milliarden US-Dollar</w:t>
      </w:r>
      <w:r w:rsidR="003150D9">
        <w:rPr>
          <w:rFonts w:ascii="Arial" w:hAnsi="Arial"/>
        </w:rPr>
        <w:t xml:space="preserve"> gestiegen, der Anteil an den weltweiten Ausgaben </w:t>
      </w:r>
      <w:r w:rsidR="008A7F1A">
        <w:rPr>
          <w:rFonts w:ascii="Arial" w:hAnsi="Arial"/>
        </w:rPr>
        <w:t xml:space="preserve">sank </w:t>
      </w:r>
      <w:r w:rsidR="003150D9">
        <w:rPr>
          <w:rFonts w:ascii="Arial" w:hAnsi="Arial"/>
        </w:rPr>
        <w:t>im selben Zeitraum jedoch von 51,3 auf 36,2 Prozent</w:t>
      </w:r>
      <w:r w:rsidR="008A7F1A">
        <w:rPr>
          <w:rFonts w:ascii="Arial" w:hAnsi="Arial"/>
        </w:rPr>
        <w:t>.</w:t>
      </w:r>
      <w:r w:rsidR="003150D9">
        <w:rPr>
          <w:rFonts w:ascii="Arial" w:hAnsi="Arial"/>
        </w:rPr>
        <w:t xml:space="preserve"> In China </w:t>
      </w:r>
      <w:r w:rsidR="008A7F1A">
        <w:rPr>
          <w:rFonts w:ascii="Arial" w:hAnsi="Arial"/>
        </w:rPr>
        <w:t xml:space="preserve">vervierfachten sich </w:t>
      </w:r>
      <w:r w:rsidR="003150D9">
        <w:rPr>
          <w:rFonts w:ascii="Arial" w:hAnsi="Arial"/>
        </w:rPr>
        <w:t xml:space="preserve">die </w:t>
      </w:r>
      <w:r w:rsidR="003150D9" w:rsidRPr="00A0052D">
        <w:rPr>
          <w:rFonts w:ascii="Arial" w:hAnsi="Arial"/>
        </w:rPr>
        <w:t>Militärausgaben</w:t>
      </w:r>
      <w:r w:rsidR="003150D9">
        <w:rPr>
          <w:rFonts w:ascii="Arial" w:hAnsi="Arial"/>
        </w:rPr>
        <w:t xml:space="preserve"> von rund 7</w:t>
      </w:r>
      <w:r w:rsidR="008A7F1A">
        <w:rPr>
          <w:rFonts w:ascii="Arial" w:hAnsi="Arial"/>
        </w:rPr>
        <w:t>5</w:t>
      </w:r>
      <w:r w:rsidR="003150D9">
        <w:rPr>
          <w:rFonts w:ascii="Arial" w:hAnsi="Arial"/>
        </w:rPr>
        <w:t xml:space="preserve"> </w:t>
      </w:r>
      <w:r w:rsidR="003150D9" w:rsidRPr="0093244F">
        <w:rPr>
          <w:rFonts w:ascii="Arial" w:hAnsi="Arial"/>
        </w:rPr>
        <w:t>Milliarden US-Dollar</w:t>
      </w:r>
      <w:r w:rsidR="003150D9">
        <w:rPr>
          <w:rFonts w:ascii="Arial" w:hAnsi="Arial"/>
        </w:rPr>
        <w:t xml:space="preserve"> </w:t>
      </w:r>
      <w:r w:rsidR="008A7F1A">
        <w:rPr>
          <w:rFonts w:ascii="Arial" w:hAnsi="Arial"/>
        </w:rPr>
        <w:t xml:space="preserve">im Jahr </w:t>
      </w:r>
      <w:r w:rsidR="003150D9">
        <w:rPr>
          <w:rFonts w:ascii="Arial" w:hAnsi="Arial"/>
        </w:rPr>
        <w:t xml:space="preserve">2005 auf </w:t>
      </w:r>
      <w:r w:rsidR="008A7F1A">
        <w:rPr>
          <w:rFonts w:ascii="Arial" w:hAnsi="Arial"/>
        </w:rPr>
        <w:t xml:space="preserve">rund 320 </w:t>
      </w:r>
      <w:r w:rsidR="008A7F1A" w:rsidRPr="0093244F">
        <w:rPr>
          <w:rFonts w:ascii="Arial" w:hAnsi="Arial"/>
        </w:rPr>
        <w:t>Milliarden US-Dollar</w:t>
      </w:r>
      <w:r w:rsidR="008A7F1A">
        <w:rPr>
          <w:rFonts w:ascii="Arial" w:hAnsi="Arial"/>
        </w:rPr>
        <w:t xml:space="preserve"> 2024. Entsprechend erhöhte sich der Anteil Chinas an den </w:t>
      </w:r>
      <w:r w:rsidR="008A7F1A" w:rsidRPr="00A0052D">
        <w:rPr>
          <w:rFonts w:ascii="Arial" w:hAnsi="Arial"/>
        </w:rPr>
        <w:t>weltweiten Militärausgaben</w:t>
      </w:r>
      <w:r w:rsidR="008A7F1A">
        <w:rPr>
          <w:rFonts w:ascii="Arial" w:hAnsi="Arial"/>
        </w:rPr>
        <w:t xml:space="preserve"> zwischen 2005 und 2024 von 4,7 auf 11,9 Prozent. Auch in Russland vervierfachten sich die A</w:t>
      </w:r>
      <w:r w:rsidR="008A7F1A" w:rsidRPr="00A0052D">
        <w:rPr>
          <w:rFonts w:ascii="Arial" w:hAnsi="Arial"/>
        </w:rPr>
        <w:t>usgaben</w:t>
      </w:r>
      <w:r w:rsidR="008A7F1A">
        <w:rPr>
          <w:rFonts w:ascii="Arial" w:hAnsi="Arial"/>
        </w:rPr>
        <w:t xml:space="preserve"> in dieser Zeit </w:t>
      </w:r>
      <w:r w:rsidR="008A7F1A">
        <w:rPr>
          <w:rFonts w:ascii="Arial" w:hAnsi="Arial"/>
        </w:rPr>
        <w:lastRenderedPageBreak/>
        <w:t xml:space="preserve">von 35 auf 150 </w:t>
      </w:r>
      <w:r w:rsidR="008A7F1A" w:rsidRPr="0093244F">
        <w:rPr>
          <w:rFonts w:ascii="Arial" w:hAnsi="Arial"/>
        </w:rPr>
        <w:t>Milliarden US-Dollar</w:t>
      </w:r>
      <w:r w:rsidR="005B28C9">
        <w:rPr>
          <w:rFonts w:ascii="Arial" w:hAnsi="Arial"/>
        </w:rPr>
        <w:t xml:space="preserve">, der </w:t>
      </w:r>
      <w:r w:rsidR="008A7F1A">
        <w:rPr>
          <w:rFonts w:ascii="Arial" w:hAnsi="Arial"/>
        </w:rPr>
        <w:t>Anteil stieg von 2,2 auf 5,6 Prozent.</w:t>
      </w:r>
      <w:r w:rsidR="005B28C9">
        <w:rPr>
          <w:rFonts w:ascii="Arial" w:hAnsi="Arial"/>
        </w:rPr>
        <w:t xml:space="preserve"> In Deutschland verdoppelten sich die </w:t>
      </w:r>
      <w:r w:rsidR="005B28C9" w:rsidRPr="00A0052D">
        <w:rPr>
          <w:rFonts w:ascii="Arial" w:hAnsi="Arial"/>
        </w:rPr>
        <w:t>Militärausgaben</w:t>
      </w:r>
      <w:r w:rsidR="005B28C9">
        <w:rPr>
          <w:rFonts w:ascii="Arial" w:hAnsi="Arial"/>
        </w:rPr>
        <w:t xml:space="preserve"> zwischen 2005 und 2024 von 44 auf 86 </w:t>
      </w:r>
      <w:r w:rsidR="005B28C9" w:rsidRPr="0093244F">
        <w:rPr>
          <w:rFonts w:ascii="Arial" w:hAnsi="Arial"/>
        </w:rPr>
        <w:t>Milliarden US-Dollar</w:t>
      </w:r>
      <w:r w:rsidR="005B28C9">
        <w:rPr>
          <w:rFonts w:ascii="Arial" w:hAnsi="Arial"/>
        </w:rPr>
        <w:t xml:space="preserve">, der Anteil an den </w:t>
      </w:r>
      <w:r w:rsidR="005B28C9" w:rsidRPr="00A0052D">
        <w:rPr>
          <w:rFonts w:ascii="Arial" w:hAnsi="Arial"/>
        </w:rPr>
        <w:t>weltweiten Militärausgaben</w:t>
      </w:r>
      <w:r w:rsidR="005B28C9">
        <w:rPr>
          <w:rFonts w:ascii="Arial" w:hAnsi="Arial"/>
        </w:rPr>
        <w:t xml:space="preserve"> stieg dabei leicht von 2,7 auf 3,2 Prozent.</w:t>
      </w:r>
    </w:p>
    <w:p w14:paraId="1A75EF04" w14:textId="77777777" w:rsidR="00FD14AA" w:rsidRDefault="00FD14AA">
      <w:pPr>
        <w:tabs>
          <w:tab w:val="left" w:pos="3060"/>
        </w:tabs>
        <w:rPr>
          <w:rFonts w:ascii="Arial" w:hAnsi="Arial"/>
        </w:rPr>
      </w:pPr>
    </w:p>
    <w:p w14:paraId="342C92BE" w14:textId="37380A6A" w:rsidR="002F7970" w:rsidRDefault="006E4C4B">
      <w:pPr>
        <w:tabs>
          <w:tab w:val="left" w:pos="3060"/>
        </w:tabs>
        <w:rPr>
          <w:rFonts w:ascii="Arial" w:hAnsi="Arial"/>
        </w:rPr>
      </w:pPr>
      <w:r>
        <w:rPr>
          <w:rFonts w:ascii="Arial" w:hAnsi="Arial"/>
        </w:rPr>
        <w:t xml:space="preserve">Eine andere Reihenfolge ergibt sich, wenn bei den Staaten die </w:t>
      </w:r>
      <w:r w:rsidRPr="00A0052D">
        <w:rPr>
          <w:rFonts w:ascii="Arial" w:hAnsi="Arial"/>
        </w:rPr>
        <w:t>Militärausgaben</w:t>
      </w:r>
      <w:r>
        <w:rPr>
          <w:rFonts w:ascii="Arial" w:hAnsi="Arial"/>
        </w:rPr>
        <w:t xml:space="preserve"> ins Verhältnis zur Wirtschaftsleistung gesetzt werden. Infolge des </w:t>
      </w:r>
      <w:r w:rsidRPr="006E4C4B">
        <w:rPr>
          <w:rFonts w:ascii="Arial" w:hAnsi="Arial"/>
        </w:rPr>
        <w:t>russischen Angriffskrieg</w:t>
      </w:r>
      <w:r w:rsidR="00272EB8">
        <w:rPr>
          <w:rFonts w:ascii="Arial" w:hAnsi="Arial"/>
        </w:rPr>
        <w:t>e</w:t>
      </w:r>
      <w:r w:rsidRPr="006E4C4B">
        <w:rPr>
          <w:rFonts w:ascii="Arial" w:hAnsi="Arial"/>
        </w:rPr>
        <w:t xml:space="preserve">s </w:t>
      </w:r>
      <w:r>
        <w:rPr>
          <w:rFonts w:ascii="Arial" w:hAnsi="Arial"/>
        </w:rPr>
        <w:t xml:space="preserve">auf die </w:t>
      </w:r>
      <w:r w:rsidRPr="006E4C4B">
        <w:rPr>
          <w:rFonts w:ascii="Arial" w:hAnsi="Arial"/>
        </w:rPr>
        <w:t>Ukrain</w:t>
      </w:r>
      <w:r>
        <w:rPr>
          <w:rFonts w:ascii="Arial" w:hAnsi="Arial"/>
        </w:rPr>
        <w:t xml:space="preserve">e haben sich die </w:t>
      </w:r>
      <w:r w:rsidRPr="00A0052D">
        <w:rPr>
          <w:rFonts w:ascii="Arial" w:hAnsi="Arial"/>
        </w:rPr>
        <w:t>Militärausgaben</w:t>
      </w:r>
      <w:r>
        <w:rPr>
          <w:rFonts w:ascii="Arial" w:hAnsi="Arial"/>
        </w:rPr>
        <w:t xml:space="preserve"> der Ukraine gegenüber dem Jahr </w:t>
      </w:r>
      <w:r w:rsidR="00BB1F58">
        <w:rPr>
          <w:rFonts w:ascii="Arial" w:hAnsi="Arial"/>
        </w:rPr>
        <w:t xml:space="preserve">2021 etwa </w:t>
      </w:r>
      <w:r>
        <w:rPr>
          <w:rFonts w:ascii="Arial" w:hAnsi="Arial"/>
        </w:rPr>
        <w:t>verzehnfacht und</w:t>
      </w:r>
      <w:r w:rsidR="00BB1F58">
        <w:rPr>
          <w:rFonts w:ascii="Arial" w:hAnsi="Arial"/>
        </w:rPr>
        <w:t xml:space="preserve"> 2024 entsprachen die Ausgaben mehr als einem Drittel des </w:t>
      </w:r>
      <w:r w:rsidR="00BB1F58" w:rsidRPr="00BB1F58">
        <w:rPr>
          <w:rFonts w:ascii="Arial" w:hAnsi="Arial"/>
        </w:rPr>
        <w:t>Bruttoinlandsprodukt</w:t>
      </w:r>
      <w:r w:rsidR="00BB1F58">
        <w:rPr>
          <w:rFonts w:ascii="Arial" w:hAnsi="Arial"/>
        </w:rPr>
        <w:t>s der Ukraine (34,5 Prozent). An zweiter und dritter Stelle standen im Jahr 2024 Israel und Algerien, wo die</w:t>
      </w:r>
      <w:r w:rsidR="00BB1F58" w:rsidRPr="00BB1F58">
        <w:rPr>
          <w:rFonts w:ascii="Arial" w:hAnsi="Arial"/>
        </w:rPr>
        <w:t xml:space="preserve"> </w:t>
      </w:r>
      <w:r w:rsidR="00BB1F58" w:rsidRPr="00A0052D">
        <w:rPr>
          <w:rFonts w:ascii="Arial" w:hAnsi="Arial"/>
        </w:rPr>
        <w:t>Militärausgaben</w:t>
      </w:r>
      <w:r w:rsidR="00BB1F58">
        <w:rPr>
          <w:rFonts w:ascii="Arial" w:hAnsi="Arial"/>
        </w:rPr>
        <w:t xml:space="preserve"> 8,8 bzw. 8,0 Prozent des jeweiligen BIP entsprachen.</w:t>
      </w:r>
      <w:r w:rsidR="002F7970" w:rsidRPr="002F7970">
        <w:t xml:space="preserve"> </w:t>
      </w:r>
      <w:r w:rsidR="002F7970" w:rsidRPr="002F7970">
        <w:rPr>
          <w:rFonts w:ascii="Arial" w:hAnsi="Arial"/>
        </w:rPr>
        <w:t>Darauf folgte</w:t>
      </w:r>
      <w:r w:rsidR="002F7970">
        <w:rPr>
          <w:rFonts w:ascii="Arial" w:hAnsi="Arial"/>
        </w:rPr>
        <w:t>n</w:t>
      </w:r>
      <w:r w:rsidR="002F7970" w:rsidRPr="002F7970">
        <w:rPr>
          <w:rFonts w:ascii="Arial" w:hAnsi="Arial"/>
        </w:rPr>
        <w:t xml:space="preserve"> Saudi-Arabien (7,3 Prozent</w:t>
      </w:r>
      <w:r w:rsidR="002F7970">
        <w:rPr>
          <w:rFonts w:ascii="Arial" w:hAnsi="Arial"/>
        </w:rPr>
        <w:t xml:space="preserve"> des BIP</w:t>
      </w:r>
      <w:r w:rsidR="002F7970" w:rsidRPr="002F7970">
        <w:rPr>
          <w:rFonts w:ascii="Arial" w:hAnsi="Arial"/>
        </w:rPr>
        <w:t>), Russland (7,1 Prozent), Myanmar (6,8 Prozent), Oman (5,6 Prozent), Armenien (5,5 Prozent) und Aserbaidschan (5,0 Prozent).</w:t>
      </w:r>
      <w:r w:rsidR="002F7970">
        <w:rPr>
          <w:rFonts w:ascii="Arial" w:hAnsi="Arial"/>
        </w:rPr>
        <w:t xml:space="preserve"> </w:t>
      </w:r>
      <w:r w:rsidR="007A18D6">
        <w:rPr>
          <w:rFonts w:ascii="Arial" w:hAnsi="Arial"/>
        </w:rPr>
        <w:t xml:space="preserve">Obwohl die absoluten </w:t>
      </w:r>
      <w:r w:rsidR="007A18D6" w:rsidRPr="00A0052D">
        <w:rPr>
          <w:rFonts w:ascii="Arial" w:hAnsi="Arial"/>
        </w:rPr>
        <w:t>Militärausgaben</w:t>
      </w:r>
      <w:r w:rsidR="007A18D6">
        <w:rPr>
          <w:rFonts w:ascii="Arial" w:hAnsi="Arial"/>
        </w:rPr>
        <w:t xml:space="preserve"> der </w:t>
      </w:r>
      <w:r w:rsidR="002F7970">
        <w:rPr>
          <w:rFonts w:ascii="Arial" w:hAnsi="Arial"/>
        </w:rPr>
        <w:t xml:space="preserve">USA </w:t>
      </w:r>
      <w:r w:rsidR="007A18D6">
        <w:rPr>
          <w:rFonts w:ascii="Arial" w:hAnsi="Arial"/>
        </w:rPr>
        <w:t xml:space="preserve">weit über denen der anderen Staaten liegen, entsprachen sie aufgrund der hohen Wirtschaftsleistung der USA lediglich 3,4 Prozent des BIP. In Deutschland </w:t>
      </w:r>
      <w:r w:rsidR="007B6E51">
        <w:rPr>
          <w:rFonts w:ascii="Arial" w:hAnsi="Arial"/>
        </w:rPr>
        <w:t xml:space="preserve">waren es </w:t>
      </w:r>
      <w:r w:rsidR="007A18D6">
        <w:rPr>
          <w:rFonts w:ascii="Arial" w:hAnsi="Arial"/>
        </w:rPr>
        <w:t>1,9 Prozent und in China 1,7 Prozent des jeweiligen BIP.</w:t>
      </w:r>
    </w:p>
    <w:p w14:paraId="71127D88" w14:textId="77777777" w:rsidR="00FD14AA" w:rsidRDefault="00FD14AA">
      <w:pPr>
        <w:tabs>
          <w:tab w:val="left" w:pos="3060"/>
        </w:tabs>
        <w:rPr>
          <w:rFonts w:ascii="Arial" w:hAnsi="Arial"/>
        </w:rPr>
      </w:pPr>
    </w:p>
    <w:p w14:paraId="450E8CBB" w14:textId="0BCB9912" w:rsidR="00585903" w:rsidRDefault="00990FCF" w:rsidP="00990FCF">
      <w:pPr>
        <w:tabs>
          <w:tab w:val="left" w:pos="3060"/>
        </w:tabs>
        <w:rPr>
          <w:rFonts w:ascii="Arial" w:hAnsi="Arial"/>
        </w:rPr>
      </w:pPr>
      <w:r w:rsidRPr="00990FCF">
        <w:rPr>
          <w:rFonts w:ascii="Arial" w:hAnsi="Arial"/>
        </w:rPr>
        <w:t xml:space="preserve">Bei den Staaten mit den höchsten Militärausgaben pro Kopf waren die Top 10: Israel (4.989 US$), </w:t>
      </w:r>
      <w:r>
        <w:rPr>
          <w:rFonts w:ascii="Arial" w:hAnsi="Arial"/>
        </w:rPr>
        <w:t xml:space="preserve">die </w:t>
      </w:r>
      <w:r w:rsidRPr="00990FCF">
        <w:rPr>
          <w:rFonts w:ascii="Arial" w:hAnsi="Arial"/>
        </w:rPr>
        <w:t xml:space="preserve">USA (2.895 US$), Singapur (2.591 US$), Saudi-Arabien (2.386 US$), Norwegen (1.880 US$), </w:t>
      </w:r>
      <w:r>
        <w:rPr>
          <w:rFonts w:ascii="Arial" w:hAnsi="Arial"/>
        </w:rPr>
        <w:t xml:space="preserve">die </w:t>
      </w:r>
      <w:r w:rsidRPr="00990FCF">
        <w:rPr>
          <w:rFonts w:ascii="Arial" w:hAnsi="Arial"/>
        </w:rPr>
        <w:t xml:space="preserve">Ukraine (1.728 US$), Dänemark (1.670 US$), Kuwait (1.596 US$), Luxemburg (1.303 US$) und die Niederlande (1.276 US$). </w:t>
      </w:r>
      <w:r>
        <w:rPr>
          <w:rFonts w:ascii="Arial" w:hAnsi="Arial"/>
        </w:rPr>
        <w:t xml:space="preserve">In Deutschland lagen die </w:t>
      </w:r>
      <w:r w:rsidRPr="00990FCF">
        <w:rPr>
          <w:rFonts w:ascii="Arial" w:hAnsi="Arial"/>
        </w:rPr>
        <w:t xml:space="preserve">Militärausgaben </w:t>
      </w:r>
      <w:r>
        <w:rPr>
          <w:rFonts w:ascii="Arial" w:hAnsi="Arial"/>
        </w:rPr>
        <w:t xml:space="preserve">im Jahr 2024 bei </w:t>
      </w:r>
      <w:r w:rsidRPr="00990FCF">
        <w:rPr>
          <w:rFonts w:ascii="Arial" w:hAnsi="Arial"/>
        </w:rPr>
        <w:t>1.044</w:t>
      </w:r>
      <w:r>
        <w:rPr>
          <w:rFonts w:ascii="Arial" w:hAnsi="Arial"/>
        </w:rPr>
        <w:t xml:space="preserve"> US-Dollar </w:t>
      </w:r>
      <w:r w:rsidRPr="00990FCF">
        <w:rPr>
          <w:rFonts w:ascii="Arial" w:hAnsi="Arial"/>
        </w:rPr>
        <w:t>pro Kopf</w:t>
      </w:r>
      <w:r>
        <w:rPr>
          <w:rFonts w:ascii="Arial" w:hAnsi="Arial"/>
        </w:rPr>
        <w:t>.</w:t>
      </w:r>
    </w:p>
    <w:p w14:paraId="24110C9F" w14:textId="77777777" w:rsidR="00FD14AA" w:rsidRDefault="00FD14AA" w:rsidP="00990FCF">
      <w:pPr>
        <w:tabs>
          <w:tab w:val="left" w:pos="3060"/>
        </w:tabs>
        <w:rPr>
          <w:rFonts w:ascii="Arial" w:hAnsi="Arial"/>
        </w:rPr>
      </w:pPr>
    </w:p>
    <w:p w14:paraId="30092DD3" w14:textId="66D7BFDF" w:rsidR="00F62D5A" w:rsidRPr="00D55D3F" w:rsidRDefault="00F62D5A">
      <w:pPr>
        <w:tabs>
          <w:tab w:val="left" w:pos="3060"/>
        </w:tabs>
        <w:rPr>
          <w:rFonts w:ascii="Arial" w:hAnsi="Arial"/>
          <w:color w:val="FF0000"/>
          <w:lang w:val="en-US"/>
        </w:rPr>
      </w:pPr>
      <w:r w:rsidRPr="00D55D3F">
        <w:rPr>
          <w:rFonts w:ascii="Arial" w:hAnsi="Arial"/>
          <w:color w:val="FF0000"/>
          <w:lang w:val="en-US"/>
        </w:rPr>
        <w:t>Datenquelle</w:t>
      </w:r>
    </w:p>
    <w:p w14:paraId="6B2FD6E2" w14:textId="77777777" w:rsidR="00F62D5A" w:rsidRPr="00D55D3F" w:rsidRDefault="00F62D5A">
      <w:pPr>
        <w:tabs>
          <w:tab w:val="left" w:pos="3060"/>
        </w:tabs>
        <w:rPr>
          <w:rFonts w:ascii="Arial" w:hAnsi="Arial"/>
          <w:lang w:val="en-US"/>
        </w:rPr>
      </w:pPr>
    </w:p>
    <w:p w14:paraId="25539723" w14:textId="0A15DC2D" w:rsidR="00F62D5A" w:rsidRDefault="00FC53B2">
      <w:pPr>
        <w:tabs>
          <w:tab w:val="left" w:pos="3060"/>
        </w:tabs>
        <w:rPr>
          <w:rFonts w:ascii="Arial" w:hAnsi="Arial"/>
          <w:color w:val="000000"/>
          <w:lang w:val="en-GB"/>
        </w:rPr>
      </w:pPr>
      <w:r w:rsidRPr="00FC53B2">
        <w:rPr>
          <w:rFonts w:ascii="Arial" w:hAnsi="Arial"/>
          <w:color w:val="000000"/>
          <w:lang w:val="en-GB"/>
        </w:rPr>
        <w:t>SIPRI Military Expenditure Database 2025, https://www.sipri.org/databases/milex</w:t>
      </w:r>
    </w:p>
    <w:p w14:paraId="12D9D716" w14:textId="77777777" w:rsidR="00DB2B44" w:rsidRDefault="00DB2B44">
      <w:pPr>
        <w:tabs>
          <w:tab w:val="left" w:pos="3060"/>
        </w:tabs>
        <w:rPr>
          <w:rFonts w:ascii="Arial" w:hAnsi="Arial"/>
          <w:color w:val="000000"/>
          <w:lang w:val="en-GB"/>
        </w:rPr>
      </w:pPr>
    </w:p>
    <w:p w14:paraId="4A1D1167" w14:textId="77777777" w:rsidR="00F62D5A" w:rsidRDefault="00F62D5A">
      <w:pPr>
        <w:tabs>
          <w:tab w:val="left" w:pos="3060"/>
        </w:tabs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>Begriffe, methodische Anmerkungen oder Lesehilfen</w:t>
      </w:r>
    </w:p>
    <w:p w14:paraId="58316EEA" w14:textId="77777777" w:rsidR="00F62D5A" w:rsidRPr="00C12E4B" w:rsidRDefault="00F62D5A" w:rsidP="00C12E4B">
      <w:pPr>
        <w:tabs>
          <w:tab w:val="left" w:pos="3060"/>
        </w:tabs>
        <w:rPr>
          <w:rFonts w:ascii="Arial" w:hAnsi="Arial"/>
          <w:color w:val="000000"/>
          <w:lang w:val="en-GB"/>
        </w:rPr>
      </w:pPr>
    </w:p>
    <w:p w14:paraId="13C84299" w14:textId="77777777" w:rsidR="00C12E4B" w:rsidRPr="00152A04" w:rsidRDefault="00C12E4B" w:rsidP="00C12E4B">
      <w:pPr>
        <w:tabs>
          <w:tab w:val="left" w:pos="3060"/>
        </w:tabs>
        <w:rPr>
          <w:rFonts w:ascii="Arial" w:hAnsi="Arial"/>
          <w:color w:val="000000"/>
        </w:rPr>
      </w:pPr>
      <w:r w:rsidRPr="00152A04">
        <w:rPr>
          <w:rFonts w:ascii="Arial" w:hAnsi="Arial"/>
          <w:color w:val="000000"/>
        </w:rPr>
        <w:t xml:space="preserve">Eine Übersicht zur </w:t>
      </w:r>
      <w:r w:rsidRPr="00152A04">
        <w:rPr>
          <w:rFonts w:ascii="Arial" w:hAnsi="Arial"/>
          <w:b/>
          <w:bCs/>
          <w:color w:val="000000"/>
        </w:rPr>
        <w:t>Einteilung der Regionen</w:t>
      </w:r>
      <w:r w:rsidRPr="00152A04">
        <w:rPr>
          <w:rFonts w:ascii="Arial" w:hAnsi="Arial"/>
          <w:color w:val="000000"/>
        </w:rPr>
        <w:t xml:space="preserve"> beim SIPRI finden Sie hier:</w:t>
      </w:r>
    </w:p>
    <w:p w14:paraId="1C7E968E" w14:textId="3BE9562A" w:rsidR="00C12E4B" w:rsidRPr="00152A04" w:rsidRDefault="00C12E4B" w:rsidP="00C12E4B">
      <w:pPr>
        <w:tabs>
          <w:tab w:val="left" w:pos="3060"/>
        </w:tabs>
        <w:rPr>
          <w:rFonts w:ascii="Arial" w:hAnsi="Arial"/>
          <w:color w:val="000000"/>
        </w:rPr>
      </w:pPr>
      <w:hyperlink r:id="rId7" w:history="1">
        <w:r w:rsidRPr="00152A04">
          <w:rPr>
            <w:rStyle w:val="Hyperlink"/>
            <w:rFonts w:ascii="Arial" w:hAnsi="Arial"/>
          </w:rPr>
          <w:t>https://www.sipri.org/databases/regional-coverage</w:t>
        </w:r>
      </w:hyperlink>
    </w:p>
    <w:p w14:paraId="7986545C" w14:textId="77777777" w:rsidR="00640D3E" w:rsidRPr="00152A04" w:rsidRDefault="00640D3E" w:rsidP="00C12E4B">
      <w:pPr>
        <w:tabs>
          <w:tab w:val="left" w:pos="3060"/>
        </w:tabs>
        <w:rPr>
          <w:rFonts w:ascii="Arial" w:hAnsi="Arial"/>
          <w:color w:val="000000"/>
        </w:rPr>
      </w:pPr>
    </w:p>
    <w:p w14:paraId="315F4289" w14:textId="77777777" w:rsidR="00AB2707" w:rsidRPr="00AB2707" w:rsidRDefault="00AB2707" w:rsidP="00AB2707">
      <w:pPr>
        <w:rPr>
          <w:rFonts w:ascii="Arial" w:hAnsi="Arial"/>
          <w:sz w:val="20"/>
          <w:szCs w:val="20"/>
        </w:rPr>
      </w:pPr>
      <w:r w:rsidRPr="00AB2707">
        <w:rPr>
          <w:rFonts w:ascii="Arial" w:hAnsi="Arial"/>
          <w:sz w:val="20"/>
          <w:szCs w:val="20"/>
        </w:rPr>
        <w:t>Dieser Text ist unter der Creative Commons Lizenz CC BY-NC-ND 4.0 veröffentlicht.</w:t>
      </w:r>
    </w:p>
    <w:p w14:paraId="10109238" w14:textId="5B3A866D" w:rsidR="00FC53B2" w:rsidRDefault="00AB2707" w:rsidP="00AB2707">
      <w:pPr>
        <w:rPr>
          <w:rFonts w:ascii="Arial" w:hAnsi="Arial"/>
          <w:sz w:val="20"/>
          <w:szCs w:val="20"/>
        </w:rPr>
      </w:pPr>
      <w:r w:rsidRPr="00AB2707">
        <w:rPr>
          <w:rFonts w:ascii="Arial" w:hAnsi="Arial"/>
          <w:sz w:val="20"/>
          <w:szCs w:val="20"/>
        </w:rPr>
        <w:t>Bundeszentrale für politische Bildung 202</w:t>
      </w:r>
      <w:r w:rsidR="004F5E24">
        <w:rPr>
          <w:rFonts w:ascii="Arial" w:hAnsi="Arial"/>
          <w:sz w:val="20"/>
          <w:szCs w:val="20"/>
        </w:rPr>
        <w:t>5</w:t>
      </w:r>
      <w:r w:rsidRPr="00AB2707">
        <w:rPr>
          <w:rFonts w:ascii="Arial" w:hAnsi="Arial"/>
          <w:sz w:val="20"/>
          <w:szCs w:val="20"/>
        </w:rPr>
        <w:t xml:space="preserve"> | </w:t>
      </w:r>
      <w:r w:rsidR="00FC53B2" w:rsidRPr="00FC53B2">
        <w:rPr>
          <w:rFonts w:ascii="Arial" w:hAnsi="Arial"/>
          <w:sz w:val="20"/>
          <w:szCs w:val="20"/>
        </w:rPr>
        <w:t>www.bpb.de</w:t>
      </w:r>
    </w:p>
    <w:sectPr w:rsidR="00FC53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C14D" w14:textId="77777777" w:rsidR="00EE17DC" w:rsidRDefault="00EE17DC" w:rsidP="0001288A">
      <w:r>
        <w:separator/>
      </w:r>
    </w:p>
  </w:endnote>
  <w:endnote w:type="continuationSeparator" w:id="0">
    <w:p w14:paraId="705988AD" w14:textId="77777777" w:rsidR="00EE17DC" w:rsidRDefault="00EE17DC" w:rsidP="0001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D7CF" w14:textId="77777777" w:rsidR="0001288A" w:rsidRDefault="0001288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752F5" w14:textId="77777777" w:rsidR="0001288A" w:rsidRDefault="0001288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72895" w14:textId="77777777" w:rsidR="0001288A" w:rsidRDefault="000128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5A144" w14:textId="77777777" w:rsidR="00EE17DC" w:rsidRDefault="00EE17DC" w:rsidP="0001288A">
      <w:r>
        <w:separator/>
      </w:r>
    </w:p>
  </w:footnote>
  <w:footnote w:type="continuationSeparator" w:id="0">
    <w:p w14:paraId="7D821382" w14:textId="77777777" w:rsidR="00EE17DC" w:rsidRDefault="00EE17DC" w:rsidP="00012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B8482" w14:textId="77777777" w:rsidR="0001288A" w:rsidRDefault="0001288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988AB" w14:textId="77777777" w:rsidR="0001288A" w:rsidRDefault="0001288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0544" w14:textId="77777777" w:rsidR="0001288A" w:rsidRDefault="0001288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4DE"/>
    <w:multiLevelType w:val="hybridMultilevel"/>
    <w:tmpl w:val="E08E4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65C09"/>
    <w:multiLevelType w:val="multilevel"/>
    <w:tmpl w:val="FC94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8760F"/>
    <w:multiLevelType w:val="multilevel"/>
    <w:tmpl w:val="BE08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1C143C"/>
    <w:multiLevelType w:val="multilevel"/>
    <w:tmpl w:val="F702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582D64"/>
    <w:multiLevelType w:val="multilevel"/>
    <w:tmpl w:val="29D4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9766687">
    <w:abstractNumId w:val="0"/>
  </w:num>
  <w:num w:numId="2" w16cid:durableId="1219516899">
    <w:abstractNumId w:val="2"/>
  </w:num>
  <w:num w:numId="3" w16cid:durableId="223025090">
    <w:abstractNumId w:val="1"/>
  </w:num>
  <w:num w:numId="4" w16cid:durableId="2133739806">
    <w:abstractNumId w:val="4"/>
  </w:num>
  <w:num w:numId="5" w16cid:durableId="209726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63"/>
    <w:rsid w:val="0000408A"/>
    <w:rsid w:val="00007656"/>
    <w:rsid w:val="00012187"/>
    <w:rsid w:val="0001288A"/>
    <w:rsid w:val="0002128B"/>
    <w:rsid w:val="000534D0"/>
    <w:rsid w:val="000B061C"/>
    <w:rsid w:val="000B1501"/>
    <w:rsid w:val="000B4D29"/>
    <w:rsid w:val="000E08A0"/>
    <w:rsid w:val="000E47E6"/>
    <w:rsid w:val="00115A39"/>
    <w:rsid w:val="0012766C"/>
    <w:rsid w:val="0013725F"/>
    <w:rsid w:val="00151514"/>
    <w:rsid w:val="001524BB"/>
    <w:rsid w:val="001527DC"/>
    <w:rsid w:val="00152A04"/>
    <w:rsid w:val="00185BCF"/>
    <w:rsid w:val="001A75DF"/>
    <w:rsid w:val="001B3D8C"/>
    <w:rsid w:val="001C0420"/>
    <w:rsid w:val="001C1524"/>
    <w:rsid w:val="001E2591"/>
    <w:rsid w:val="002156A0"/>
    <w:rsid w:val="0023024E"/>
    <w:rsid w:val="00240B1F"/>
    <w:rsid w:val="00272EB8"/>
    <w:rsid w:val="0027550C"/>
    <w:rsid w:val="00277B75"/>
    <w:rsid w:val="00295173"/>
    <w:rsid w:val="002A3298"/>
    <w:rsid w:val="002A54E9"/>
    <w:rsid w:val="002A7F82"/>
    <w:rsid w:val="002E1896"/>
    <w:rsid w:val="002F7970"/>
    <w:rsid w:val="003150D9"/>
    <w:rsid w:val="00322539"/>
    <w:rsid w:val="003315F7"/>
    <w:rsid w:val="00335820"/>
    <w:rsid w:val="00353088"/>
    <w:rsid w:val="00374480"/>
    <w:rsid w:val="00390A07"/>
    <w:rsid w:val="003A0895"/>
    <w:rsid w:val="003F7482"/>
    <w:rsid w:val="004147C4"/>
    <w:rsid w:val="00425AFE"/>
    <w:rsid w:val="00436794"/>
    <w:rsid w:val="00484B48"/>
    <w:rsid w:val="004C2C36"/>
    <w:rsid w:val="004D1BB9"/>
    <w:rsid w:val="004F5E24"/>
    <w:rsid w:val="00506DAA"/>
    <w:rsid w:val="00525B0E"/>
    <w:rsid w:val="00573001"/>
    <w:rsid w:val="00576CDC"/>
    <w:rsid w:val="005858FC"/>
    <w:rsid w:val="00585903"/>
    <w:rsid w:val="005917B3"/>
    <w:rsid w:val="005974BE"/>
    <w:rsid w:val="005B28C9"/>
    <w:rsid w:val="005C00FD"/>
    <w:rsid w:val="005C01BC"/>
    <w:rsid w:val="005C5335"/>
    <w:rsid w:val="005E3129"/>
    <w:rsid w:val="00630133"/>
    <w:rsid w:val="006332BD"/>
    <w:rsid w:val="00640D3E"/>
    <w:rsid w:val="00644F8F"/>
    <w:rsid w:val="00651D64"/>
    <w:rsid w:val="00652AAE"/>
    <w:rsid w:val="006B3B86"/>
    <w:rsid w:val="006B7F69"/>
    <w:rsid w:val="006E4C4B"/>
    <w:rsid w:val="006F6386"/>
    <w:rsid w:val="006F7FA2"/>
    <w:rsid w:val="007306F5"/>
    <w:rsid w:val="00742D6E"/>
    <w:rsid w:val="007571F4"/>
    <w:rsid w:val="00774EA6"/>
    <w:rsid w:val="00783E00"/>
    <w:rsid w:val="007940CB"/>
    <w:rsid w:val="007A0CD1"/>
    <w:rsid w:val="007A18D6"/>
    <w:rsid w:val="007A32B7"/>
    <w:rsid w:val="007B3951"/>
    <w:rsid w:val="007B6E51"/>
    <w:rsid w:val="007C7D4D"/>
    <w:rsid w:val="008142CF"/>
    <w:rsid w:val="00854CAB"/>
    <w:rsid w:val="00897379"/>
    <w:rsid w:val="008A164F"/>
    <w:rsid w:val="008A7F1A"/>
    <w:rsid w:val="008C59B7"/>
    <w:rsid w:val="00921DCE"/>
    <w:rsid w:val="0093244F"/>
    <w:rsid w:val="00942967"/>
    <w:rsid w:val="00944CDD"/>
    <w:rsid w:val="009748E4"/>
    <w:rsid w:val="00990FCF"/>
    <w:rsid w:val="009B1950"/>
    <w:rsid w:val="009D2EAD"/>
    <w:rsid w:val="009D3F93"/>
    <w:rsid w:val="009E7392"/>
    <w:rsid w:val="009F4E83"/>
    <w:rsid w:val="00A0052D"/>
    <w:rsid w:val="00A10D87"/>
    <w:rsid w:val="00A15610"/>
    <w:rsid w:val="00A4570A"/>
    <w:rsid w:val="00A54F91"/>
    <w:rsid w:val="00AA2882"/>
    <w:rsid w:val="00AB2707"/>
    <w:rsid w:val="00AF58B7"/>
    <w:rsid w:val="00B40B87"/>
    <w:rsid w:val="00B86516"/>
    <w:rsid w:val="00B95794"/>
    <w:rsid w:val="00BB1F58"/>
    <w:rsid w:val="00BD0C18"/>
    <w:rsid w:val="00BF64DB"/>
    <w:rsid w:val="00C04B2E"/>
    <w:rsid w:val="00C12E4B"/>
    <w:rsid w:val="00C54534"/>
    <w:rsid w:val="00C55703"/>
    <w:rsid w:val="00CB1FCD"/>
    <w:rsid w:val="00CD0FF0"/>
    <w:rsid w:val="00D20236"/>
    <w:rsid w:val="00D378A0"/>
    <w:rsid w:val="00D501AD"/>
    <w:rsid w:val="00D53EF0"/>
    <w:rsid w:val="00D55D3F"/>
    <w:rsid w:val="00DA669F"/>
    <w:rsid w:val="00DB2B44"/>
    <w:rsid w:val="00DF1947"/>
    <w:rsid w:val="00E22002"/>
    <w:rsid w:val="00E47A00"/>
    <w:rsid w:val="00EB6B27"/>
    <w:rsid w:val="00EC0512"/>
    <w:rsid w:val="00EC3668"/>
    <w:rsid w:val="00ED5679"/>
    <w:rsid w:val="00EE17DC"/>
    <w:rsid w:val="00EE4461"/>
    <w:rsid w:val="00F45E63"/>
    <w:rsid w:val="00F62D5A"/>
    <w:rsid w:val="00F713A9"/>
    <w:rsid w:val="00F91FAD"/>
    <w:rsid w:val="00FA0EA3"/>
    <w:rsid w:val="00FA534A"/>
    <w:rsid w:val="00FA6E23"/>
    <w:rsid w:val="00FB1005"/>
    <w:rsid w:val="00FB3014"/>
    <w:rsid w:val="00FC53B2"/>
    <w:rsid w:val="00FD14AA"/>
    <w:rsid w:val="00FD39CF"/>
    <w:rsid w:val="00FE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93063D"/>
  <w15:docId w15:val="{0F1D3B58-329A-4A0B-A06D-576285C9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15F7"/>
    <w:rPr>
      <w:sz w:val="24"/>
      <w:szCs w:val="24"/>
    </w:rPr>
  </w:style>
  <w:style w:type="paragraph" w:styleId="berschrift1">
    <w:name w:val="heading 1"/>
    <w:basedOn w:val="Standard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4">
    <w:name w:val="heading 4"/>
    <w:basedOn w:val="Standard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53B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pPr>
      <w:spacing w:before="100" w:beforeAutospacing="1" w:after="100" w:afterAutospacing="1"/>
    </w:pPr>
  </w:style>
  <w:style w:type="character" w:styleId="Hyperlink">
    <w:name w:val="Hyperlink"/>
    <w:rPr>
      <w:color w:val="0000FF"/>
      <w:u w:val="single"/>
    </w:rPr>
  </w:style>
  <w:style w:type="character" w:styleId="HTMLAkronym">
    <w:name w:val="HTML Acronym"/>
    <w:basedOn w:val="Absatz-Standardschriftart"/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Sprechblasentext">
    <w:name w:val="Balloon Text"/>
    <w:basedOn w:val="Standard"/>
    <w:semiHidden/>
    <w:rsid w:val="00F45E63"/>
    <w:rPr>
      <w:rFonts w:ascii="Tahoma" w:hAnsi="Tahoma" w:cs="Tahoma"/>
      <w:sz w:val="16"/>
      <w:szCs w:val="16"/>
    </w:rPr>
  </w:style>
  <w:style w:type="character" w:styleId="Fett">
    <w:name w:val="Strong"/>
    <w:uiPriority w:val="22"/>
    <w:qFormat/>
    <w:rsid w:val="00EE4461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128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288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28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288A"/>
    <w:rPr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A4570A"/>
    <w:rPr>
      <w:i/>
      <w:iCs/>
    </w:rPr>
  </w:style>
  <w:style w:type="paragraph" w:styleId="Listenabsatz">
    <w:name w:val="List Paragraph"/>
    <w:basedOn w:val="Standard"/>
    <w:uiPriority w:val="34"/>
    <w:qFormat/>
    <w:rsid w:val="004147C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C53B2"/>
    <w:rPr>
      <w:color w:val="605E5C"/>
      <w:shd w:val="clear" w:color="auto" w:fill="E1DFDD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53B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arbeitung">
    <w:name w:val="Revision"/>
    <w:hidden/>
    <w:uiPriority w:val="99"/>
    <w:semiHidden/>
    <w:rsid w:val="00152A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1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66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22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ipri.org/databases/regional-coverag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Links>
    <vt:vector size="6" baseType="variant">
      <vt:variant>
        <vt:i4>6750313</vt:i4>
      </vt:variant>
      <vt:variant>
        <vt:i4>0</vt:i4>
      </vt:variant>
      <vt:variant>
        <vt:i4>0</vt:i4>
      </vt:variant>
      <vt:variant>
        <vt:i4>5</vt:i4>
      </vt:variant>
      <vt:variant>
        <vt:lpwstr>http://www.bpb.de/52754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Christian Hartmann</cp:lastModifiedBy>
  <cp:revision>4</cp:revision>
  <dcterms:created xsi:type="dcterms:W3CDTF">2026-09-16T10:10:00Z</dcterms:created>
  <dcterms:modified xsi:type="dcterms:W3CDTF">2026-10-10T18:45:00Z</dcterms:modified>
</cp:coreProperties>
</file>