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6311" w14:textId="77777777" w:rsidR="00B74358" w:rsidRPr="00107906" w:rsidRDefault="004001F8" w:rsidP="00B74358">
      <w:pPr>
        <w:rPr>
          <w:rFonts w:ascii="Arial" w:hAnsi="Arial"/>
          <w:b/>
          <w:bCs/>
        </w:rPr>
      </w:pPr>
      <w:bookmarkStart w:id="0" w:name="_GoBack"/>
      <w:bookmarkEnd w:id="0"/>
      <w:r w:rsidRPr="00107906">
        <w:rPr>
          <w:rFonts w:ascii="Arial" w:hAnsi="Arial"/>
          <w:b/>
          <w:bCs/>
        </w:rPr>
        <w:t>Wenn Staaten Souveränität an eine übergeordnete Ebene abgeben, geht dem meistens ein langer politischer Prozess voran. Dies gilt in</w:t>
      </w:r>
      <w:r w:rsidR="00040EB2" w:rsidRPr="00107906">
        <w:rPr>
          <w:rFonts w:ascii="Arial" w:hAnsi="Arial"/>
          <w:b/>
          <w:bCs/>
        </w:rPr>
        <w:t>s</w:t>
      </w:r>
      <w:r w:rsidRPr="00107906">
        <w:rPr>
          <w:rFonts w:ascii="Arial" w:hAnsi="Arial"/>
          <w:b/>
          <w:bCs/>
        </w:rPr>
        <w:t>besondere dann, wenn es um die Schaffung von Institutionen geht, die auf Dauer angelegt sind und die mit politischer Macht ausgestattet werden. Im Bereich der Gerichtsbarkeit wurden bereits zahlreiche interna</w:t>
      </w:r>
      <w:r w:rsidR="003B4500" w:rsidRPr="00107906">
        <w:rPr>
          <w:rFonts w:ascii="Arial" w:hAnsi="Arial"/>
          <w:b/>
          <w:bCs/>
        </w:rPr>
        <w:t>tionale Institutionen geschaffen</w:t>
      </w:r>
      <w:r w:rsidR="003421C6" w:rsidRPr="00107906">
        <w:rPr>
          <w:rFonts w:ascii="Arial" w:hAnsi="Arial"/>
          <w:b/>
          <w:bCs/>
        </w:rPr>
        <w:t>.</w:t>
      </w:r>
      <w:r w:rsidR="003B4500" w:rsidRPr="00107906">
        <w:rPr>
          <w:rFonts w:ascii="Arial" w:hAnsi="Arial"/>
          <w:b/>
          <w:bCs/>
        </w:rPr>
        <w:t xml:space="preserve"> </w:t>
      </w:r>
      <w:r w:rsidR="003421C6" w:rsidRPr="00107906">
        <w:rPr>
          <w:rFonts w:ascii="Arial" w:hAnsi="Arial"/>
          <w:b/>
          <w:bCs/>
        </w:rPr>
        <w:t xml:space="preserve">Das </w:t>
      </w:r>
      <w:r w:rsidR="00D17E5C" w:rsidRPr="00107906">
        <w:rPr>
          <w:rFonts w:ascii="Arial" w:hAnsi="Arial"/>
          <w:b/>
          <w:bCs/>
        </w:rPr>
        <w:t>internationale Strafrecht</w:t>
      </w:r>
      <w:r w:rsidR="003421C6" w:rsidRPr="00107906">
        <w:rPr>
          <w:rFonts w:ascii="Arial" w:hAnsi="Arial"/>
          <w:b/>
          <w:bCs/>
        </w:rPr>
        <w:t xml:space="preserve"> weist dabei </w:t>
      </w:r>
      <w:r w:rsidR="00D17E5C" w:rsidRPr="00107906">
        <w:rPr>
          <w:rFonts w:ascii="Arial" w:hAnsi="Arial"/>
          <w:b/>
          <w:bCs/>
        </w:rPr>
        <w:t>eine Besonderheit</w:t>
      </w:r>
      <w:r w:rsidR="003421C6" w:rsidRPr="00107906">
        <w:rPr>
          <w:rFonts w:ascii="Arial" w:hAnsi="Arial"/>
          <w:b/>
          <w:bCs/>
        </w:rPr>
        <w:t xml:space="preserve"> auf</w:t>
      </w:r>
      <w:r w:rsidR="00D17E5C" w:rsidRPr="00107906">
        <w:rPr>
          <w:rFonts w:ascii="Arial" w:hAnsi="Arial"/>
          <w:b/>
          <w:bCs/>
        </w:rPr>
        <w:t>: Hier werden nicht Konflikte zwischen Staaten behand</w:t>
      </w:r>
      <w:r w:rsidR="0061510A" w:rsidRPr="00107906">
        <w:rPr>
          <w:rFonts w:ascii="Arial" w:hAnsi="Arial"/>
          <w:b/>
          <w:bCs/>
        </w:rPr>
        <w:t>elt</w:t>
      </w:r>
      <w:r w:rsidR="00D17E5C" w:rsidRPr="00107906">
        <w:rPr>
          <w:rFonts w:ascii="Arial" w:hAnsi="Arial"/>
          <w:b/>
          <w:bCs/>
        </w:rPr>
        <w:t>, sondern es wird über Personen gerichtet. Mit dem Internationalen Strafgerichtshofs (</w:t>
      </w:r>
      <w:proofErr w:type="spellStart"/>
      <w:r w:rsidR="00D17E5C" w:rsidRPr="00107906">
        <w:rPr>
          <w:rFonts w:ascii="Arial" w:hAnsi="Arial"/>
          <w:b/>
          <w:bCs/>
        </w:rPr>
        <w:t>IStGH</w:t>
      </w:r>
      <w:proofErr w:type="spellEnd"/>
      <w:r w:rsidR="00D17E5C" w:rsidRPr="00107906">
        <w:rPr>
          <w:rFonts w:ascii="Arial" w:hAnsi="Arial"/>
          <w:b/>
          <w:bCs/>
        </w:rPr>
        <w:t>) wurde eine auf Dauer angelegte, unabhängige Institution der Staatengemeinschaft geschaffen</w:t>
      </w:r>
      <w:r w:rsidR="0061510A" w:rsidRPr="00107906">
        <w:rPr>
          <w:rFonts w:ascii="Arial" w:hAnsi="Arial"/>
          <w:b/>
          <w:bCs/>
        </w:rPr>
        <w:t>, vor der sich Individuen verantworten müssen</w:t>
      </w:r>
      <w:r w:rsidR="00D17E5C" w:rsidRPr="00107906">
        <w:rPr>
          <w:rFonts w:ascii="Arial" w:hAnsi="Arial"/>
          <w:b/>
          <w:bCs/>
        </w:rPr>
        <w:t>. Bis Mitte 201</w:t>
      </w:r>
      <w:r w:rsidR="00D14637" w:rsidRPr="00107906">
        <w:rPr>
          <w:rFonts w:ascii="Arial" w:hAnsi="Arial"/>
          <w:b/>
          <w:bCs/>
        </w:rPr>
        <w:t>7</w:t>
      </w:r>
      <w:r w:rsidR="00D17E5C" w:rsidRPr="00107906">
        <w:rPr>
          <w:rFonts w:ascii="Arial" w:hAnsi="Arial"/>
          <w:b/>
          <w:bCs/>
        </w:rPr>
        <w:t xml:space="preserve"> wurde das Statut des </w:t>
      </w:r>
      <w:proofErr w:type="spellStart"/>
      <w:r w:rsidR="00D17E5C" w:rsidRPr="00107906">
        <w:rPr>
          <w:rFonts w:ascii="Arial" w:hAnsi="Arial"/>
          <w:b/>
          <w:bCs/>
        </w:rPr>
        <w:t>IStGH</w:t>
      </w:r>
      <w:proofErr w:type="spellEnd"/>
      <w:r w:rsidR="00D17E5C" w:rsidRPr="00107906">
        <w:rPr>
          <w:rFonts w:ascii="Arial" w:hAnsi="Arial"/>
          <w:b/>
          <w:bCs/>
        </w:rPr>
        <w:t xml:space="preserve"> von 12</w:t>
      </w:r>
      <w:r w:rsidR="00D14637" w:rsidRPr="00107906">
        <w:rPr>
          <w:rFonts w:ascii="Arial" w:hAnsi="Arial"/>
          <w:b/>
          <w:bCs/>
        </w:rPr>
        <w:t>4 Staaten ratifiziert.</w:t>
      </w:r>
    </w:p>
    <w:p w14:paraId="46FB313A" w14:textId="77777777" w:rsidR="00B74358" w:rsidRPr="00107906" w:rsidRDefault="00B74358" w:rsidP="00B74358">
      <w:pPr>
        <w:rPr>
          <w:rFonts w:ascii="Arial" w:hAnsi="Arial"/>
          <w:bCs/>
        </w:rPr>
      </w:pPr>
    </w:p>
    <w:p w14:paraId="5D74984D" w14:textId="118F7153" w:rsidR="00B74358" w:rsidRPr="00107906" w:rsidRDefault="00B74358" w:rsidP="00B74358">
      <w:pPr>
        <w:rPr>
          <w:rFonts w:ascii="Arial" w:hAnsi="Arial"/>
          <w:color w:val="FF0000"/>
        </w:rPr>
      </w:pPr>
      <w:r w:rsidRPr="00107906">
        <w:rPr>
          <w:rFonts w:ascii="Arial" w:hAnsi="Arial"/>
          <w:color w:val="FF0000"/>
        </w:rPr>
        <w:t>Fakten</w:t>
      </w:r>
    </w:p>
    <w:p w14:paraId="5D03AC38" w14:textId="77777777" w:rsidR="00B74358" w:rsidRPr="008141CD" w:rsidRDefault="00B74358">
      <w:pPr>
        <w:rPr>
          <w:rFonts w:ascii="Arial" w:hAnsi="Arial" w:cs="Arial"/>
        </w:rPr>
      </w:pPr>
    </w:p>
    <w:p w14:paraId="7E6E04D0" w14:textId="77777777" w:rsidR="004E32FA" w:rsidRPr="008141CD" w:rsidRDefault="004001F8">
      <w:pPr>
        <w:rPr>
          <w:rFonts w:ascii="Arial" w:hAnsi="Arial" w:cs="Arial"/>
        </w:rPr>
      </w:pPr>
      <w:r w:rsidRPr="008141CD">
        <w:rPr>
          <w:rFonts w:ascii="Arial" w:hAnsi="Arial" w:cs="Arial"/>
        </w:rPr>
        <w:t>1899 trat auf Initiative von Zar Nikolaus II. die erste Haager Friedenskonferenz zusammen. Sie beschloss, einen "Ständigen Schiedsgerichtshof" in Den Haag zu errichten. Dieser setzte sich aus ernannten Sachverständigen des Völkerrechts zusammen und sollte Konflikte zwischen Staaten schlichten. 1922 wurde im Rahmen des Völkerbundes zusätzlich der Ständige Internationale Gerichtshof (The Permanent Court of International Justice – PCIJ) geschaffen. Nach der Gründung der Vereinten Nationen (United Nations – UN) und der Schaffung des Internationalen Gerichtshofs (IGH) im Jahr 1945 wurde der PCIJ im April 1946 offiziell aufgelöst und der IGH nahm seine Arbeit auf. Der IGH urteilt ebenfalls über Streitigkeiten zwischen Staaten, die seine Zuständigkeit anerkennen</w:t>
      </w:r>
      <w:r w:rsidR="004E32FA" w:rsidRPr="008141CD">
        <w:rPr>
          <w:rFonts w:ascii="Arial" w:hAnsi="Arial" w:cs="Arial"/>
        </w:rPr>
        <w:t>.</w:t>
      </w:r>
    </w:p>
    <w:p w14:paraId="0051E65F" w14:textId="77777777" w:rsidR="004E32FA" w:rsidRPr="008141CD" w:rsidRDefault="004E32FA">
      <w:pPr>
        <w:rPr>
          <w:rFonts w:ascii="Arial" w:hAnsi="Arial" w:cs="Arial"/>
        </w:rPr>
      </w:pPr>
    </w:p>
    <w:p w14:paraId="60FF8B66" w14:textId="77777777" w:rsidR="004E32FA" w:rsidRPr="008141CD" w:rsidRDefault="004001F8">
      <w:pPr>
        <w:rPr>
          <w:rFonts w:ascii="Arial" w:hAnsi="Arial" w:cs="Arial"/>
        </w:rPr>
      </w:pPr>
      <w:r w:rsidRPr="008141CD">
        <w:rPr>
          <w:rFonts w:ascii="Arial" w:hAnsi="Arial" w:cs="Arial"/>
        </w:rPr>
        <w:t>Heute gibt es eine Vielzahl weiterer internationaler Gerichte wie zum Beispiel den Internationalen Seegerichtshof (ISGH), den Interamerikanischen Gerichtshof für Menschenrechte, den Gerichtshof der Europäischen Union (EuGH), den EFTA-Gerichtshof</w:t>
      </w:r>
      <w:r w:rsidR="00D65D4B" w:rsidRPr="008141CD">
        <w:rPr>
          <w:rFonts w:ascii="Arial" w:hAnsi="Arial" w:cs="Arial"/>
        </w:rPr>
        <w:t xml:space="preserve"> für die Europäische Freihandelsassoziation</w:t>
      </w:r>
      <w:r w:rsidRPr="008141CD">
        <w:rPr>
          <w:rFonts w:ascii="Arial" w:hAnsi="Arial" w:cs="Arial"/>
        </w:rPr>
        <w:t>, den Europäischen Gerichtshof für Menschenrechte (EGMR) oder den Internationalen Residualmechanismus für die Ad-hoc-Strafgerichtshöfe</w:t>
      </w:r>
      <w:r w:rsidR="00600A52" w:rsidRPr="008141CD">
        <w:rPr>
          <w:rFonts w:ascii="Arial" w:hAnsi="Arial" w:cs="Arial"/>
        </w:rPr>
        <w:t xml:space="preserve"> (MICT)</w:t>
      </w:r>
      <w:r w:rsidR="00F51C1F" w:rsidRPr="008141CD">
        <w:rPr>
          <w:rFonts w:ascii="Arial" w:hAnsi="Arial" w:cs="Arial"/>
        </w:rPr>
        <w:t>, der die Arbeit der beiden Strafgerichtshöfe</w:t>
      </w:r>
      <w:r w:rsidR="00B169F9" w:rsidRPr="008141CD">
        <w:rPr>
          <w:rFonts w:ascii="Arial" w:hAnsi="Arial" w:cs="Arial"/>
        </w:rPr>
        <w:t xml:space="preserve"> </w:t>
      </w:r>
      <w:r w:rsidR="001F0A20" w:rsidRPr="008141CD">
        <w:rPr>
          <w:rFonts w:ascii="Arial" w:hAnsi="Arial" w:cs="Arial"/>
        </w:rPr>
        <w:t>für das ehemalige Jugoslawien</w:t>
      </w:r>
      <w:r w:rsidR="00600A52" w:rsidRPr="008141CD">
        <w:rPr>
          <w:rFonts w:ascii="Arial" w:hAnsi="Arial" w:cs="Arial"/>
        </w:rPr>
        <w:t xml:space="preserve"> (ICTY)</w:t>
      </w:r>
      <w:r w:rsidR="001F0A20" w:rsidRPr="008141CD">
        <w:rPr>
          <w:rFonts w:ascii="Arial" w:hAnsi="Arial" w:cs="Arial"/>
        </w:rPr>
        <w:t xml:space="preserve"> </w:t>
      </w:r>
      <w:r w:rsidR="00B169F9" w:rsidRPr="008141CD">
        <w:rPr>
          <w:rFonts w:ascii="Arial" w:hAnsi="Arial" w:cs="Arial"/>
        </w:rPr>
        <w:t xml:space="preserve">sowie für </w:t>
      </w:r>
      <w:r w:rsidR="001F0A20" w:rsidRPr="008141CD">
        <w:rPr>
          <w:rFonts w:ascii="Arial" w:hAnsi="Arial" w:cs="Arial"/>
        </w:rPr>
        <w:t>Ruanda</w:t>
      </w:r>
      <w:r w:rsidR="00F51C1F" w:rsidRPr="008141CD">
        <w:rPr>
          <w:rFonts w:ascii="Arial" w:hAnsi="Arial" w:cs="Arial"/>
        </w:rPr>
        <w:t xml:space="preserve"> </w:t>
      </w:r>
      <w:r w:rsidR="00600A52" w:rsidRPr="008141CD">
        <w:rPr>
          <w:rFonts w:ascii="Arial" w:hAnsi="Arial" w:cs="Arial"/>
        </w:rPr>
        <w:t xml:space="preserve">(ICTR) </w:t>
      </w:r>
      <w:r w:rsidR="00F51C1F" w:rsidRPr="008141CD">
        <w:rPr>
          <w:rFonts w:ascii="Arial" w:hAnsi="Arial" w:cs="Arial"/>
        </w:rPr>
        <w:t>fortführt</w:t>
      </w:r>
      <w:r w:rsidR="004E32FA" w:rsidRPr="008141CD">
        <w:rPr>
          <w:rFonts w:ascii="Arial" w:hAnsi="Arial" w:cs="Arial"/>
        </w:rPr>
        <w:t>.</w:t>
      </w:r>
    </w:p>
    <w:p w14:paraId="2A715A56" w14:textId="77777777" w:rsidR="004E32FA" w:rsidRPr="008141CD" w:rsidRDefault="004E32FA">
      <w:pPr>
        <w:rPr>
          <w:rFonts w:ascii="Arial" w:hAnsi="Arial" w:cs="Arial"/>
        </w:rPr>
      </w:pPr>
    </w:p>
    <w:p w14:paraId="59A35501" w14:textId="77777777" w:rsidR="004E32FA" w:rsidRPr="008141CD" w:rsidRDefault="004001F8">
      <w:pPr>
        <w:rPr>
          <w:rFonts w:ascii="Arial" w:hAnsi="Arial" w:cs="Arial"/>
        </w:rPr>
      </w:pPr>
      <w:r w:rsidRPr="008141CD">
        <w:rPr>
          <w:rFonts w:ascii="Arial" w:hAnsi="Arial" w:cs="Arial"/>
        </w:rPr>
        <w:t>Zur neuen Generation von Strafgerichten gehören die sogenannten Hybridgerichte oder auch internationalisierten Gerichte, die nationale und internationale Elemente vereinen: Zum einen bestehen Senate und Anklagebehörde aus nationalen und internationalen Richtern beziehungsweise Staatsanwälten. Zum anderen enthält das anwendbare Recht neben den Tatbeständen des Völkerstrafrechts auch Bestimmungen des nationalen Strafrechts. Im Unterschied zu den Ad-hoc-Strafgerichtshöfen, die durch eine Resolution des Sicherheitsrats ins Leben gerufen wurden, beruhen die Hybridgerichte zumeist auf bilateralen Abkommen des Tatortstaats mit den UN</w:t>
      </w:r>
      <w:r w:rsidR="004E32FA" w:rsidRPr="008141CD">
        <w:rPr>
          <w:rFonts w:ascii="Arial" w:hAnsi="Arial" w:cs="Arial"/>
        </w:rPr>
        <w:t>.</w:t>
      </w:r>
    </w:p>
    <w:p w14:paraId="421C5369" w14:textId="77777777" w:rsidR="004E32FA" w:rsidRPr="008141CD" w:rsidRDefault="004E32FA">
      <w:pPr>
        <w:rPr>
          <w:rFonts w:ascii="Arial" w:hAnsi="Arial" w:cs="Arial"/>
        </w:rPr>
      </w:pPr>
    </w:p>
    <w:p w14:paraId="381A85F2" w14:textId="66E34A56" w:rsidR="004001F8" w:rsidRPr="008141CD" w:rsidRDefault="004001F8">
      <w:pPr>
        <w:rPr>
          <w:rFonts w:ascii="Arial" w:hAnsi="Arial" w:cs="Arial"/>
        </w:rPr>
      </w:pPr>
      <w:r w:rsidRPr="008141CD">
        <w:rPr>
          <w:rFonts w:ascii="Arial" w:hAnsi="Arial" w:cs="Arial"/>
        </w:rPr>
        <w:t xml:space="preserve">Zu diesen internationalisierten Gerichten gehören </w:t>
      </w:r>
      <w:r w:rsidR="00AA1A0D" w:rsidRPr="008141CD">
        <w:rPr>
          <w:rFonts w:ascii="Arial" w:hAnsi="Arial" w:cs="Arial"/>
        </w:rPr>
        <w:t xml:space="preserve">beispielsweise </w:t>
      </w:r>
      <w:proofErr w:type="gramStart"/>
      <w:r w:rsidRPr="008141CD">
        <w:rPr>
          <w:rFonts w:ascii="Arial" w:hAnsi="Arial" w:cs="Arial"/>
        </w:rPr>
        <w:t>die</w:t>
      </w:r>
      <w:proofErr w:type="gramEnd"/>
      <w:r w:rsidRPr="008141CD">
        <w:rPr>
          <w:rFonts w:ascii="Arial" w:hAnsi="Arial" w:cs="Arial"/>
        </w:rPr>
        <w:t xml:space="preserve"> sogenannten Regulation 64 Panels in Kosovo, die Sonderkammern in Timor-Leste, der Sondergerichtshof für Sierra Leone, die Außerordentlichen Kammern in Kambodscha</w:t>
      </w:r>
      <w:r w:rsidR="00AA1A0D" w:rsidRPr="008141CD">
        <w:rPr>
          <w:rFonts w:ascii="Arial" w:hAnsi="Arial" w:cs="Arial"/>
        </w:rPr>
        <w:t xml:space="preserve"> oder </w:t>
      </w:r>
      <w:r w:rsidRPr="008141CD">
        <w:rPr>
          <w:rFonts w:ascii="Arial" w:hAnsi="Arial" w:cs="Arial"/>
        </w:rPr>
        <w:t>das Sondertribunal für Libanon.</w:t>
      </w:r>
    </w:p>
    <w:p w14:paraId="72EEAD6E" w14:textId="77777777" w:rsidR="004E32FA" w:rsidRPr="008141CD" w:rsidRDefault="004E32FA">
      <w:pPr>
        <w:rPr>
          <w:rFonts w:ascii="Arial" w:hAnsi="Arial" w:cs="Arial"/>
        </w:rPr>
      </w:pPr>
    </w:p>
    <w:p w14:paraId="58BDBBB2" w14:textId="77777777" w:rsidR="004E32FA" w:rsidRPr="008141CD" w:rsidRDefault="004001F8">
      <w:pPr>
        <w:rPr>
          <w:rFonts w:ascii="Arial" w:hAnsi="Arial" w:cs="Arial"/>
        </w:rPr>
      </w:pPr>
      <w:r w:rsidRPr="008141CD">
        <w:rPr>
          <w:rFonts w:ascii="Arial" w:hAnsi="Arial" w:cs="Arial"/>
        </w:rPr>
        <w:t xml:space="preserve">Das Besondere am Bereich des internationalen Strafrechts ist, dass hier nicht Konflikte zwischen Staaten behandelt werden, sondern über natürliche Personen </w:t>
      </w:r>
      <w:r w:rsidRPr="008141CD">
        <w:rPr>
          <w:rFonts w:ascii="Arial" w:hAnsi="Arial" w:cs="Arial"/>
        </w:rPr>
        <w:lastRenderedPageBreak/>
        <w:t>gerichtet wird</w:t>
      </w:r>
      <w:r w:rsidR="00E50B09" w:rsidRPr="008141CD">
        <w:rPr>
          <w:rFonts w:ascii="Arial" w:hAnsi="Arial" w:cs="Arial"/>
        </w:rPr>
        <w:t>.</w:t>
      </w:r>
      <w:r w:rsidRPr="008141CD">
        <w:rPr>
          <w:rFonts w:ascii="Arial" w:hAnsi="Arial" w:cs="Arial"/>
        </w:rPr>
        <w:t xml:space="preserve"> </w:t>
      </w:r>
      <w:r w:rsidR="00F4680A" w:rsidRPr="008141CD">
        <w:rPr>
          <w:rFonts w:ascii="Arial" w:hAnsi="Arial" w:cs="Arial"/>
        </w:rPr>
        <w:t>E</w:t>
      </w:r>
      <w:r w:rsidRPr="008141CD">
        <w:rPr>
          <w:rFonts w:ascii="Arial" w:hAnsi="Arial" w:cs="Arial"/>
        </w:rPr>
        <w:t>in einmal anerkanntes internationales Gericht kann ein Urteil unabhängig von den Überzeugungen einzelner Staatsvertreter fällen. Entsprechend lang war der Weg zur Errichtung eines ständigen Internationalen Strafgerichtshofs: Bereits 1872 wurde unter dem Eindruck der Grausamkeiten im preußisch-französischen Krieg von 1870/71 der erste förmliche Vorschlag zur Errichtung eines Internationalen Strafgerichtshofs unterbreitet. Vor allem wegen der während des Zweiten Weltkriegs begangenen Verbrechen und der Tätigkeit der Internationalen Militärgerichtshöfe von Nürnberg und Tokio wurde die Idee auf UN-Ebene neu belebt. Die 1948 beschlossene Völkermordkonvention sah ein internationales Strafgericht vor, zu dessen Gründung es aber nicht kam. Auch spätere Bemühungen im Rahmen der UN blieben wegen des Kalten Kriegs ohne Erfolg</w:t>
      </w:r>
      <w:r w:rsidR="004E32FA" w:rsidRPr="008141CD">
        <w:rPr>
          <w:rFonts w:ascii="Arial" w:hAnsi="Arial" w:cs="Arial"/>
        </w:rPr>
        <w:t>.</w:t>
      </w:r>
    </w:p>
    <w:p w14:paraId="1B1ECAC5" w14:textId="77777777" w:rsidR="004E32FA" w:rsidRPr="008141CD" w:rsidRDefault="004E32FA">
      <w:pPr>
        <w:rPr>
          <w:rFonts w:ascii="Arial" w:hAnsi="Arial" w:cs="Arial"/>
        </w:rPr>
      </w:pPr>
    </w:p>
    <w:p w14:paraId="0755B4E6" w14:textId="77777777" w:rsidR="004E32FA" w:rsidRPr="008141CD" w:rsidRDefault="004001F8">
      <w:pPr>
        <w:rPr>
          <w:rFonts w:ascii="Arial" w:hAnsi="Arial" w:cs="Arial"/>
        </w:rPr>
      </w:pPr>
      <w:r w:rsidRPr="008141CD">
        <w:rPr>
          <w:rFonts w:ascii="Arial" w:hAnsi="Arial" w:cs="Arial"/>
        </w:rPr>
        <w:t>1990 beauftragte die UN-Generalversammlung die Völkerrechtskommission, die Errichtung eines Strafgerichtshofs erneut zu prüfen. Die massiven Verstöße gegen das Humanitäre Völkerrecht im ehemaligen Jugoslawien und der Völkermord in Ruanda führten zur Einrichtung zweier Ad-hoc-Strafgerichtshöfe. Dies gab dem Vorhaben eines ständigen Internationalen Strafgerichtshofs weiteren Auftrieb. 1994 legte die UN-Völkerrechtskommission ihren ersten Entwurf für ein Statut eines Internationalen Strafgerichtshofs vor. Die von der Generalversammlung beschlossene Konferenz zur Errichtung eines Internationalen Strafgerichtshofs (</w:t>
      </w:r>
      <w:proofErr w:type="spellStart"/>
      <w:r w:rsidRPr="008141CD">
        <w:rPr>
          <w:rFonts w:ascii="Arial" w:hAnsi="Arial" w:cs="Arial"/>
        </w:rPr>
        <w:t>IStGH</w:t>
      </w:r>
      <w:proofErr w:type="spellEnd"/>
      <w:r w:rsidRPr="008141CD">
        <w:rPr>
          <w:rFonts w:ascii="Arial" w:hAnsi="Arial" w:cs="Arial"/>
        </w:rPr>
        <w:t>) endete mit der Verabschiedung des Römischen Statuts am 17. Juli 1998. Nachdem 60 Staaten das Römische Statut ratifiziert hatten, trat es am 1. Juli 2002 in Kraft</w:t>
      </w:r>
      <w:r w:rsidR="004E32FA" w:rsidRPr="008141CD">
        <w:rPr>
          <w:rFonts w:ascii="Arial" w:hAnsi="Arial" w:cs="Arial"/>
        </w:rPr>
        <w:t>.</w:t>
      </w:r>
    </w:p>
    <w:p w14:paraId="500E9416" w14:textId="77777777" w:rsidR="004E32FA" w:rsidRPr="008141CD" w:rsidRDefault="004E32FA">
      <w:pPr>
        <w:rPr>
          <w:rFonts w:ascii="Arial" w:hAnsi="Arial" w:cs="Arial"/>
        </w:rPr>
      </w:pPr>
    </w:p>
    <w:p w14:paraId="144BA324" w14:textId="032E0F19" w:rsidR="004001F8" w:rsidRPr="008141CD" w:rsidRDefault="004001F8" w:rsidP="00600A52">
      <w:pPr>
        <w:rPr>
          <w:rFonts w:ascii="Arial" w:hAnsi="Arial" w:cs="Arial"/>
        </w:rPr>
      </w:pPr>
      <w:r w:rsidRPr="008141CD">
        <w:rPr>
          <w:rFonts w:ascii="Arial" w:hAnsi="Arial" w:cs="Arial"/>
        </w:rPr>
        <w:t xml:space="preserve">Bis zum </w:t>
      </w:r>
      <w:r w:rsidR="00126021" w:rsidRPr="008141CD">
        <w:rPr>
          <w:rFonts w:ascii="Arial" w:hAnsi="Arial" w:cs="Arial"/>
        </w:rPr>
        <w:t>19</w:t>
      </w:r>
      <w:r w:rsidRPr="008141CD">
        <w:rPr>
          <w:rFonts w:ascii="Arial" w:hAnsi="Arial" w:cs="Arial"/>
        </w:rPr>
        <w:t>. Ju</w:t>
      </w:r>
      <w:r w:rsidR="00126021" w:rsidRPr="008141CD">
        <w:rPr>
          <w:rFonts w:ascii="Arial" w:hAnsi="Arial" w:cs="Arial"/>
        </w:rPr>
        <w:t>l</w:t>
      </w:r>
      <w:r w:rsidRPr="008141CD">
        <w:rPr>
          <w:rFonts w:ascii="Arial" w:hAnsi="Arial" w:cs="Arial"/>
        </w:rPr>
        <w:t>i 201</w:t>
      </w:r>
      <w:r w:rsidR="00126021" w:rsidRPr="008141CD">
        <w:rPr>
          <w:rFonts w:ascii="Arial" w:hAnsi="Arial" w:cs="Arial"/>
        </w:rPr>
        <w:t>7</w:t>
      </w:r>
      <w:r w:rsidRPr="008141CD">
        <w:rPr>
          <w:rFonts w:ascii="Arial" w:hAnsi="Arial" w:cs="Arial"/>
        </w:rPr>
        <w:t xml:space="preserve"> wurde das Römische Statut des Internationalen Strafgerichtshofs von 12</w:t>
      </w:r>
      <w:r w:rsidR="00126021" w:rsidRPr="008141CD">
        <w:rPr>
          <w:rFonts w:ascii="Arial" w:hAnsi="Arial" w:cs="Arial"/>
        </w:rPr>
        <w:t>4</w:t>
      </w:r>
      <w:r w:rsidRPr="008141CD">
        <w:rPr>
          <w:rFonts w:ascii="Arial" w:hAnsi="Arial" w:cs="Arial"/>
        </w:rPr>
        <w:t xml:space="preserve"> Staaten ratifiziert</w:t>
      </w:r>
      <w:r w:rsidR="004E32FA" w:rsidRPr="008141CD">
        <w:rPr>
          <w:rFonts w:ascii="Arial" w:hAnsi="Arial" w:cs="Arial"/>
        </w:rPr>
        <w:t>. Z</w:t>
      </w:r>
      <w:r w:rsidRPr="008141CD">
        <w:rPr>
          <w:rFonts w:ascii="Arial" w:hAnsi="Arial" w:cs="Arial"/>
        </w:rPr>
        <w:t xml:space="preserve">uletzt </w:t>
      </w:r>
      <w:r w:rsidR="00452A45" w:rsidRPr="008141CD">
        <w:rPr>
          <w:rFonts w:ascii="Arial" w:hAnsi="Arial" w:cs="Arial"/>
        </w:rPr>
        <w:t xml:space="preserve">im März 2016 </w:t>
      </w:r>
      <w:r w:rsidRPr="008141CD">
        <w:rPr>
          <w:rFonts w:ascii="Arial" w:hAnsi="Arial" w:cs="Arial"/>
        </w:rPr>
        <w:t xml:space="preserve">von </w:t>
      </w:r>
      <w:r w:rsidR="00452A45" w:rsidRPr="008141CD">
        <w:rPr>
          <w:rFonts w:ascii="Arial" w:hAnsi="Arial" w:cs="Arial"/>
        </w:rPr>
        <w:t xml:space="preserve">El Salvador und zuvor </w:t>
      </w:r>
      <w:r w:rsidR="00EC2F53" w:rsidRPr="008141CD">
        <w:rPr>
          <w:rFonts w:ascii="Arial" w:hAnsi="Arial" w:cs="Arial"/>
        </w:rPr>
        <w:t xml:space="preserve">im Januar 2015 </w:t>
      </w:r>
      <w:r w:rsidR="00452A45" w:rsidRPr="008141CD">
        <w:rPr>
          <w:rFonts w:ascii="Arial" w:hAnsi="Arial" w:cs="Arial"/>
        </w:rPr>
        <w:t xml:space="preserve">von </w:t>
      </w:r>
      <w:r w:rsidRPr="008141CD">
        <w:rPr>
          <w:rFonts w:ascii="Arial" w:hAnsi="Arial" w:cs="Arial"/>
        </w:rPr>
        <w:t>Palästina,</w:t>
      </w:r>
      <w:r w:rsidR="004E32FA" w:rsidRPr="008141CD">
        <w:rPr>
          <w:rFonts w:ascii="Arial" w:hAnsi="Arial" w:cs="Arial"/>
        </w:rPr>
        <w:t xml:space="preserve"> </w:t>
      </w:r>
      <w:r w:rsidRPr="008141CD">
        <w:rPr>
          <w:rFonts w:ascii="Arial" w:hAnsi="Arial" w:cs="Arial"/>
        </w:rPr>
        <w:t>wobei sowohl die Anerkennung Palästinas als Staat als auch die exakte Bestimmung der Staatsgrenzen einen Sonderfall darstellen</w:t>
      </w:r>
      <w:r w:rsidR="00F908AC" w:rsidRPr="008141CD">
        <w:rPr>
          <w:rFonts w:ascii="Arial" w:hAnsi="Arial" w:cs="Arial"/>
        </w:rPr>
        <w:t xml:space="preserve"> (siehe </w:t>
      </w:r>
      <w:r w:rsidR="00F025B5" w:rsidRPr="008141CD">
        <w:rPr>
          <w:rFonts w:ascii="Arial" w:hAnsi="Arial" w:cs="Arial"/>
        </w:rPr>
        <w:t>"</w:t>
      </w:r>
      <w:r w:rsidR="00F908AC" w:rsidRPr="008141CD">
        <w:rPr>
          <w:rFonts w:ascii="Arial" w:hAnsi="Arial" w:cs="Arial"/>
        </w:rPr>
        <w:t>Begriffe, methodische Anmerkungen oder Lesehilfen</w:t>
      </w:r>
      <w:r w:rsidR="00F025B5" w:rsidRPr="008141CD">
        <w:rPr>
          <w:rFonts w:ascii="Arial" w:hAnsi="Arial" w:cs="Arial"/>
        </w:rPr>
        <w:t>"</w:t>
      </w:r>
      <w:r w:rsidR="00F908AC" w:rsidRPr="008141CD">
        <w:rPr>
          <w:rFonts w:ascii="Arial" w:hAnsi="Arial" w:cs="Arial"/>
        </w:rPr>
        <w:t>)</w:t>
      </w:r>
      <w:r w:rsidRPr="008141CD">
        <w:rPr>
          <w:rFonts w:ascii="Arial" w:hAnsi="Arial" w:cs="Arial"/>
        </w:rPr>
        <w:t>.</w:t>
      </w:r>
      <w:r w:rsidR="00600A52" w:rsidRPr="008141CD">
        <w:rPr>
          <w:rFonts w:ascii="Arial" w:hAnsi="Arial" w:cs="Arial"/>
        </w:rPr>
        <w:t xml:space="preserve"> W</w:t>
      </w:r>
      <w:r w:rsidRPr="008141CD">
        <w:rPr>
          <w:rFonts w:ascii="Arial" w:hAnsi="Arial" w:cs="Arial"/>
        </w:rPr>
        <w:t xml:space="preserve">eitere </w:t>
      </w:r>
      <w:r w:rsidR="006E28B3" w:rsidRPr="008141CD">
        <w:rPr>
          <w:rFonts w:ascii="Arial" w:hAnsi="Arial" w:cs="Arial"/>
        </w:rPr>
        <w:t xml:space="preserve">27 </w:t>
      </w:r>
      <w:r w:rsidRPr="008141CD">
        <w:rPr>
          <w:rFonts w:ascii="Arial" w:hAnsi="Arial" w:cs="Arial"/>
        </w:rPr>
        <w:t xml:space="preserve">Staaten haben das Römische Statut unterschrieben, aber noch nicht ratifiziert. </w:t>
      </w:r>
      <w:r w:rsidR="006E28B3" w:rsidRPr="008141CD">
        <w:rPr>
          <w:rFonts w:ascii="Arial" w:hAnsi="Arial" w:cs="Arial"/>
        </w:rPr>
        <w:t>Acht</w:t>
      </w:r>
      <w:r w:rsidRPr="008141CD">
        <w:rPr>
          <w:rFonts w:ascii="Arial" w:hAnsi="Arial" w:cs="Arial"/>
        </w:rPr>
        <w:t xml:space="preserve"> Staaten lehnen das Statut gegenwärtig ab</w:t>
      </w:r>
      <w:r w:rsidR="003D1A28" w:rsidRPr="008141CD">
        <w:rPr>
          <w:rFonts w:ascii="Arial" w:hAnsi="Arial" w:cs="Arial"/>
        </w:rPr>
        <w:t>:</w:t>
      </w:r>
      <w:r w:rsidRPr="008141CD">
        <w:rPr>
          <w:rFonts w:ascii="Arial" w:hAnsi="Arial" w:cs="Arial"/>
        </w:rPr>
        <w:t xml:space="preserve"> China, Irak, Israel, Katar, Libyen, </w:t>
      </w:r>
      <w:r w:rsidR="006E28B3" w:rsidRPr="008141CD">
        <w:rPr>
          <w:rFonts w:ascii="Arial" w:hAnsi="Arial" w:cs="Arial"/>
        </w:rPr>
        <w:t xml:space="preserve">Russland, </w:t>
      </w:r>
      <w:r w:rsidRPr="008141CD">
        <w:rPr>
          <w:rFonts w:ascii="Arial" w:hAnsi="Arial" w:cs="Arial"/>
        </w:rPr>
        <w:t>Sudan und die USA. Die USA, Israel</w:t>
      </w:r>
      <w:r w:rsidR="008D398D" w:rsidRPr="008141CD">
        <w:rPr>
          <w:rFonts w:ascii="Arial" w:hAnsi="Arial" w:cs="Arial"/>
        </w:rPr>
        <w:t xml:space="preserve">, </w:t>
      </w:r>
      <w:r w:rsidRPr="008141CD">
        <w:rPr>
          <w:rFonts w:ascii="Arial" w:hAnsi="Arial" w:cs="Arial"/>
        </w:rPr>
        <w:t xml:space="preserve">der Sudan </w:t>
      </w:r>
      <w:r w:rsidR="008D398D" w:rsidRPr="008141CD">
        <w:rPr>
          <w:rFonts w:ascii="Arial" w:hAnsi="Arial" w:cs="Arial"/>
        </w:rPr>
        <w:t xml:space="preserve">und Russland </w:t>
      </w:r>
      <w:r w:rsidRPr="008141CD">
        <w:rPr>
          <w:rFonts w:ascii="Arial" w:hAnsi="Arial" w:cs="Arial"/>
        </w:rPr>
        <w:t>hatten das Römische Statut zunächst unterzeichnet, später</w:t>
      </w:r>
      <w:r w:rsidR="008D398D" w:rsidRPr="008141CD">
        <w:rPr>
          <w:rFonts w:ascii="Arial" w:hAnsi="Arial" w:cs="Arial"/>
        </w:rPr>
        <w:t xml:space="preserve"> </w:t>
      </w:r>
      <w:r w:rsidRPr="008141CD">
        <w:rPr>
          <w:rFonts w:ascii="Arial" w:hAnsi="Arial" w:cs="Arial"/>
        </w:rPr>
        <w:t>aber eine Ratifikation ausgeschlossen und ihre Unterschriften zurückgezogen</w:t>
      </w:r>
      <w:r w:rsidR="008D398D" w:rsidRPr="008141CD">
        <w:rPr>
          <w:rFonts w:ascii="Arial" w:hAnsi="Arial" w:cs="Arial"/>
        </w:rPr>
        <w:t xml:space="preserve"> (zuletzt Russland Ende 2016)</w:t>
      </w:r>
      <w:r w:rsidRPr="008141CD">
        <w:rPr>
          <w:rFonts w:ascii="Arial" w:hAnsi="Arial" w:cs="Arial"/>
        </w:rPr>
        <w:t>.</w:t>
      </w:r>
    </w:p>
    <w:p w14:paraId="0AB712C7" w14:textId="77777777" w:rsidR="004E32FA" w:rsidRPr="008141CD" w:rsidRDefault="004E32FA" w:rsidP="00D56BE8">
      <w:pPr>
        <w:rPr>
          <w:rFonts w:ascii="Arial" w:hAnsi="Arial" w:cs="Arial"/>
        </w:rPr>
      </w:pPr>
    </w:p>
    <w:p w14:paraId="300672C7" w14:textId="70E1D93B" w:rsidR="00F32357" w:rsidRPr="008141CD" w:rsidRDefault="00D56BE8" w:rsidP="004E32FA">
      <w:pPr>
        <w:rPr>
          <w:rFonts w:ascii="Arial" w:hAnsi="Arial" w:cs="Arial"/>
        </w:rPr>
      </w:pPr>
      <w:r w:rsidRPr="008141CD">
        <w:rPr>
          <w:rFonts w:ascii="Arial" w:hAnsi="Arial" w:cs="Arial"/>
        </w:rPr>
        <w:t>Im Jahr 2016 traten mit Südafrika, Burundi und Gambia erstmals Staaten von der Ratifizierung des Römischen Statuts zurück, wobei Südafrika im März 2017 und Gambia im Februar 2017 den Rücktritt widerr</w:t>
      </w:r>
      <w:r w:rsidR="008D398D" w:rsidRPr="008141CD">
        <w:rPr>
          <w:rFonts w:ascii="Arial" w:hAnsi="Arial" w:cs="Arial"/>
        </w:rPr>
        <w:t xml:space="preserve">iefen </w:t>
      </w:r>
      <w:r w:rsidRPr="008141CD">
        <w:rPr>
          <w:rFonts w:ascii="Arial" w:hAnsi="Arial" w:cs="Arial"/>
        </w:rPr>
        <w:t>und der Rücktritt Burundis erst am 27.10.2017 wirksam wird.</w:t>
      </w:r>
      <w:r w:rsidR="004E32FA" w:rsidRPr="008141CD">
        <w:rPr>
          <w:rFonts w:ascii="Arial" w:hAnsi="Arial" w:cs="Arial"/>
        </w:rPr>
        <w:t xml:space="preserve"> </w:t>
      </w:r>
      <w:r w:rsidR="00D54A68" w:rsidRPr="008141CD">
        <w:rPr>
          <w:rFonts w:ascii="Arial" w:hAnsi="Arial" w:cs="Arial"/>
        </w:rPr>
        <w:t xml:space="preserve">Gemeinsam ist den Staaten, dass sie dem </w:t>
      </w:r>
      <w:proofErr w:type="spellStart"/>
      <w:r w:rsidR="00D54A68" w:rsidRPr="008141CD">
        <w:rPr>
          <w:rFonts w:ascii="Arial" w:hAnsi="Arial" w:cs="Arial"/>
        </w:rPr>
        <w:t>IStGH</w:t>
      </w:r>
      <w:proofErr w:type="spellEnd"/>
      <w:r w:rsidR="00D54A68" w:rsidRPr="008141CD">
        <w:rPr>
          <w:rFonts w:ascii="Arial" w:hAnsi="Arial" w:cs="Arial"/>
        </w:rPr>
        <w:t xml:space="preserve"> </w:t>
      </w:r>
      <w:r w:rsidRPr="008141CD">
        <w:rPr>
          <w:rFonts w:ascii="Arial" w:hAnsi="Arial" w:cs="Arial"/>
        </w:rPr>
        <w:t>anti</w:t>
      </w:r>
      <w:r w:rsidR="00D54A68" w:rsidRPr="008141CD">
        <w:rPr>
          <w:rFonts w:ascii="Arial" w:hAnsi="Arial" w:cs="Arial"/>
        </w:rPr>
        <w:t>-</w:t>
      </w:r>
      <w:r w:rsidRPr="008141CD">
        <w:rPr>
          <w:rFonts w:ascii="Arial" w:hAnsi="Arial" w:cs="Arial"/>
        </w:rPr>
        <w:t>afrikanische</w:t>
      </w:r>
      <w:r w:rsidR="00D54A68" w:rsidRPr="008141CD">
        <w:rPr>
          <w:rFonts w:ascii="Arial" w:hAnsi="Arial" w:cs="Arial"/>
        </w:rPr>
        <w:t xml:space="preserve"> </w:t>
      </w:r>
      <w:r w:rsidRPr="008141CD">
        <w:rPr>
          <w:rFonts w:ascii="Arial" w:hAnsi="Arial" w:cs="Arial"/>
        </w:rPr>
        <w:t>Tendenzen</w:t>
      </w:r>
      <w:r w:rsidR="00D54A68" w:rsidRPr="008141CD">
        <w:rPr>
          <w:rFonts w:ascii="Arial" w:hAnsi="Arial" w:cs="Arial"/>
        </w:rPr>
        <w:t xml:space="preserve"> vorwerfen.</w:t>
      </w:r>
      <w:r w:rsidR="008141CD">
        <w:rPr>
          <w:rFonts w:ascii="Arial" w:hAnsi="Arial" w:cs="Arial"/>
        </w:rPr>
        <w:t xml:space="preserve"> </w:t>
      </w:r>
    </w:p>
    <w:p w14:paraId="69C5EE82" w14:textId="77777777" w:rsidR="004E32FA" w:rsidRPr="008141CD" w:rsidRDefault="004E32FA" w:rsidP="004E32FA">
      <w:pPr>
        <w:rPr>
          <w:rFonts w:ascii="Arial" w:hAnsi="Arial" w:cs="Arial"/>
        </w:rPr>
      </w:pPr>
    </w:p>
    <w:p w14:paraId="73FE2D49" w14:textId="01B74E5D" w:rsidR="004E32FA" w:rsidRDefault="004001F8" w:rsidP="00B813FA">
      <w:pPr>
        <w:rPr>
          <w:rFonts w:ascii="Arial" w:hAnsi="Arial" w:cs="Arial"/>
        </w:rPr>
      </w:pPr>
      <w:r w:rsidRPr="008141CD">
        <w:rPr>
          <w:rFonts w:ascii="Arial" w:hAnsi="Arial" w:cs="Arial"/>
        </w:rPr>
        <w:t xml:space="preserve">Der </w:t>
      </w:r>
      <w:proofErr w:type="spellStart"/>
      <w:r w:rsidRPr="008141CD">
        <w:rPr>
          <w:rFonts w:ascii="Arial" w:hAnsi="Arial" w:cs="Arial"/>
        </w:rPr>
        <w:t>IStGH</w:t>
      </w:r>
      <w:proofErr w:type="spellEnd"/>
      <w:r w:rsidRPr="008141CD">
        <w:rPr>
          <w:rFonts w:ascii="Arial" w:hAnsi="Arial" w:cs="Arial"/>
        </w:rPr>
        <w:t xml:space="preserve"> soll weder die nationale Strafgerichtsbarkeit ersetzen noch nationale Verfahren überprüfen. Der Gerichtshof kann nur dann strafverfolgend tätig werden, wenn Staaten nicht willens oder nicht in der Lage sind, eine bestimmte schwere Straftat ernsthaft zu verfolgen (Grundsatz der Komplementarität). Die Gerichtsbarkeit ist auf vier besonders schwere Verbrechen </w:t>
      </w:r>
      <w:r w:rsidR="00AC4FA8" w:rsidRPr="008141CD">
        <w:rPr>
          <w:rFonts w:ascii="Arial" w:hAnsi="Arial" w:cs="Arial"/>
        </w:rPr>
        <w:t xml:space="preserve">(Kernverbrechen) </w:t>
      </w:r>
      <w:r w:rsidRPr="008141CD">
        <w:rPr>
          <w:rFonts w:ascii="Arial" w:hAnsi="Arial" w:cs="Arial"/>
        </w:rPr>
        <w:t>beschränkt:</w:t>
      </w:r>
      <w:r w:rsidR="00F11018">
        <w:rPr>
          <w:rFonts w:ascii="Arial" w:hAnsi="Arial" w:cs="Arial"/>
        </w:rPr>
        <w:t xml:space="preserve"> V</w:t>
      </w:r>
      <w:r w:rsidR="00C9100F" w:rsidRPr="008141CD">
        <w:rPr>
          <w:rFonts w:ascii="Arial" w:hAnsi="Arial" w:cs="Arial"/>
        </w:rPr>
        <w:t>ölkermord, Verbrechen gegen die Menschlichkeit, Kriegsverbrechen und –</w:t>
      </w:r>
      <w:r w:rsidR="004E32FA" w:rsidRPr="008141CD">
        <w:rPr>
          <w:rFonts w:ascii="Arial" w:hAnsi="Arial" w:cs="Arial"/>
        </w:rPr>
        <w:t xml:space="preserve"> nach Aktivierung der entsprechenden Bestimmungen </w:t>
      </w:r>
      <w:r w:rsidRPr="008141CD">
        <w:rPr>
          <w:rFonts w:ascii="Arial" w:hAnsi="Arial" w:cs="Arial"/>
        </w:rPr>
        <w:t>– das Verbrechen der Aggression</w:t>
      </w:r>
      <w:r w:rsidR="00F11018">
        <w:rPr>
          <w:rFonts w:ascii="Arial" w:hAnsi="Arial" w:cs="Arial"/>
        </w:rPr>
        <w:t xml:space="preserve"> (</w:t>
      </w:r>
      <w:r w:rsidR="001D70CD">
        <w:rPr>
          <w:rFonts w:ascii="Arial" w:hAnsi="Arial" w:cs="Arial"/>
        </w:rPr>
        <w:t xml:space="preserve">siehe </w:t>
      </w:r>
      <w:r w:rsidR="00F11018" w:rsidRPr="00F11018">
        <w:rPr>
          <w:rFonts w:ascii="Arial" w:hAnsi="Arial" w:cs="Arial"/>
        </w:rPr>
        <w:t>"</w:t>
      </w:r>
      <w:r w:rsidR="001D70CD" w:rsidRPr="00F11018">
        <w:rPr>
          <w:rFonts w:ascii="Arial" w:hAnsi="Arial" w:cs="Arial"/>
        </w:rPr>
        <w:t>Begriffe, methodische Anmerkungen oder Lesehilfen</w:t>
      </w:r>
      <w:r w:rsidR="00F11018" w:rsidRPr="00F11018">
        <w:rPr>
          <w:rFonts w:ascii="Arial" w:hAnsi="Arial" w:cs="Arial"/>
        </w:rPr>
        <w:t>"</w:t>
      </w:r>
      <w:r w:rsidR="001D70CD" w:rsidRPr="00F11018">
        <w:rPr>
          <w:rFonts w:ascii="Arial" w:hAnsi="Arial" w:cs="Arial"/>
        </w:rPr>
        <w:t>)</w:t>
      </w:r>
      <w:r w:rsidR="004E32FA" w:rsidRPr="008141CD">
        <w:rPr>
          <w:rFonts w:ascii="Arial" w:hAnsi="Arial" w:cs="Arial"/>
        </w:rPr>
        <w:t>.</w:t>
      </w:r>
    </w:p>
    <w:p w14:paraId="7045F74F" w14:textId="77777777" w:rsidR="00F11018" w:rsidRDefault="00F11018" w:rsidP="00B813FA">
      <w:pPr>
        <w:rPr>
          <w:rFonts w:ascii="Arial" w:hAnsi="Arial" w:cs="Arial"/>
        </w:rPr>
      </w:pPr>
    </w:p>
    <w:p w14:paraId="29561DBB" w14:textId="3D289EFE" w:rsidR="004E32FA" w:rsidRPr="008141CD" w:rsidRDefault="00F11018" w:rsidP="008141CD">
      <w:pPr>
        <w:rPr>
          <w:rFonts w:ascii="Arial" w:hAnsi="Arial" w:cs="Arial"/>
        </w:rPr>
      </w:pPr>
      <w:r>
        <w:rPr>
          <w:rFonts w:ascii="Arial" w:hAnsi="Arial" w:cs="Arial"/>
        </w:rPr>
        <w:lastRenderedPageBreak/>
        <w:t>D</w:t>
      </w:r>
      <w:r w:rsidR="004001F8" w:rsidRPr="008141CD">
        <w:rPr>
          <w:rFonts w:ascii="Arial" w:hAnsi="Arial" w:cs="Arial"/>
        </w:rPr>
        <w:t xml:space="preserve">er Gerichtshof kann seine Gerichtsbarkeit nicht nur ausüben, wenn sich ein Verbrechen in einem Staat ereignet, der die Gerichtsbarkeit des </w:t>
      </w:r>
      <w:proofErr w:type="spellStart"/>
      <w:r w:rsidR="004001F8" w:rsidRPr="008141CD">
        <w:rPr>
          <w:rFonts w:ascii="Arial" w:hAnsi="Arial" w:cs="Arial"/>
        </w:rPr>
        <w:t>IStGH</w:t>
      </w:r>
      <w:proofErr w:type="spellEnd"/>
      <w:r w:rsidR="004001F8" w:rsidRPr="008141CD">
        <w:rPr>
          <w:rFonts w:ascii="Arial" w:hAnsi="Arial" w:cs="Arial"/>
        </w:rPr>
        <w:t xml:space="preserve"> anerkannt hat, sondern auch dann, wenn der mutmaßliche Täter die Staatsangehörigkeit eines dieser Staaten besitzt. Die völkerrechtspolitische Errungenschaft besteht darin, dass sich Individuen</w:t>
      </w:r>
      <w:r w:rsidR="001A416B" w:rsidRPr="008141CD">
        <w:rPr>
          <w:rFonts w:ascii="Arial" w:hAnsi="Arial" w:cs="Arial"/>
        </w:rPr>
        <w:t xml:space="preserve"> </w:t>
      </w:r>
      <w:r w:rsidR="004001F8" w:rsidRPr="008141CD">
        <w:rPr>
          <w:rFonts w:ascii="Arial" w:hAnsi="Arial" w:cs="Arial"/>
        </w:rPr>
        <w:t>vor einer unabhängigen richterlichen Institution der Staatengemeinschaft verantworten müssen</w:t>
      </w:r>
      <w:r w:rsidR="004E32FA" w:rsidRPr="008141CD">
        <w:rPr>
          <w:rFonts w:ascii="Arial" w:hAnsi="Arial" w:cs="Arial"/>
        </w:rPr>
        <w:t>.</w:t>
      </w:r>
    </w:p>
    <w:p w14:paraId="34ECA80F" w14:textId="77777777" w:rsidR="004E32FA" w:rsidRPr="008141CD" w:rsidRDefault="004E32FA" w:rsidP="008141CD">
      <w:pPr>
        <w:rPr>
          <w:rFonts w:ascii="Arial" w:hAnsi="Arial" w:cs="Arial"/>
        </w:rPr>
      </w:pPr>
    </w:p>
    <w:p w14:paraId="75F82269" w14:textId="77777777" w:rsidR="004E32FA" w:rsidRPr="008141CD" w:rsidRDefault="004001F8" w:rsidP="008141CD">
      <w:pPr>
        <w:rPr>
          <w:rFonts w:ascii="Arial" w:hAnsi="Arial" w:cs="Arial"/>
        </w:rPr>
      </w:pPr>
      <w:r w:rsidRPr="008141CD">
        <w:rPr>
          <w:rFonts w:ascii="Arial" w:hAnsi="Arial" w:cs="Arial"/>
        </w:rPr>
        <w:t xml:space="preserve">Der </w:t>
      </w:r>
      <w:proofErr w:type="spellStart"/>
      <w:r w:rsidRPr="008141CD">
        <w:rPr>
          <w:rFonts w:ascii="Arial" w:hAnsi="Arial" w:cs="Arial"/>
        </w:rPr>
        <w:t>IStGH</w:t>
      </w:r>
      <w:proofErr w:type="spellEnd"/>
      <w:r w:rsidRPr="008141CD">
        <w:rPr>
          <w:rFonts w:ascii="Arial" w:hAnsi="Arial" w:cs="Arial"/>
        </w:rPr>
        <w:t xml:space="preserve"> ist nicht Teil der UN, sondern eine eigenständige Internationale Organisation mit Völkerrechtspersönlichkeit</w:t>
      </w:r>
      <w:r w:rsidR="0075627A" w:rsidRPr="008141CD">
        <w:rPr>
          <w:rFonts w:ascii="Arial" w:hAnsi="Arial" w:cs="Arial"/>
        </w:rPr>
        <w:t>. Sein</w:t>
      </w:r>
      <w:r w:rsidRPr="008141CD">
        <w:rPr>
          <w:rFonts w:ascii="Arial" w:hAnsi="Arial" w:cs="Arial"/>
        </w:rPr>
        <w:t xml:space="preserve"> Sitz</w:t>
      </w:r>
      <w:r w:rsidR="0075627A" w:rsidRPr="008141CD">
        <w:rPr>
          <w:rFonts w:ascii="Arial" w:hAnsi="Arial" w:cs="Arial"/>
        </w:rPr>
        <w:t xml:space="preserve"> ist</w:t>
      </w:r>
      <w:r w:rsidRPr="008141CD">
        <w:rPr>
          <w:rFonts w:ascii="Arial" w:hAnsi="Arial" w:cs="Arial"/>
        </w:rPr>
        <w:t xml:space="preserve"> in Den Haag/Niederlande. Der Gerichtshof wird entweder aufgrund einer Initiative eines Vertragsstaates, des UN-Sicherheitsrats oder aufgrund eigener Initiative des Anklägers ("</w:t>
      </w:r>
      <w:proofErr w:type="spellStart"/>
      <w:r w:rsidRPr="008141CD">
        <w:rPr>
          <w:rFonts w:ascii="Arial" w:hAnsi="Arial" w:cs="Arial"/>
        </w:rPr>
        <w:t>proprio</w:t>
      </w:r>
      <w:proofErr w:type="spellEnd"/>
      <w:r w:rsidRPr="008141CD">
        <w:rPr>
          <w:rFonts w:ascii="Arial" w:hAnsi="Arial" w:cs="Arial"/>
        </w:rPr>
        <w:t xml:space="preserve"> </w:t>
      </w:r>
      <w:proofErr w:type="spellStart"/>
      <w:r w:rsidRPr="008141CD">
        <w:rPr>
          <w:rFonts w:ascii="Arial" w:hAnsi="Arial" w:cs="Arial"/>
        </w:rPr>
        <w:t>motu</w:t>
      </w:r>
      <w:proofErr w:type="spellEnd"/>
      <w:r w:rsidRPr="008141CD">
        <w:rPr>
          <w:rFonts w:ascii="Arial" w:hAnsi="Arial" w:cs="Arial"/>
        </w:rPr>
        <w:t>") tätig. Der Strafgerichtshof hat keine eigene Polizei, keine Soldaten, keine Vollzugsgewalt, also keine exekutiven Befugnisse auf dem Territorium von Staaten</w:t>
      </w:r>
      <w:r w:rsidR="004E32FA" w:rsidRPr="008141CD">
        <w:rPr>
          <w:rFonts w:ascii="Arial" w:hAnsi="Arial" w:cs="Arial"/>
        </w:rPr>
        <w:t>.</w:t>
      </w:r>
    </w:p>
    <w:p w14:paraId="64908669" w14:textId="77777777" w:rsidR="004E32FA" w:rsidRPr="008141CD" w:rsidRDefault="004E32FA" w:rsidP="008141CD">
      <w:pPr>
        <w:rPr>
          <w:rFonts w:ascii="Arial" w:hAnsi="Arial" w:cs="Arial"/>
        </w:rPr>
      </w:pPr>
    </w:p>
    <w:p w14:paraId="178144F6" w14:textId="77777777" w:rsidR="004E32FA" w:rsidRPr="008141CD" w:rsidRDefault="004001F8" w:rsidP="008141CD">
      <w:pPr>
        <w:rPr>
          <w:rFonts w:ascii="Arial" w:hAnsi="Arial" w:cs="Arial"/>
        </w:rPr>
      </w:pPr>
      <w:r w:rsidRPr="008141CD">
        <w:rPr>
          <w:rFonts w:ascii="Arial" w:hAnsi="Arial" w:cs="Arial"/>
        </w:rPr>
        <w:t xml:space="preserve">Mitte </w:t>
      </w:r>
      <w:r w:rsidR="00903D75" w:rsidRPr="008141CD">
        <w:rPr>
          <w:rFonts w:ascii="Arial" w:hAnsi="Arial" w:cs="Arial"/>
        </w:rPr>
        <w:t xml:space="preserve">2017 </w:t>
      </w:r>
      <w:r w:rsidRPr="008141CD">
        <w:rPr>
          <w:rFonts w:ascii="Arial" w:hAnsi="Arial" w:cs="Arial"/>
        </w:rPr>
        <w:t xml:space="preserve">war der Gerichtshof mit der Frage von Kernverbrechen in </w:t>
      </w:r>
      <w:r w:rsidR="00903D75" w:rsidRPr="008141CD">
        <w:rPr>
          <w:rFonts w:ascii="Arial" w:hAnsi="Arial" w:cs="Arial"/>
        </w:rPr>
        <w:t>neun</w:t>
      </w:r>
      <w:r w:rsidRPr="008141CD">
        <w:rPr>
          <w:rFonts w:ascii="Arial" w:hAnsi="Arial" w:cs="Arial"/>
        </w:rPr>
        <w:t xml:space="preserve"> Staaten/Regionen befasst (</w:t>
      </w:r>
      <w:r w:rsidR="00903D75" w:rsidRPr="008141CD">
        <w:rPr>
          <w:rFonts w:ascii="Arial" w:hAnsi="Arial" w:cs="Arial"/>
        </w:rPr>
        <w:t>zehn</w:t>
      </w:r>
      <w:r w:rsidRPr="008141CD">
        <w:rPr>
          <w:rFonts w:ascii="Arial" w:hAnsi="Arial" w:cs="Arial"/>
        </w:rPr>
        <w:t xml:space="preserve"> sogenannte Situationen).</w:t>
      </w:r>
      <w:r w:rsidR="00663A2D" w:rsidRPr="008141CD">
        <w:rPr>
          <w:rFonts w:ascii="Arial" w:hAnsi="Arial" w:cs="Arial"/>
        </w:rPr>
        <w:t xml:space="preserve"> </w:t>
      </w:r>
      <w:r w:rsidRPr="008141CD">
        <w:rPr>
          <w:rFonts w:ascii="Arial" w:hAnsi="Arial" w:cs="Arial"/>
        </w:rPr>
        <w:t xml:space="preserve">Dabei wurde der </w:t>
      </w:r>
      <w:proofErr w:type="spellStart"/>
      <w:r w:rsidRPr="008141CD">
        <w:rPr>
          <w:rFonts w:ascii="Arial" w:hAnsi="Arial" w:cs="Arial"/>
        </w:rPr>
        <w:t>IStGH</w:t>
      </w:r>
      <w:proofErr w:type="spellEnd"/>
      <w:r w:rsidRPr="008141CD">
        <w:rPr>
          <w:rFonts w:ascii="Arial" w:hAnsi="Arial" w:cs="Arial"/>
        </w:rPr>
        <w:t xml:space="preserve"> in fünf Fällen auf Initiative eines Vertragsstaates tätig (Uganda, Demokratische Republik Kongo, Zentralafrikanische Republik I und II, Mali), zweimal ging die Initiative vom UN-Sicherheitsrat </w:t>
      </w:r>
      <w:r w:rsidR="00663A2D" w:rsidRPr="008141CD">
        <w:rPr>
          <w:rFonts w:ascii="Arial" w:hAnsi="Arial" w:cs="Arial"/>
        </w:rPr>
        <w:t xml:space="preserve">aus </w:t>
      </w:r>
      <w:r w:rsidRPr="008141CD">
        <w:rPr>
          <w:rFonts w:ascii="Arial" w:hAnsi="Arial" w:cs="Arial"/>
        </w:rPr>
        <w:t xml:space="preserve">(Sudan/Region </w:t>
      </w:r>
      <w:proofErr w:type="spellStart"/>
      <w:r w:rsidRPr="008141CD">
        <w:rPr>
          <w:rFonts w:ascii="Arial" w:hAnsi="Arial" w:cs="Arial"/>
        </w:rPr>
        <w:t>Darfur</w:t>
      </w:r>
      <w:proofErr w:type="spellEnd"/>
      <w:r w:rsidRPr="008141CD">
        <w:rPr>
          <w:rFonts w:ascii="Arial" w:hAnsi="Arial" w:cs="Arial"/>
        </w:rPr>
        <w:t xml:space="preserve"> und Libyen) </w:t>
      </w:r>
      <w:r w:rsidR="00663A2D" w:rsidRPr="008141CD">
        <w:rPr>
          <w:rFonts w:ascii="Arial" w:hAnsi="Arial" w:cs="Arial"/>
        </w:rPr>
        <w:t xml:space="preserve">und dreimal </w:t>
      </w:r>
      <w:r w:rsidRPr="008141CD">
        <w:rPr>
          <w:rFonts w:ascii="Arial" w:hAnsi="Arial" w:cs="Arial"/>
        </w:rPr>
        <w:t>vom Ankläger (Kenia</w:t>
      </w:r>
      <w:r w:rsidR="00663A2D" w:rsidRPr="008141CD">
        <w:rPr>
          <w:rFonts w:ascii="Arial" w:hAnsi="Arial" w:cs="Arial"/>
        </w:rPr>
        <w:t xml:space="preserve">, </w:t>
      </w:r>
      <w:r w:rsidRPr="008141CD">
        <w:rPr>
          <w:rFonts w:ascii="Arial" w:hAnsi="Arial" w:cs="Arial"/>
        </w:rPr>
        <w:t>Côte d'Ivoire</w:t>
      </w:r>
      <w:r w:rsidR="00663A2D" w:rsidRPr="008141CD">
        <w:rPr>
          <w:rFonts w:ascii="Arial" w:hAnsi="Arial" w:cs="Arial"/>
        </w:rPr>
        <w:t xml:space="preserve"> und </w:t>
      </w:r>
      <w:r w:rsidR="003A505B" w:rsidRPr="008141CD">
        <w:rPr>
          <w:rFonts w:ascii="Arial" w:hAnsi="Arial" w:cs="Arial"/>
        </w:rPr>
        <w:t>G</w:t>
      </w:r>
      <w:r w:rsidR="00663A2D" w:rsidRPr="008141CD">
        <w:rPr>
          <w:rFonts w:ascii="Arial" w:hAnsi="Arial" w:cs="Arial"/>
        </w:rPr>
        <w:t>eorgien</w:t>
      </w:r>
      <w:r w:rsidRPr="008141CD">
        <w:rPr>
          <w:rFonts w:ascii="Arial" w:hAnsi="Arial" w:cs="Arial"/>
        </w:rPr>
        <w:t>)</w:t>
      </w:r>
      <w:r w:rsidR="004E32FA" w:rsidRPr="008141CD">
        <w:rPr>
          <w:rFonts w:ascii="Arial" w:hAnsi="Arial" w:cs="Arial"/>
        </w:rPr>
        <w:t>.</w:t>
      </w:r>
    </w:p>
    <w:p w14:paraId="781B5A4F" w14:textId="77777777" w:rsidR="004E32FA" w:rsidRPr="008141CD" w:rsidRDefault="004E32FA" w:rsidP="008141CD">
      <w:pPr>
        <w:rPr>
          <w:rFonts w:ascii="Arial" w:hAnsi="Arial" w:cs="Arial"/>
        </w:rPr>
      </w:pPr>
    </w:p>
    <w:p w14:paraId="4C648228" w14:textId="5D3606C7" w:rsidR="004E32FA" w:rsidRPr="008141CD" w:rsidRDefault="004001F8" w:rsidP="008141CD">
      <w:pPr>
        <w:rPr>
          <w:rFonts w:ascii="Arial" w:hAnsi="Arial" w:cs="Arial"/>
        </w:rPr>
      </w:pPr>
      <w:r w:rsidRPr="008141CD">
        <w:rPr>
          <w:rFonts w:ascii="Arial" w:hAnsi="Arial" w:cs="Arial"/>
        </w:rPr>
        <w:t xml:space="preserve">Vorbereitende Untersuchungen des </w:t>
      </w:r>
      <w:proofErr w:type="spellStart"/>
      <w:r w:rsidRPr="008141CD">
        <w:rPr>
          <w:rFonts w:ascii="Arial" w:hAnsi="Arial" w:cs="Arial"/>
        </w:rPr>
        <w:t>IStGH</w:t>
      </w:r>
      <w:proofErr w:type="spellEnd"/>
      <w:r w:rsidR="007E5411" w:rsidRPr="008141CD">
        <w:rPr>
          <w:rFonts w:ascii="Arial" w:hAnsi="Arial" w:cs="Arial"/>
        </w:rPr>
        <w:t xml:space="preserve"> – </w:t>
      </w:r>
      <w:r w:rsidRPr="008141CD">
        <w:rPr>
          <w:rFonts w:ascii="Arial" w:hAnsi="Arial" w:cs="Arial"/>
        </w:rPr>
        <w:t>aus denen keine Ermittlungen folgen müssen</w:t>
      </w:r>
      <w:r w:rsidR="007E5411" w:rsidRPr="008141CD">
        <w:rPr>
          <w:rFonts w:ascii="Arial" w:hAnsi="Arial" w:cs="Arial"/>
        </w:rPr>
        <w:t xml:space="preserve"> – </w:t>
      </w:r>
      <w:r w:rsidRPr="008141CD">
        <w:rPr>
          <w:rFonts w:ascii="Arial" w:hAnsi="Arial" w:cs="Arial"/>
        </w:rPr>
        <w:t xml:space="preserve">gab es Mitte </w:t>
      </w:r>
      <w:r w:rsidR="00663A2D" w:rsidRPr="008141CD">
        <w:rPr>
          <w:rFonts w:ascii="Arial" w:hAnsi="Arial" w:cs="Arial"/>
        </w:rPr>
        <w:t>2017</w:t>
      </w:r>
      <w:r w:rsidRPr="008141CD">
        <w:rPr>
          <w:rFonts w:ascii="Arial" w:hAnsi="Arial" w:cs="Arial"/>
        </w:rPr>
        <w:t xml:space="preserve"> für Afghanistan, </w:t>
      </w:r>
      <w:r w:rsidR="00663A2D" w:rsidRPr="008141CD">
        <w:rPr>
          <w:rFonts w:ascii="Arial" w:hAnsi="Arial" w:cs="Arial"/>
        </w:rPr>
        <w:t xml:space="preserve">Burundi, </w:t>
      </w:r>
      <w:r w:rsidR="007F35C7" w:rsidRPr="008141CD">
        <w:rPr>
          <w:rFonts w:ascii="Arial" w:hAnsi="Arial" w:cs="Arial"/>
        </w:rPr>
        <w:t xml:space="preserve">Gabun, </w:t>
      </w:r>
      <w:r w:rsidRPr="008141CD">
        <w:rPr>
          <w:rFonts w:ascii="Arial" w:hAnsi="Arial" w:cs="Arial"/>
        </w:rPr>
        <w:t>Guinea</w:t>
      </w:r>
      <w:r w:rsidR="007F35C7" w:rsidRPr="008141CD">
        <w:rPr>
          <w:rFonts w:ascii="Arial" w:hAnsi="Arial" w:cs="Arial"/>
        </w:rPr>
        <w:t xml:space="preserve">, </w:t>
      </w:r>
      <w:r w:rsidR="009A00BE" w:rsidRPr="008141CD">
        <w:rPr>
          <w:rFonts w:ascii="Arial" w:hAnsi="Arial" w:cs="Arial"/>
        </w:rPr>
        <w:t xml:space="preserve">den </w:t>
      </w:r>
      <w:r w:rsidR="007F35C7" w:rsidRPr="008141CD">
        <w:rPr>
          <w:rFonts w:ascii="Arial" w:hAnsi="Arial" w:cs="Arial"/>
        </w:rPr>
        <w:t>I</w:t>
      </w:r>
      <w:r w:rsidRPr="008141CD">
        <w:rPr>
          <w:rFonts w:ascii="Arial" w:hAnsi="Arial" w:cs="Arial"/>
        </w:rPr>
        <w:t>rak</w:t>
      </w:r>
      <w:r w:rsidR="007F35C7" w:rsidRPr="008141CD">
        <w:rPr>
          <w:rFonts w:ascii="Arial" w:hAnsi="Arial" w:cs="Arial"/>
        </w:rPr>
        <w:t>/</w:t>
      </w:r>
      <w:r w:rsidR="009A00BE" w:rsidRPr="008141CD">
        <w:rPr>
          <w:rFonts w:ascii="Arial" w:hAnsi="Arial" w:cs="Arial"/>
        </w:rPr>
        <w:t xml:space="preserve">das </w:t>
      </w:r>
      <w:r w:rsidR="007F35C7" w:rsidRPr="008141CD">
        <w:rPr>
          <w:rFonts w:ascii="Arial" w:hAnsi="Arial" w:cs="Arial"/>
        </w:rPr>
        <w:t>Vereinigte Königreich</w:t>
      </w:r>
      <w:r w:rsidRPr="008141CD">
        <w:rPr>
          <w:rFonts w:ascii="Arial" w:hAnsi="Arial" w:cs="Arial"/>
        </w:rPr>
        <w:t>, Kolumbien, Nigeria, Palästin</w:t>
      </w:r>
      <w:r w:rsidR="0005655B" w:rsidRPr="008141CD">
        <w:rPr>
          <w:rFonts w:ascii="Arial" w:hAnsi="Arial" w:cs="Arial"/>
        </w:rPr>
        <w:t>a</w:t>
      </w:r>
      <w:r w:rsidR="005750EE" w:rsidRPr="008141CD">
        <w:rPr>
          <w:rFonts w:ascii="Arial" w:hAnsi="Arial" w:cs="Arial"/>
        </w:rPr>
        <w:t xml:space="preserve">, </w:t>
      </w:r>
      <w:r w:rsidRPr="008141CD">
        <w:rPr>
          <w:rFonts w:ascii="Arial" w:hAnsi="Arial" w:cs="Arial"/>
        </w:rPr>
        <w:t>die Ukraine</w:t>
      </w:r>
      <w:r w:rsidR="005750EE" w:rsidRPr="008141CD">
        <w:rPr>
          <w:rFonts w:ascii="Arial" w:hAnsi="Arial" w:cs="Arial"/>
        </w:rPr>
        <w:t xml:space="preserve"> sowie </w:t>
      </w:r>
      <w:r w:rsidR="002608EC" w:rsidRPr="008141CD">
        <w:rPr>
          <w:rFonts w:ascii="Arial" w:hAnsi="Arial" w:cs="Arial"/>
        </w:rPr>
        <w:t xml:space="preserve">zu Vorfällen auf </w:t>
      </w:r>
      <w:r w:rsidR="005750EE" w:rsidRPr="008141CD">
        <w:rPr>
          <w:rFonts w:ascii="Arial" w:hAnsi="Arial" w:cs="Arial"/>
        </w:rPr>
        <w:t>registrierte</w:t>
      </w:r>
      <w:r w:rsidR="002608EC" w:rsidRPr="008141CD">
        <w:rPr>
          <w:rFonts w:ascii="Arial" w:hAnsi="Arial" w:cs="Arial"/>
        </w:rPr>
        <w:t>n</w:t>
      </w:r>
      <w:r w:rsidR="005750EE" w:rsidRPr="008141CD">
        <w:rPr>
          <w:rFonts w:ascii="Arial" w:hAnsi="Arial" w:cs="Arial"/>
        </w:rPr>
        <w:t xml:space="preserve"> Schiffe</w:t>
      </w:r>
      <w:r w:rsidR="002608EC" w:rsidRPr="008141CD">
        <w:rPr>
          <w:rFonts w:ascii="Arial" w:hAnsi="Arial" w:cs="Arial"/>
        </w:rPr>
        <w:t>n</w:t>
      </w:r>
      <w:r w:rsidR="005750EE" w:rsidRPr="008141CD">
        <w:rPr>
          <w:rFonts w:ascii="Arial" w:hAnsi="Arial" w:cs="Arial"/>
        </w:rPr>
        <w:t xml:space="preserve"> der Komoren, Griechenland</w:t>
      </w:r>
      <w:r w:rsidR="002608EC" w:rsidRPr="008141CD">
        <w:rPr>
          <w:rFonts w:ascii="Arial" w:hAnsi="Arial" w:cs="Arial"/>
        </w:rPr>
        <w:t>s</w:t>
      </w:r>
      <w:r w:rsidR="005750EE" w:rsidRPr="008141CD">
        <w:rPr>
          <w:rFonts w:ascii="Arial" w:hAnsi="Arial" w:cs="Arial"/>
        </w:rPr>
        <w:t xml:space="preserve"> und Kambodscha</w:t>
      </w:r>
      <w:r w:rsidR="002608EC" w:rsidRPr="008141CD">
        <w:rPr>
          <w:rFonts w:ascii="Arial" w:hAnsi="Arial" w:cs="Arial"/>
        </w:rPr>
        <w:t>s</w:t>
      </w:r>
      <w:r w:rsidR="002760DD" w:rsidRPr="008141CD">
        <w:rPr>
          <w:rFonts w:ascii="Arial" w:hAnsi="Arial" w:cs="Arial"/>
        </w:rPr>
        <w:t xml:space="preserve"> ("Konvoi nach Gaza")</w:t>
      </w:r>
      <w:r w:rsidR="004E32FA" w:rsidRPr="008141CD">
        <w:rPr>
          <w:rFonts w:ascii="Arial" w:hAnsi="Arial" w:cs="Arial"/>
        </w:rPr>
        <w:t>.</w:t>
      </w:r>
    </w:p>
    <w:p w14:paraId="6C713AF4" w14:textId="77777777" w:rsidR="004E32FA" w:rsidRPr="008141CD" w:rsidRDefault="004E32FA" w:rsidP="008141CD">
      <w:pPr>
        <w:rPr>
          <w:rFonts w:ascii="Arial" w:hAnsi="Arial" w:cs="Arial"/>
        </w:rPr>
      </w:pPr>
    </w:p>
    <w:p w14:paraId="7CAEE179" w14:textId="77777777" w:rsidR="007E5411" w:rsidRPr="008141CD" w:rsidRDefault="004001F8" w:rsidP="008141CD">
      <w:pPr>
        <w:rPr>
          <w:rFonts w:ascii="Arial" w:hAnsi="Arial" w:cs="Arial"/>
        </w:rPr>
      </w:pPr>
      <w:r w:rsidRPr="008141CD">
        <w:rPr>
          <w:rFonts w:ascii="Arial" w:hAnsi="Arial" w:cs="Arial"/>
        </w:rPr>
        <w:t xml:space="preserve">Sein erstes Urteil sprach der </w:t>
      </w:r>
      <w:proofErr w:type="spellStart"/>
      <w:r w:rsidRPr="008141CD">
        <w:rPr>
          <w:rFonts w:ascii="Arial" w:hAnsi="Arial" w:cs="Arial"/>
        </w:rPr>
        <w:t>I</w:t>
      </w:r>
      <w:r w:rsidR="00472A8B" w:rsidRPr="008141CD">
        <w:rPr>
          <w:rFonts w:ascii="Arial" w:hAnsi="Arial" w:cs="Arial"/>
        </w:rPr>
        <w:t>s</w:t>
      </w:r>
      <w:r w:rsidRPr="008141CD">
        <w:rPr>
          <w:rFonts w:ascii="Arial" w:hAnsi="Arial" w:cs="Arial"/>
        </w:rPr>
        <w:t>tGH</w:t>
      </w:r>
      <w:proofErr w:type="spellEnd"/>
      <w:r w:rsidRPr="008141CD">
        <w:rPr>
          <w:rFonts w:ascii="Arial" w:hAnsi="Arial" w:cs="Arial"/>
        </w:rPr>
        <w:t xml:space="preserve"> am 14. März 2012 gegen den früheren kongolesischen Milizenführer Thomas </w:t>
      </w:r>
      <w:proofErr w:type="spellStart"/>
      <w:r w:rsidRPr="008141CD">
        <w:rPr>
          <w:rFonts w:ascii="Arial" w:hAnsi="Arial" w:cs="Arial"/>
        </w:rPr>
        <w:t>Lubanga</w:t>
      </w:r>
      <w:proofErr w:type="spellEnd"/>
      <w:r w:rsidRPr="008141CD">
        <w:rPr>
          <w:rFonts w:ascii="Arial" w:hAnsi="Arial" w:cs="Arial"/>
        </w:rPr>
        <w:t>, der wegen der Rekrutierung und des Einsatzes von Kindersoldaten am 10.</w:t>
      </w:r>
      <w:r w:rsidR="00E50B09" w:rsidRPr="008141CD">
        <w:rPr>
          <w:rFonts w:ascii="Arial" w:hAnsi="Arial" w:cs="Arial"/>
        </w:rPr>
        <w:t xml:space="preserve"> </w:t>
      </w:r>
      <w:r w:rsidR="0005655B" w:rsidRPr="008141CD">
        <w:rPr>
          <w:rFonts w:ascii="Arial" w:hAnsi="Arial" w:cs="Arial"/>
        </w:rPr>
        <w:t xml:space="preserve">Juli </w:t>
      </w:r>
      <w:r w:rsidRPr="008141CD">
        <w:rPr>
          <w:rFonts w:ascii="Arial" w:hAnsi="Arial" w:cs="Arial"/>
        </w:rPr>
        <w:t xml:space="preserve">2012 zu einer Freiheitsstrafe von 14 Jahren verurteilt wurde. Ein weiteres Endurteil ist der Freispruch aus Mangel an Beweisen vom Dezember 2012 gegen den kongolesischen Milizenführer Mathieu </w:t>
      </w:r>
      <w:proofErr w:type="spellStart"/>
      <w:r w:rsidRPr="008141CD">
        <w:rPr>
          <w:rFonts w:ascii="Arial" w:hAnsi="Arial" w:cs="Arial"/>
        </w:rPr>
        <w:t>Ngudjolo</w:t>
      </w:r>
      <w:proofErr w:type="spellEnd"/>
      <w:r w:rsidRPr="008141CD">
        <w:rPr>
          <w:rFonts w:ascii="Arial" w:hAnsi="Arial" w:cs="Arial"/>
        </w:rPr>
        <w:t xml:space="preserve"> </w:t>
      </w:r>
      <w:proofErr w:type="spellStart"/>
      <w:r w:rsidRPr="008141CD">
        <w:rPr>
          <w:rFonts w:ascii="Arial" w:hAnsi="Arial" w:cs="Arial"/>
        </w:rPr>
        <w:t>Chui</w:t>
      </w:r>
      <w:proofErr w:type="spellEnd"/>
      <w:r w:rsidRPr="008141CD">
        <w:rPr>
          <w:rFonts w:ascii="Arial" w:hAnsi="Arial" w:cs="Arial"/>
        </w:rPr>
        <w:t xml:space="preserve">. </w:t>
      </w:r>
      <w:r w:rsidR="00B0566F" w:rsidRPr="008141CD">
        <w:rPr>
          <w:rFonts w:ascii="Arial" w:hAnsi="Arial" w:cs="Arial"/>
        </w:rPr>
        <w:t>I</w:t>
      </w:r>
      <w:r w:rsidRPr="008141CD">
        <w:rPr>
          <w:rFonts w:ascii="Arial" w:hAnsi="Arial" w:cs="Arial"/>
        </w:rPr>
        <w:t xml:space="preserve">m März 2014 wurde der Milizenführer Germain </w:t>
      </w:r>
      <w:proofErr w:type="spellStart"/>
      <w:r w:rsidRPr="008141CD">
        <w:rPr>
          <w:rFonts w:ascii="Arial" w:hAnsi="Arial" w:cs="Arial"/>
        </w:rPr>
        <w:t>Katanga</w:t>
      </w:r>
      <w:proofErr w:type="spellEnd"/>
      <w:r w:rsidRPr="008141CD">
        <w:rPr>
          <w:rFonts w:ascii="Arial" w:hAnsi="Arial" w:cs="Arial"/>
        </w:rPr>
        <w:t xml:space="preserve"> zu 12 Jahren Freiheitsstrafe wegen Beihilfe zu Kriegsverbrechen und Verbrechen gegen die Menschlichkeit in der Demokratischen Republik Kongo verurteilt</w:t>
      </w:r>
      <w:r w:rsidR="007E5411" w:rsidRPr="008141CD">
        <w:rPr>
          <w:rFonts w:ascii="Arial" w:hAnsi="Arial" w:cs="Arial"/>
        </w:rPr>
        <w:t>.</w:t>
      </w:r>
    </w:p>
    <w:p w14:paraId="727B74DA" w14:textId="77777777" w:rsidR="007E5411" w:rsidRPr="008141CD" w:rsidRDefault="007E5411" w:rsidP="008141CD">
      <w:pPr>
        <w:rPr>
          <w:rFonts w:ascii="Arial" w:hAnsi="Arial" w:cs="Arial"/>
        </w:rPr>
      </w:pPr>
    </w:p>
    <w:p w14:paraId="663ED042" w14:textId="3EF32B35" w:rsidR="004E008B" w:rsidRPr="008141CD" w:rsidRDefault="004E008B" w:rsidP="008141CD">
      <w:pPr>
        <w:rPr>
          <w:rFonts w:ascii="Arial" w:hAnsi="Arial" w:cs="Arial"/>
        </w:rPr>
      </w:pPr>
      <w:r w:rsidRPr="008141CD">
        <w:rPr>
          <w:rFonts w:ascii="Arial" w:hAnsi="Arial" w:cs="Arial"/>
        </w:rPr>
        <w:t xml:space="preserve">Als erster Militärführer wurde </w:t>
      </w:r>
      <w:r w:rsidR="00B56C21" w:rsidRPr="008141CD">
        <w:rPr>
          <w:rFonts w:ascii="Arial" w:hAnsi="Arial" w:cs="Arial"/>
        </w:rPr>
        <w:t>i</w:t>
      </w:r>
      <w:r w:rsidRPr="008141CD">
        <w:rPr>
          <w:rFonts w:ascii="Arial" w:hAnsi="Arial" w:cs="Arial"/>
        </w:rPr>
        <w:t>m März 2016 Jean-Pierre Bemba schuldig gesprochen und</w:t>
      </w:r>
      <w:r w:rsidR="00B56C21" w:rsidRPr="008141CD">
        <w:rPr>
          <w:rFonts w:ascii="Arial" w:hAnsi="Arial" w:cs="Arial"/>
        </w:rPr>
        <w:t xml:space="preserve"> im Juni 2016</w:t>
      </w:r>
      <w:r w:rsidRPr="008141CD">
        <w:rPr>
          <w:rFonts w:ascii="Arial" w:hAnsi="Arial" w:cs="Arial"/>
        </w:rPr>
        <w:t xml:space="preserve"> zu einer 18-jährigen Haftstrafe verurteilt. Allerdings beschäftigt sich zurzeit die Berufungskammer mit dem Urteil</w:t>
      </w:r>
      <w:r w:rsidR="007E5411" w:rsidRPr="008141CD">
        <w:rPr>
          <w:rFonts w:ascii="Arial" w:hAnsi="Arial" w:cs="Arial"/>
        </w:rPr>
        <w:t>. S</w:t>
      </w:r>
      <w:r w:rsidR="00B0566F" w:rsidRPr="008141CD">
        <w:rPr>
          <w:rFonts w:ascii="Arial" w:hAnsi="Arial" w:cs="Arial"/>
        </w:rPr>
        <w:t xml:space="preserve">chließlich wurde im September 2016 </w:t>
      </w:r>
      <w:r w:rsidR="00B56C21" w:rsidRPr="008141CD">
        <w:rPr>
          <w:rFonts w:ascii="Arial" w:hAnsi="Arial" w:cs="Arial"/>
        </w:rPr>
        <w:t xml:space="preserve">der Islamist Ahmad Al </w:t>
      </w:r>
      <w:proofErr w:type="spellStart"/>
      <w:r w:rsidR="00B56C21" w:rsidRPr="00B56C21">
        <w:rPr>
          <w:rFonts w:ascii="Arial" w:hAnsi="Arial" w:cs="Arial"/>
        </w:rPr>
        <w:t>Faqi</w:t>
      </w:r>
      <w:proofErr w:type="spellEnd"/>
      <w:r w:rsidR="00B56C21" w:rsidRPr="00B56C21">
        <w:rPr>
          <w:rFonts w:ascii="Arial" w:hAnsi="Arial" w:cs="Arial"/>
        </w:rPr>
        <w:t xml:space="preserve"> Al Mahdi </w:t>
      </w:r>
      <w:r w:rsidR="00B0566F" w:rsidRPr="008141CD">
        <w:rPr>
          <w:rFonts w:ascii="Arial" w:hAnsi="Arial" w:cs="Arial"/>
        </w:rPr>
        <w:t xml:space="preserve">wegen der Zerstörung von Kulturgütern in </w:t>
      </w:r>
      <w:hyperlink r:id="rId7" w:tooltip="Timbuktu" w:history="1">
        <w:proofErr w:type="spellStart"/>
        <w:r w:rsidR="00B0566F" w:rsidRPr="008141CD">
          <w:rPr>
            <w:rFonts w:ascii="Arial" w:hAnsi="Arial" w:cs="Arial"/>
          </w:rPr>
          <w:t>Timbuktu</w:t>
        </w:r>
        <w:proofErr w:type="spellEnd"/>
      </w:hyperlink>
      <w:r w:rsidR="00B0566F" w:rsidRPr="008141CD">
        <w:rPr>
          <w:rFonts w:ascii="Arial" w:hAnsi="Arial" w:cs="Arial"/>
        </w:rPr>
        <w:t xml:space="preserve"> </w:t>
      </w:r>
      <w:r w:rsidR="007F4A9E" w:rsidRPr="008141CD">
        <w:rPr>
          <w:rFonts w:ascii="Arial" w:hAnsi="Arial" w:cs="Arial"/>
        </w:rPr>
        <w:t xml:space="preserve">(Mali) </w:t>
      </w:r>
      <w:r w:rsidR="00B0566F" w:rsidRPr="008141CD">
        <w:rPr>
          <w:rFonts w:ascii="Arial" w:hAnsi="Arial" w:cs="Arial"/>
        </w:rPr>
        <w:t>zu neun Jahren Haft verurteilt.</w:t>
      </w:r>
    </w:p>
    <w:p w14:paraId="11CD7170" w14:textId="77777777" w:rsidR="00107906" w:rsidRPr="008141CD" w:rsidRDefault="00107906" w:rsidP="008141CD">
      <w:pPr>
        <w:rPr>
          <w:rFonts w:ascii="Arial" w:hAnsi="Arial" w:cs="Arial"/>
        </w:rPr>
      </w:pPr>
    </w:p>
    <w:p w14:paraId="566D3113" w14:textId="77777777" w:rsidR="004001F8" w:rsidRPr="00F11018" w:rsidRDefault="004001F8">
      <w:pPr>
        <w:pStyle w:val="StandardWeb"/>
        <w:spacing w:before="0" w:after="0"/>
        <w:rPr>
          <w:rFonts w:ascii="Arial" w:hAnsi="Arial" w:cs="Arial"/>
        </w:rPr>
      </w:pPr>
      <w:r w:rsidRPr="00F11018">
        <w:rPr>
          <w:rFonts w:ascii="Arial" w:hAnsi="Arial" w:cs="Arial"/>
          <w:color w:val="FF0000"/>
        </w:rPr>
        <w:t>Datenquelle</w:t>
      </w:r>
    </w:p>
    <w:p w14:paraId="360086DC" w14:textId="77777777" w:rsidR="004001F8" w:rsidRPr="00F11018" w:rsidRDefault="004001F8">
      <w:pPr>
        <w:pStyle w:val="StandardWeb"/>
        <w:spacing w:before="0" w:after="0"/>
        <w:rPr>
          <w:rFonts w:ascii="Arial" w:hAnsi="Arial" w:cs="Arial"/>
        </w:rPr>
      </w:pPr>
    </w:p>
    <w:p w14:paraId="4D428169" w14:textId="77777777" w:rsidR="004001F8" w:rsidRPr="008141CD" w:rsidRDefault="004001F8">
      <w:pPr>
        <w:pStyle w:val="StandardWeb"/>
        <w:spacing w:before="0" w:after="0"/>
        <w:rPr>
          <w:rFonts w:ascii="Arial" w:hAnsi="Arial" w:cs="Arial"/>
        </w:rPr>
      </w:pPr>
      <w:r w:rsidRPr="008141CD">
        <w:rPr>
          <w:rFonts w:ascii="Arial" w:hAnsi="Arial" w:cs="Arial"/>
        </w:rPr>
        <w:t xml:space="preserve">International </w:t>
      </w:r>
      <w:proofErr w:type="spellStart"/>
      <w:r w:rsidRPr="008141CD">
        <w:rPr>
          <w:rFonts w:ascii="Arial" w:hAnsi="Arial" w:cs="Arial"/>
        </w:rPr>
        <w:t>Criminal</w:t>
      </w:r>
      <w:proofErr w:type="spellEnd"/>
      <w:r w:rsidRPr="008141CD">
        <w:rPr>
          <w:rFonts w:ascii="Arial" w:hAnsi="Arial" w:cs="Arial"/>
        </w:rPr>
        <w:t xml:space="preserve"> Court (ICC): www.icc-cpi.int; Auswärtiges Amt: www.auswaertiges-amt.de</w:t>
      </w:r>
    </w:p>
    <w:p w14:paraId="0B6B6AAC" w14:textId="77777777" w:rsidR="004001F8" w:rsidRPr="008141CD" w:rsidRDefault="004001F8">
      <w:pPr>
        <w:pStyle w:val="StandardWeb"/>
        <w:spacing w:before="0" w:after="0"/>
        <w:rPr>
          <w:rFonts w:ascii="Arial" w:hAnsi="Arial" w:cs="Arial"/>
        </w:rPr>
      </w:pPr>
    </w:p>
    <w:p w14:paraId="32E7ED93" w14:textId="77777777" w:rsidR="004001F8" w:rsidRPr="008141CD" w:rsidRDefault="004001F8">
      <w:pPr>
        <w:rPr>
          <w:rFonts w:ascii="Arial" w:hAnsi="Arial" w:cs="Arial"/>
        </w:rPr>
      </w:pPr>
      <w:r w:rsidRPr="008141CD">
        <w:rPr>
          <w:rFonts w:ascii="Arial" w:hAnsi="Arial" w:cs="Arial"/>
          <w:color w:val="FF0000"/>
        </w:rPr>
        <w:t>Begriffe, methodische Anmerkungen oder Lesehilfen</w:t>
      </w:r>
    </w:p>
    <w:p w14:paraId="0691F6E0" w14:textId="77777777" w:rsidR="004001F8" w:rsidRPr="008141CD" w:rsidRDefault="004001F8">
      <w:pPr>
        <w:rPr>
          <w:rFonts w:ascii="Arial" w:hAnsi="Arial" w:cs="Arial"/>
        </w:rPr>
      </w:pPr>
    </w:p>
    <w:p w14:paraId="6BE3BB33" w14:textId="77777777" w:rsidR="007E5411" w:rsidRPr="008141CD" w:rsidRDefault="004001F8">
      <w:pPr>
        <w:rPr>
          <w:rFonts w:ascii="Arial" w:hAnsi="Arial" w:cs="Arial"/>
        </w:rPr>
      </w:pPr>
      <w:r w:rsidRPr="008141CD">
        <w:rPr>
          <w:rFonts w:ascii="Arial" w:hAnsi="Arial" w:cs="Arial"/>
        </w:rPr>
        <w:t xml:space="preserve">Das </w:t>
      </w:r>
      <w:r w:rsidRPr="00F11018">
        <w:rPr>
          <w:rFonts w:ascii="Arial" w:hAnsi="Arial" w:cs="Arial"/>
          <w:b/>
        </w:rPr>
        <w:t>Verbrechen der Aggression</w:t>
      </w:r>
      <w:r w:rsidRPr="008141CD">
        <w:rPr>
          <w:rFonts w:ascii="Arial" w:hAnsi="Arial" w:cs="Arial"/>
        </w:rPr>
        <w:t xml:space="preserve"> wurde auf der 1. Überprüfungskonferenz zum Römischen Statut in Kampala (Uganda) im Mai/Juni 2010 im Konsens von den </w:t>
      </w:r>
      <w:r w:rsidRPr="008141CD">
        <w:rPr>
          <w:rFonts w:ascii="Arial" w:hAnsi="Arial" w:cs="Arial"/>
        </w:rPr>
        <w:lastRenderedPageBreak/>
        <w:t>Vertragsstaaten definiert. Hiernach ist ein Verbrechen der Aggression die Planung, Vorbereitung, Einleitung oder Ausführung einer Angriffshandlung, die ihrer Art, ihrer Schwere und ihrem Umfang nach eine offenkundige Verletzung der Charta der Vereinten Nationen darstellt, durch eine Person, die tatsächlich in der Lage ist, das politische oder militärische Handeln eines Staates zu kontrollieren oder zu lenken. Eine Angriffshandlung liegt dann vor, wenn ein Staat Waffengewalt anwendet, die sich gegen die Souveränität, die territoriale Unversehrtheit oder die politische Unabhängigkeit eines anderen Staates richtet oder sonst mit der Charta der Vereinten Nationen unvereinbar ist</w:t>
      </w:r>
      <w:r w:rsidR="007E5411" w:rsidRPr="008141CD">
        <w:rPr>
          <w:rFonts w:ascii="Arial" w:hAnsi="Arial" w:cs="Arial"/>
        </w:rPr>
        <w:t>.</w:t>
      </w:r>
    </w:p>
    <w:p w14:paraId="5E0B3C9C" w14:textId="77777777" w:rsidR="007E5411" w:rsidRPr="008141CD" w:rsidRDefault="007E5411">
      <w:pPr>
        <w:rPr>
          <w:rFonts w:ascii="Arial" w:hAnsi="Arial" w:cs="Arial"/>
        </w:rPr>
      </w:pPr>
    </w:p>
    <w:p w14:paraId="702117D1" w14:textId="77777777" w:rsidR="007E5411" w:rsidRPr="008141CD" w:rsidRDefault="004001F8">
      <w:pPr>
        <w:rPr>
          <w:rFonts w:ascii="Arial" w:hAnsi="Arial" w:cs="Arial"/>
        </w:rPr>
      </w:pPr>
      <w:r w:rsidRPr="008141CD">
        <w:rPr>
          <w:rFonts w:ascii="Arial" w:hAnsi="Arial" w:cs="Arial"/>
        </w:rPr>
        <w:t xml:space="preserve">Damit der Gerichtshof seine Gerichtsbarkeit über das Verbrechen der Aggression ausüben kann, müssen nach dem 1. Januar 2017 zwei Drittel aller Vertragsstaaten die Aktivierung der neuen Bestimmungen beschließen und mindestens 30 Staaten </w:t>
      </w:r>
      <w:r w:rsidR="00C40E82" w:rsidRPr="008141CD">
        <w:rPr>
          <w:rFonts w:ascii="Arial" w:hAnsi="Arial" w:cs="Arial"/>
        </w:rPr>
        <w:t xml:space="preserve">müssen </w:t>
      </w:r>
      <w:r w:rsidRPr="008141CD">
        <w:rPr>
          <w:rFonts w:ascii="Arial" w:hAnsi="Arial" w:cs="Arial"/>
        </w:rPr>
        <w:t>sie ratifizieren</w:t>
      </w:r>
      <w:r w:rsidR="007E5411" w:rsidRPr="008141CD">
        <w:rPr>
          <w:rFonts w:ascii="Arial" w:hAnsi="Arial" w:cs="Arial"/>
        </w:rPr>
        <w:t>.</w:t>
      </w:r>
    </w:p>
    <w:p w14:paraId="2DD7ED8D" w14:textId="77777777" w:rsidR="007E5411" w:rsidRPr="008141CD" w:rsidRDefault="007E5411">
      <w:pPr>
        <w:rPr>
          <w:rFonts w:ascii="Arial" w:hAnsi="Arial" w:cs="Arial"/>
        </w:rPr>
      </w:pPr>
    </w:p>
    <w:p w14:paraId="716F9541" w14:textId="0FB0AC65" w:rsidR="00E50B09" w:rsidRPr="003E3C26" w:rsidRDefault="00F025B5" w:rsidP="003E3C26">
      <w:pPr>
        <w:rPr>
          <w:rFonts w:ascii="Arial" w:hAnsi="Arial" w:cs="Arial"/>
        </w:rPr>
      </w:pPr>
      <w:r w:rsidRPr="008141CD">
        <w:rPr>
          <w:rFonts w:ascii="Arial" w:hAnsi="Arial" w:cs="Arial"/>
        </w:rPr>
        <w:t xml:space="preserve">Bei der Staatlichkeit Palästinas orientiert sich der </w:t>
      </w:r>
      <w:proofErr w:type="spellStart"/>
      <w:r w:rsidRPr="008141CD">
        <w:rPr>
          <w:rFonts w:ascii="Arial" w:hAnsi="Arial" w:cs="Arial"/>
        </w:rPr>
        <w:t>IStGH</w:t>
      </w:r>
      <w:proofErr w:type="spellEnd"/>
      <w:r w:rsidRPr="008141CD">
        <w:rPr>
          <w:rFonts w:ascii="Arial" w:hAnsi="Arial" w:cs="Arial"/>
        </w:rPr>
        <w:t xml:space="preserve"> an dem Beschluss der UN-Generalversammlung vom 29. November 2012, nach dem Palästina ein beobachtender Nicht-Mitgliedstaat ist</w:t>
      </w:r>
      <w:r w:rsidR="007E5411" w:rsidRPr="008141CD">
        <w:rPr>
          <w:rFonts w:ascii="Arial" w:hAnsi="Arial" w:cs="Arial"/>
        </w:rPr>
        <w:t>.</w:t>
      </w:r>
      <w:r w:rsidR="003E3C26">
        <w:rPr>
          <w:rFonts w:ascii="Arial" w:hAnsi="Arial" w:cs="Arial"/>
        </w:rPr>
        <w:t xml:space="preserve"> </w:t>
      </w:r>
      <w:r w:rsidR="007E5411" w:rsidRPr="003E3C26">
        <w:rPr>
          <w:rFonts w:ascii="Arial" w:hAnsi="Arial" w:cs="Arial"/>
        </w:rPr>
        <w:t>S</w:t>
      </w:r>
      <w:r w:rsidRPr="003E3C26">
        <w:rPr>
          <w:rFonts w:ascii="Arial" w:hAnsi="Arial" w:cs="Arial"/>
        </w:rPr>
        <w:t xml:space="preserve">iehe hierzu auch: </w:t>
      </w:r>
    </w:p>
    <w:p w14:paraId="56D9827B" w14:textId="5ECED11E" w:rsidR="00E50B09" w:rsidRPr="008141CD" w:rsidRDefault="003E3C26" w:rsidP="007E5411">
      <w:pPr>
        <w:pStyle w:val="Textkrper"/>
      </w:pPr>
      <w:hyperlink r:id="rId8" w:history="1">
        <w:r w:rsidR="00B74358" w:rsidRPr="008141CD">
          <w:rPr>
            <w:rStyle w:val="Hyperlink"/>
          </w:rPr>
          <w:t>http://www.bpb.de/politik/hintergrund-aktuell/150698/un-machen-palaestina-zum-beobachterstaat</w:t>
        </w:r>
      </w:hyperlink>
    </w:p>
    <w:p w14:paraId="00E4958C" w14:textId="77777777" w:rsidR="00B74358" w:rsidRPr="00107906" w:rsidRDefault="00B74358" w:rsidP="007E5411">
      <w:pPr>
        <w:pStyle w:val="Textkrper"/>
      </w:pPr>
    </w:p>
    <w:p w14:paraId="16A7ADA2" w14:textId="77777777" w:rsidR="00B74358" w:rsidRPr="00107906" w:rsidRDefault="00B74358" w:rsidP="00B74358">
      <w:pPr>
        <w:rPr>
          <w:rFonts w:ascii="Arial" w:hAnsi="Arial"/>
          <w:sz w:val="20"/>
          <w:szCs w:val="20"/>
        </w:rPr>
      </w:pPr>
      <w:r w:rsidRPr="00107906">
        <w:rPr>
          <w:rFonts w:ascii="Arial" w:hAnsi="Arial"/>
          <w:sz w:val="20"/>
          <w:szCs w:val="20"/>
        </w:rPr>
        <w:t xml:space="preserve">Dieser Text ist unter der Creative </w:t>
      </w:r>
      <w:proofErr w:type="spellStart"/>
      <w:r w:rsidRPr="00107906">
        <w:rPr>
          <w:rFonts w:ascii="Arial" w:hAnsi="Arial"/>
          <w:sz w:val="20"/>
          <w:szCs w:val="20"/>
        </w:rPr>
        <w:t>Commons</w:t>
      </w:r>
      <w:proofErr w:type="spellEnd"/>
      <w:r w:rsidRPr="00107906">
        <w:rPr>
          <w:rFonts w:ascii="Arial" w:hAnsi="Arial"/>
          <w:sz w:val="20"/>
          <w:szCs w:val="20"/>
        </w:rPr>
        <w:t xml:space="preserve"> Lizenz </w:t>
      </w:r>
      <w:hyperlink r:id="rId9" w:tgtFrame="extern" w:history="1">
        <w:proofErr w:type="spellStart"/>
        <w:r w:rsidRPr="00107906">
          <w:rPr>
            <w:rFonts w:ascii="Arial" w:hAnsi="Arial"/>
            <w:sz w:val="20"/>
            <w:szCs w:val="20"/>
          </w:rPr>
          <w:t>by-nc-nd</w:t>
        </w:r>
        <w:proofErr w:type="spellEnd"/>
        <w:r w:rsidRPr="00107906">
          <w:rPr>
            <w:rFonts w:ascii="Arial" w:hAnsi="Arial"/>
            <w:sz w:val="20"/>
            <w:szCs w:val="20"/>
          </w:rPr>
          <w:t>/3.0/de/</w:t>
        </w:r>
      </w:hyperlink>
      <w:r w:rsidRPr="00107906">
        <w:rPr>
          <w:rFonts w:ascii="Arial" w:hAnsi="Arial"/>
          <w:sz w:val="20"/>
          <w:szCs w:val="20"/>
        </w:rPr>
        <w:t xml:space="preserve"> veröffentlicht. </w:t>
      </w:r>
    </w:p>
    <w:p w14:paraId="3F395CBE" w14:textId="1C126E8B" w:rsidR="00B74358" w:rsidRPr="00107906" w:rsidRDefault="00B74358" w:rsidP="00B74358">
      <w:pPr>
        <w:rPr>
          <w:rFonts w:ascii="Arial" w:hAnsi="Arial"/>
        </w:rPr>
      </w:pPr>
      <w:r w:rsidRPr="00107906">
        <w:rPr>
          <w:rFonts w:ascii="Arial" w:hAnsi="Arial"/>
          <w:sz w:val="20"/>
          <w:szCs w:val="20"/>
        </w:rPr>
        <w:t xml:space="preserve">Bundeszentrale für politische Bildung 2017 | </w:t>
      </w:r>
      <w:hyperlink r:id="rId10" w:history="1">
        <w:r w:rsidRPr="00107906">
          <w:rPr>
            <w:rFonts w:ascii="Arial" w:hAnsi="Arial"/>
            <w:sz w:val="20"/>
            <w:szCs w:val="20"/>
          </w:rPr>
          <w:t>www.bpb.de</w:t>
        </w:r>
      </w:hyperlink>
    </w:p>
    <w:sectPr w:rsidR="00B74358" w:rsidRPr="00107906">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4A1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20"/>
    <w:rsid w:val="00040EB2"/>
    <w:rsid w:val="0005655B"/>
    <w:rsid w:val="00080879"/>
    <w:rsid w:val="00107906"/>
    <w:rsid w:val="00126021"/>
    <w:rsid w:val="00126C43"/>
    <w:rsid w:val="001A416B"/>
    <w:rsid w:val="001B06B0"/>
    <w:rsid w:val="001D70CD"/>
    <w:rsid w:val="001E368F"/>
    <w:rsid w:val="001F0A20"/>
    <w:rsid w:val="00201F8A"/>
    <w:rsid w:val="002608EC"/>
    <w:rsid w:val="00271D81"/>
    <w:rsid w:val="00275B7D"/>
    <w:rsid w:val="002760DD"/>
    <w:rsid w:val="002A28E5"/>
    <w:rsid w:val="002C184E"/>
    <w:rsid w:val="002C67FC"/>
    <w:rsid w:val="003144E8"/>
    <w:rsid w:val="0033204A"/>
    <w:rsid w:val="003421C6"/>
    <w:rsid w:val="00344A1B"/>
    <w:rsid w:val="00360821"/>
    <w:rsid w:val="003A0DB1"/>
    <w:rsid w:val="003A505B"/>
    <w:rsid w:val="003B4500"/>
    <w:rsid w:val="003B55E0"/>
    <w:rsid w:val="003C5CC2"/>
    <w:rsid w:val="003D1A28"/>
    <w:rsid w:val="003D628E"/>
    <w:rsid w:val="003E3C26"/>
    <w:rsid w:val="003E59BF"/>
    <w:rsid w:val="004001F8"/>
    <w:rsid w:val="00405ACF"/>
    <w:rsid w:val="00452A45"/>
    <w:rsid w:val="00472A8B"/>
    <w:rsid w:val="00473AA1"/>
    <w:rsid w:val="004A12CB"/>
    <w:rsid w:val="004E008B"/>
    <w:rsid w:val="004E32FA"/>
    <w:rsid w:val="00535DCF"/>
    <w:rsid w:val="005750EE"/>
    <w:rsid w:val="005D4D52"/>
    <w:rsid w:val="005D77F7"/>
    <w:rsid w:val="00600A52"/>
    <w:rsid w:val="0061510A"/>
    <w:rsid w:val="00617017"/>
    <w:rsid w:val="00663A2D"/>
    <w:rsid w:val="00683422"/>
    <w:rsid w:val="00692850"/>
    <w:rsid w:val="00693611"/>
    <w:rsid w:val="006C0152"/>
    <w:rsid w:val="006C0574"/>
    <w:rsid w:val="006E28B3"/>
    <w:rsid w:val="00751336"/>
    <w:rsid w:val="0075627A"/>
    <w:rsid w:val="007D7254"/>
    <w:rsid w:val="007E5411"/>
    <w:rsid w:val="007F35C7"/>
    <w:rsid w:val="007F4A9E"/>
    <w:rsid w:val="008141CD"/>
    <w:rsid w:val="008D398D"/>
    <w:rsid w:val="008E418D"/>
    <w:rsid w:val="008F78C2"/>
    <w:rsid w:val="00903D75"/>
    <w:rsid w:val="00957BF3"/>
    <w:rsid w:val="009A00BE"/>
    <w:rsid w:val="00A330AD"/>
    <w:rsid w:val="00A35906"/>
    <w:rsid w:val="00AA1A0D"/>
    <w:rsid w:val="00AC3969"/>
    <w:rsid w:val="00AC4FA8"/>
    <w:rsid w:val="00AF5242"/>
    <w:rsid w:val="00B0566F"/>
    <w:rsid w:val="00B15B1C"/>
    <w:rsid w:val="00B169F9"/>
    <w:rsid w:val="00B47D7B"/>
    <w:rsid w:val="00B56C21"/>
    <w:rsid w:val="00B74358"/>
    <w:rsid w:val="00B813FA"/>
    <w:rsid w:val="00BD57A9"/>
    <w:rsid w:val="00C40E82"/>
    <w:rsid w:val="00C9100F"/>
    <w:rsid w:val="00CD1791"/>
    <w:rsid w:val="00CF5622"/>
    <w:rsid w:val="00D14637"/>
    <w:rsid w:val="00D17E5C"/>
    <w:rsid w:val="00D54A68"/>
    <w:rsid w:val="00D56BE8"/>
    <w:rsid w:val="00D65D4B"/>
    <w:rsid w:val="00D96B1C"/>
    <w:rsid w:val="00DA5CFB"/>
    <w:rsid w:val="00DD478B"/>
    <w:rsid w:val="00E50B09"/>
    <w:rsid w:val="00E60D3C"/>
    <w:rsid w:val="00EC2F53"/>
    <w:rsid w:val="00F025B5"/>
    <w:rsid w:val="00F04B4A"/>
    <w:rsid w:val="00F11018"/>
    <w:rsid w:val="00F32357"/>
    <w:rsid w:val="00F4680A"/>
    <w:rsid w:val="00F51C1F"/>
    <w:rsid w:val="00F908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7F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Cambria" w:hAnsi="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Wingdings"/>
      <w:sz w:val="20"/>
    </w:rPr>
  </w:style>
  <w:style w:type="character" w:customStyle="1" w:styleId="WW8Num1z2">
    <w:name w:val="WW8Num1z2"/>
    <w:rPr>
      <w:rFonts w:ascii="Wingdings" w:hAnsi="Wingdings" w:cs="Wingdings"/>
      <w:sz w:val="20"/>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Wingdings"/>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Wingdings"/>
      <w:sz w:val="20"/>
    </w:rPr>
  </w:style>
  <w:style w:type="character" w:customStyle="1" w:styleId="WW8Num4z2">
    <w:name w:val="WW8Num4z2"/>
    <w:rPr>
      <w:rFonts w:ascii="Wingdings" w:hAnsi="Wingdings" w:cs="Wingdings"/>
      <w:sz w:val="20"/>
    </w:rPr>
  </w:style>
  <w:style w:type="character" w:customStyle="1" w:styleId="Hyperlink1">
    <w:name w:val="Hyperlink1"/>
    <w:rPr>
      <w:color w:val="0000FF"/>
      <w:u w:val="single"/>
    </w:rPr>
  </w:style>
  <w:style w:type="character" w:customStyle="1" w:styleId="BesuchterHyperlink1">
    <w:name w:val="BesuchterHyperlink1"/>
    <w:rPr>
      <w:color w:val="800080"/>
      <w:u w:val="single"/>
    </w:rPr>
  </w:style>
  <w:style w:type="character" w:customStyle="1" w:styleId="Hervorhebung1">
    <w:name w:val="Hervorhebung1"/>
    <w:rPr>
      <w:i/>
      <w:iCs/>
    </w:rPr>
  </w:style>
  <w:style w:type="character" w:customStyle="1" w:styleId="blacktext12">
    <w:name w:val="blacktext12"/>
    <w:basedOn w:val="Absatz-Standardschriftart1"/>
  </w:style>
  <w:style w:type="character" w:customStyle="1" w:styleId="Kommentarzeichen1">
    <w:name w:val="Kommentarzeichen1"/>
    <w:rPr>
      <w:sz w:val="16"/>
    </w:rPr>
  </w:style>
  <w:style w:type="character" w:customStyle="1" w:styleId="berschrift1Zchn">
    <w:name w:val="Überschrift 1 Zchn"/>
    <w:rPr>
      <w:b/>
      <w:bCs/>
      <w:kern w:val="1"/>
      <w:sz w:val="48"/>
      <w:szCs w:val="48"/>
    </w:rPr>
  </w:style>
  <w:style w:type="character" w:customStyle="1" w:styleId="KommentartextZchn">
    <w:name w:val="Kommentartext Zchn"/>
    <w:rPr>
      <w:szCs w:val="24"/>
    </w:rPr>
  </w:style>
  <w:style w:type="character" w:customStyle="1" w:styleId="KommentarthemaZchn">
    <w:name w:val="Kommentarthema Zchn"/>
    <w:rPr>
      <w:b/>
      <w:bCs/>
      <w:szCs w:val="24"/>
    </w:rPr>
  </w:style>
  <w:style w:type="character" w:customStyle="1" w:styleId="highlight">
    <w:name w:val="highlight"/>
  </w:style>
  <w:style w:type="character" w:customStyle="1" w:styleId="berschrift2Zchn">
    <w:name w:val="Überschrift 2 Zchn"/>
    <w:rPr>
      <w:rFonts w:ascii="Cambria" w:eastAsia="Times New Roman" w:hAnsi="Cambria" w:cs="Times New Roman"/>
      <w:b/>
      <w:bCs/>
      <w:i/>
      <w:iCs/>
      <w:sz w:val="28"/>
      <w:szCs w:val="28"/>
    </w:rPr>
  </w:style>
  <w:style w:type="character" w:customStyle="1" w:styleId="Fett1">
    <w:name w:val="Fett1"/>
    <w:rPr>
      <w:b/>
      <w:bCs/>
    </w:rPr>
  </w:style>
  <w:style w:type="character" w:styleId="Hyperlink">
    <w:name w:val="Hyperlink"/>
    <w:rPr>
      <w:color w:val="000080"/>
      <w:u w:val="single"/>
    </w:rPr>
  </w:style>
  <w:style w:type="character" w:styleId="Hervorhebung">
    <w:name w:val="Emphasis"/>
    <w:qFormat/>
    <w:rPr>
      <w:i/>
      <w:iCs/>
    </w:rPr>
  </w:style>
  <w:style w:type="paragraph" w:customStyle="1" w:styleId="berschrift">
    <w:name w:val="Überschrift"/>
    <w:basedOn w:val="Standard"/>
    <w:next w:val="Textkrper"/>
    <w:pPr>
      <w:keepNext/>
      <w:spacing w:before="240" w:after="120"/>
    </w:pPr>
    <w:rPr>
      <w:rFonts w:ascii="Arial" w:eastAsia="Andale Sans UI" w:hAnsi="Arial" w:cs="Wingdings"/>
      <w:sz w:val="26"/>
      <w:szCs w:val="28"/>
    </w:rPr>
  </w:style>
  <w:style w:type="paragraph" w:styleId="Textkrper">
    <w:name w:val="Body Text"/>
    <w:basedOn w:val="Standard"/>
    <w:rPr>
      <w:rFonts w:ascii="Arial" w:hAnsi="Arial" w:cs="Arial"/>
      <w:color w:val="0000FF"/>
    </w:rPr>
  </w:style>
  <w:style w:type="paragraph" w:styleId="Liste">
    <w:name w:val="List"/>
    <w:basedOn w:val="Textkrper"/>
    <w:rPr>
      <w:rFonts w:cs="Wingdings"/>
    </w:rPr>
  </w:style>
  <w:style w:type="paragraph" w:customStyle="1" w:styleId="Beschriftung1">
    <w:name w:val="Beschriftung1"/>
    <w:basedOn w:val="Standard"/>
    <w:pPr>
      <w:suppressLineNumbers/>
      <w:spacing w:before="120" w:after="120"/>
    </w:pPr>
    <w:rPr>
      <w:rFonts w:ascii="Arial" w:hAnsi="Arial" w:cs="Wingdings"/>
      <w:i/>
      <w:iCs/>
      <w:sz w:val="22"/>
    </w:rPr>
  </w:style>
  <w:style w:type="paragraph" w:customStyle="1" w:styleId="Verzeichnis">
    <w:name w:val="Verzeichnis"/>
    <w:basedOn w:val="Standard"/>
    <w:pPr>
      <w:suppressLineNumbers/>
    </w:pPr>
    <w:rPr>
      <w:rFonts w:ascii="Arial" w:hAnsi="Arial" w:cs="Wingdings"/>
    </w:rPr>
  </w:style>
  <w:style w:type="paragraph" w:styleId="StandardWeb">
    <w:name w:val="Normal (Web)"/>
    <w:basedOn w:val="Standard"/>
    <w:pPr>
      <w:spacing w:before="100" w:after="100"/>
    </w:pPr>
  </w:style>
  <w:style w:type="paragraph" w:customStyle="1" w:styleId="nav-start">
    <w:name w:val="nav-start"/>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Wingdings"/>
      <w:sz w:val="16"/>
      <w:szCs w:val="16"/>
    </w:rPr>
  </w:style>
  <w:style w:type="paragraph" w:styleId="Kommentarthema">
    <w:name w:val="annotation subject"/>
    <w:basedOn w:val="Kommentartext1"/>
    <w:next w:val="Kommentartext1"/>
    <w:rPr>
      <w:b/>
      <w:bCs/>
      <w:szCs w:val="20"/>
    </w:rPr>
  </w:style>
  <w:style w:type="character" w:styleId="Kommentarzeichen">
    <w:name w:val="annotation reference"/>
    <w:uiPriority w:val="99"/>
    <w:semiHidden/>
    <w:unhideWhenUsed/>
    <w:rsid w:val="00751336"/>
    <w:rPr>
      <w:sz w:val="16"/>
      <w:szCs w:val="16"/>
    </w:rPr>
  </w:style>
  <w:style w:type="paragraph" w:styleId="Kommentartext">
    <w:name w:val="annotation text"/>
    <w:basedOn w:val="Standard"/>
    <w:link w:val="KommentartextZchn1"/>
    <w:uiPriority w:val="99"/>
    <w:semiHidden/>
    <w:unhideWhenUsed/>
    <w:rsid w:val="00751336"/>
    <w:rPr>
      <w:sz w:val="20"/>
      <w:szCs w:val="20"/>
    </w:rPr>
  </w:style>
  <w:style w:type="character" w:customStyle="1" w:styleId="KommentartextZchn1">
    <w:name w:val="Kommentartext Zchn1"/>
    <w:link w:val="Kommentartext"/>
    <w:uiPriority w:val="99"/>
    <w:semiHidden/>
    <w:rsid w:val="00751336"/>
    <w:rPr>
      <w:lang w:eastAsia="ar-SA"/>
    </w:rPr>
  </w:style>
  <w:style w:type="character" w:styleId="BesuchterHyperlink">
    <w:name w:val="FollowedHyperlink"/>
    <w:basedOn w:val="Absatz-Standardschriftart"/>
    <w:uiPriority w:val="99"/>
    <w:semiHidden/>
    <w:unhideWhenUsed/>
    <w:rsid w:val="00535DCF"/>
    <w:rPr>
      <w:color w:val="954F72" w:themeColor="followedHyperlink"/>
      <w:u w:val="single"/>
    </w:rPr>
  </w:style>
  <w:style w:type="character" w:customStyle="1" w:styleId="body">
    <w:name w:val="body"/>
    <w:basedOn w:val="Absatz-Standardschriftart"/>
    <w:rsid w:val="004E008B"/>
  </w:style>
  <w:style w:type="paragraph" w:customStyle="1" w:styleId="Default">
    <w:name w:val="Default"/>
    <w:rsid w:val="007F4A9E"/>
    <w:pPr>
      <w:autoSpaceDE w:val="0"/>
      <w:autoSpaceDN w:val="0"/>
      <w:adjustRightInd w:val="0"/>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Cambria" w:hAnsi="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Wingdings"/>
      <w:sz w:val="20"/>
    </w:rPr>
  </w:style>
  <w:style w:type="character" w:customStyle="1" w:styleId="WW8Num1z2">
    <w:name w:val="WW8Num1z2"/>
    <w:rPr>
      <w:rFonts w:ascii="Wingdings" w:hAnsi="Wingdings" w:cs="Wingdings"/>
      <w:sz w:val="20"/>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Wingdings"/>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Wingdings"/>
      <w:sz w:val="20"/>
    </w:rPr>
  </w:style>
  <w:style w:type="character" w:customStyle="1" w:styleId="WW8Num4z2">
    <w:name w:val="WW8Num4z2"/>
    <w:rPr>
      <w:rFonts w:ascii="Wingdings" w:hAnsi="Wingdings" w:cs="Wingdings"/>
      <w:sz w:val="20"/>
    </w:rPr>
  </w:style>
  <w:style w:type="character" w:customStyle="1" w:styleId="Hyperlink1">
    <w:name w:val="Hyperlink1"/>
    <w:rPr>
      <w:color w:val="0000FF"/>
      <w:u w:val="single"/>
    </w:rPr>
  </w:style>
  <w:style w:type="character" w:customStyle="1" w:styleId="BesuchterHyperlink1">
    <w:name w:val="BesuchterHyperlink1"/>
    <w:rPr>
      <w:color w:val="800080"/>
      <w:u w:val="single"/>
    </w:rPr>
  </w:style>
  <w:style w:type="character" w:customStyle="1" w:styleId="Hervorhebung1">
    <w:name w:val="Hervorhebung1"/>
    <w:rPr>
      <w:i/>
      <w:iCs/>
    </w:rPr>
  </w:style>
  <w:style w:type="character" w:customStyle="1" w:styleId="blacktext12">
    <w:name w:val="blacktext12"/>
    <w:basedOn w:val="Absatz-Standardschriftart1"/>
  </w:style>
  <w:style w:type="character" w:customStyle="1" w:styleId="Kommentarzeichen1">
    <w:name w:val="Kommentarzeichen1"/>
    <w:rPr>
      <w:sz w:val="16"/>
    </w:rPr>
  </w:style>
  <w:style w:type="character" w:customStyle="1" w:styleId="berschrift1Zchn">
    <w:name w:val="Überschrift 1 Zchn"/>
    <w:rPr>
      <w:b/>
      <w:bCs/>
      <w:kern w:val="1"/>
      <w:sz w:val="48"/>
      <w:szCs w:val="48"/>
    </w:rPr>
  </w:style>
  <w:style w:type="character" w:customStyle="1" w:styleId="KommentartextZchn">
    <w:name w:val="Kommentartext Zchn"/>
    <w:rPr>
      <w:szCs w:val="24"/>
    </w:rPr>
  </w:style>
  <w:style w:type="character" w:customStyle="1" w:styleId="KommentarthemaZchn">
    <w:name w:val="Kommentarthema Zchn"/>
    <w:rPr>
      <w:b/>
      <w:bCs/>
      <w:szCs w:val="24"/>
    </w:rPr>
  </w:style>
  <w:style w:type="character" w:customStyle="1" w:styleId="highlight">
    <w:name w:val="highlight"/>
  </w:style>
  <w:style w:type="character" w:customStyle="1" w:styleId="berschrift2Zchn">
    <w:name w:val="Überschrift 2 Zchn"/>
    <w:rPr>
      <w:rFonts w:ascii="Cambria" w:eastAsia="Times New Roman" w:hAnsi="Cambria" w:cs="Times New Roman"/>
      <w:b/>
      <w:bCs/>
      <w:i/>
      <w:iCs/>
      <w:sz w:val="28"/>
      <w:szCs w:val="28"/>
    </w:rPr>
  </w:style>
  <w:style w:type="character" w:customStyle="1" w:styleId="Fett1">
    <w:name w:val="Fett1"/>
    <w:rPr>
      <w:b/>
      <w:bCs/>
    </w:rPr>
  </w:style>
  <w:style w:type="character" w:styleId="Hyperlink">
    <w:name w:val="Hyperlink"/>
    <w:rPr>
      <w:color w:val="000080"/>
      <w:u w:val="single"/>
    </w:rPr>
  </w:style>
  <w:style w:type="character" w:styleId="Hervorhebung">
    <w:name w:val="Emphasis"/>
    <w:qFormat/>
    <w:rPr>
      <w:i/>
      <w:iCs/>
    </w:rPr>
  </w:style>
  <w:style w:type="paragraph" w:customStyle="1" w:styleId="berschrift">
    <w:name w:val="Überschrift"/>
    <w:basedOn w:val="Standard"/>
    <w:next w:val="Textkrper"/>
    <w:pPr>
      <w:keepNext/>
      <w:spacing w:before="240" w:after="120"/>
    </w:pPr>
    <w:rPr>
      <w:rFonts w:ascii="Arial" w:eastAsia="Andale Sans UI" w:hAnsi="Arial" w:cs="Wingdings"/>
      <w:sz w:val="26"/>
      <w:szCs w:val="28"/>
    </w:rPr>
  </w:style>
  <w:style w:type="paragraph" w:styleId="Textkrper">
    <w:name w:val="Body Text"/>
    <w:basedOn w:val="Standard"/>
    <w:rPr>
      <w:rFonts w:ascii="Arial" w:hAnsi="Arial" w:cs="Arial"/>
      <w:color w:val="0000FF"/>
    </w:rPr>
  </w:style>
  <w:style w:type="paragraph" w:styleId="Liste">
    <w:name w:val="List"/>
    <w:basedOn w:val="Textkrper"/>
    <w:rPr>
      <w:rFonts w:cs="Wingdings"/>
    </w:rPr>
  </w:style>
  <w:style w:type="paragraph" w:customStyle="1" w:styleId="Beschriftung1">
    <w:name w:val="Beschriftung1"/>
    <w:basedOn w:val="Standard"/>
    <w:pPr>
      <w:suppressLineNumbers/>
      <w:spacing w:before="120" w:after="120"/>
    </w:pPr>
    <w:rPr>
      <w:rFonts w:ascii="Arial" w:hAnsi="Arial" w:cs="Wingdings"/>
      <w:i/>
      <w:iCs/>
      <w:sz w:val="22"/>
    </w:rPr>
  </w:style>
  <w:style w:type="paragraph" w:customStyle="1" w:styleId="Verzeichnis">
    <w:name w:val="Verzeichnis"/>
    <w:basedOn w:val="Standard"/>
    <w:pPr>
      <w:suppressLineNumbers/>
    </w:pPr>
    <w:rPr>
      <w:rFonts w:ascii="Arial" w:hAnsi="Arial" w:cs="Wingdings"/>
    </w:rPr>
  </w:style>
  <w:style w:type="paragraph" w:styleId="StandardWeb">
    <w:name w:val="Normal (Web)"/>
    <w:basedOn w:val="Standard"/>
    <w:pPr>
      <w:spacing w:before="100" w:after="100"/>
    </w:pPr>
  </w:style>
  <w:style w:type="paragraph" w:customStyle="1" w:styleId="nav-start">
    <w:name w:val="nav-start"/>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Wingdings"/>
      <w:sz w:val="16"/>
      <w:szCs w:val="16"/>
    </w:rPr>
  </w:style>
  <w:style w:type="paragraph" w:styleId="Kommentarthema">
    <w:name w:val="annotation subject"/>
    <w:basedOn w:val="Kommentartext1"/>
    <w:next w:val="Kommentartext1"/>
    <w:rPr>
      <w:b/>
      <w:bCs/>
      <w:szCs w:val="20"/>
    </w:rPr>
  </w:style>
  <w:style w:type="character" w:styleId="Kommentarzeichen">
    <w:name w:val="annotation reference"/>
    <w:uiPriority w:val="99"/>
    <w:semiHidden/>
    <w:unhideWhenUsed/>
    <w:rsid w:val="00751336"/>
    <w:rPr>
      <w:sz w:val="16"/>
      <w:szCs w:val="16"/>
    </w:rPr>
  </w:style>
  <w:style w:type="paragraph" w:styleId="Kommentartext">
    <w:name w:val="annotation text"/>
    <w:basedOn w:val="Standard"/>
    <w:link w:val="KommentartextZchn1"/>
    <w:uiPriority w:val="99"/>
    <w:semiHidden/>
    <w:unhideWhenUsed/>
    <w:rsid w:val="00751336"/>
    <w:rPr>
      <w:sz w:val="20"/>
      <w:szCs w:val="20"/>
    </w:rPr>
  </w:style>
  <w:style w:type="character" w:customStyle="1" w:styleId="KommentartextZchn1">
    <w:name w:val="Kommentartext Zchn1"/>
    <w:link w:val="Kommentartext"/>
    <w:uiPriority w:val="99"/>
    <w:semiHidden/>
    <w:rsid w:val="00751336"/>
    <w:rPr>
      <w:lang w:eastAsia="ar-SA"/>
    </w:rPr>
  </w:style>
  <w:style w:type="character" w:styleId="BesuchterHyperlink">
    <w:name w:val="FollowedHyperlink"/>
    <w:basedOn w:val="Absatz-Standardschriftart"/>
    <w:uiPriority w:val="99"/>
    <w:semiHidden/>
    <w:unhideWhenUsed/>
    <w:rsid w:val="00535DCF"/>
    <w:rPr>
      <w:color w:val="954F72" w:themeColor="followedHyperlink"/>
      <w:u w:val="single"/>
    </w:rPr>
  </w:style>
  <w:style w:type="character" w:customStyle="1" w:styleId="body">
    <w:name w:val="body"/>
    <w:basedOn w:val="Absatz-Standardschriftart"/>
    <w:rsid w:val="004E008B"/>
  </w:style>
  <w:style w:type="paragraph" w:customStyle="1" w:styleId="Default">
    <w:name w:val="Default"/>
    <w:rsid w:val="007F4A9E"/>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9206">
      <w:bodyDiv w:val="1"/>
      <w:marLeft w:val="0"/>
      <w:marRight w:val="0"/>
      <w:marTop w:val="0"/>
      <w:marBottom w:val="0"/>
      <w:divBdr>
        <w:top w:val="none" w:sz="0" w:space="0" w:color="auto"/>
        <w:left w:val="none" w:sz="0" w:space="0" w:color="auto"/>
        <w:bottom w:val="none" w:sz="0" w:space="0" w:color="auto"/>
        <w:right w:val="none" w:sz="0" w:space="0" w:color="auto"/>
      </w:divBdr>
      <w:divsChild>
        <w:div w:id="2084714426">
          <w:marLeft w:val="0"/>
          <w:marRight w:val="0"/>
          <w:marTop w:val="0"/>
          <w:marBottom w:val="0"/>
          <w:divBdr>
            <w:top w:val="none" w:sz="0" w:space="0" w:color="auto"/>
            <w:left w:val="none" w:sz="0" w:space="0" w:color="auto"/>
            <w:bottom w:val="none" w:sz="0" w:space="0" w:color="auto"/>
            <w:right w:val="none" w:sz="0" w:space="0" w:color="auto"/>
          </w:divBdr>
        </w:div>
        <w:div w:id="52050852">
          <w:marLeft w:val="0"/>
          <w:marRight w:val="0"/>
          <w:marTop w:val="0"/>
          <w:marBottom w:val="0"/>
          <w:divBdr>
            <w:top w:val="none" w:sz="0" w:space="0" w:color="auto"/>
            <w:left w:val="none" w:sz="0" w:space="0" w:color="auto"/>
            <w:bottom w:val="none" w:sz="0" w:space="0" w:color="auto"/>
            <w:right w:val="none" w:sz="0" w:space="0" w:color="auto"/>
          </w:divBdr>
        </w:div>
      </w:divsChild>
    </w:div>
    <w:div w:id="412093250">
      <w:bodyDiv w:val="1"/>
      <w:marLeft w:val="0"/>
      <w:marRight w:val="0"/>
      <w:marTop w:val="0"/>
      <w:marBottom w:val="0"/>
      <w:divBdr>
        <w:top w:val="none" w:sz="0" w:space="0" w:color="auto"/>
        <w:left w:val="none" w:sz="0" w:space="0" w:color="auto"/>
        <w:bottom w:val="none" w:sz="0" w:space="0" w:color="auto"/>
        <w:right w:val="none" w:sz="0" w:space="0" w:color="auto"/>
      </w:divBdr>
    </w:div>
    <w:div w:id="428236263">
      <w:bodyDiv w:val="1"/>
      <w:marLeft w:val="0"/>
      <w:marRight w:val="0"/>
      <w:marTop w:val="0"/>
      <w:marBottom w:val="0"/>
      <w:divBdr>
        <w:top w:val="none" w:sz="0" w:space="0" w:color="auto"/>
        <w:left w:val="none" w:sz="0" w:space="0" w:color="auto"/>
        <w:bottom w:val="none" w:sz="0" w:space="0" w:color="auto"/>
        <w:right w:val="none" w:sz="0" w:space="0" w:color="auto"/>
      </w:divBdr>
      <w:divsChild>
        <w:div w:id="356320934">
          <w:marLeft w:val="0"/>
          <w:marRight w:val="0"/>
          <w:marTop w:val="0"/>
          <w:marBottom w:val="0"/>
          <w:divBdr>
            <w:top w:val="none" w:sz="0" w:space="0" w:color="auto"/>
            <w:left w:val="none" w:sz="0" w:space="0" w:color="auto"/>
            <w:bottom w:val="none" w:sz="0" w:space="0" w:color="auto"/>
            <w:right w:val="none" w:sz="0" w:space="0" w:color="auto"/>
          </w:divBdr>
          <w:divsChild>
            <w:div w:id="7125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0198">
      <w:bodyDiv w:val="1"/>
      <w:marLeft w:val="0"/>
      <w:marRight w:val="0"/>
      <w:marTop w:val="0"/>
      <w:marBottom w:val="0"/>
      <w:divBdr>
        <w:top w:val="none" w:sz="0" w:space="0" w:color="auto"/>
        <w:left w:val="none" w:sz="0" w:space="0" w:color="auto"/>
        <w:bottom w:val="none" w:sz="0" w:space="0" w:color="auto"/>
        <w:right w:val="none" w:sz="0" w:space="0" w:color="auto"/>
      </w:divBdr>
      <w:divsChild>
        <w:div w:id="3437550">
          <w:marLeft w:val="0"/>
          <w:marRight w:val="0"/>
          <w:marTop w:val="0"/>
          <w:marBottom w:val="0"/>
          <w:divBdr>
            <w:top w:val="none" w:sz="0" w:space="0" w:color="auto"/>
            <w:left w:val="none" w:sz="0" w:space="0" w:color="auto"/>
            <w:bottom w:val="none" w:sz="0" w:space="0" w:color="auto"/>
            <w:right w:val="none" w:sz="0" w:space="0" w:color="auto"/>
          </w:divBdr>
          <w:divsChild>
            <w:div w:id="1502156462">
              <w:marLeft w:val="0"/>
              <w:marRight w:val="0"/>
              <w:marTop w:val="0"/>
              <w:marBottom w:val="0"/>
              <w:divBdr>
                <w:top w:val="none" w:sz="0" w:space="0" w:color="auto"/>
                <w:left w:val="none" w:sz="0" w:space="0" w:color="auto"/>
                <w:bottom w:val="none" w:sz="0" w:space="0" w:color="auto"/>
                <w:right w:val="none" w:sz="0" w:space="0" w:color="auto"/>
              </w:divBdr>
            </w:div>
            <w:div w:id="506677102">
              <w:marLeft w:val="0"/>
              <w:marRight w:val="0"/>
              <w:marTop w:val="0"/>
              <w:marBottom w:val="0"/>
              <w:divBdr>
                <w:top w:val="none" w:sz="0" w:space="0" w:color="auto"/>
                <w:left w:val="none" w:sz="0" w:space="0" w:color="auto"/>
                <w:bottom w:val="none" w:sz="0" w:space="0" w:color="auto"/>
                <w:right w:val="none" w:sz="0" w:space="0" w:color="auto"/>
              </w:divBdr>
            </w:div>
            <w:div w:id="1836069227">
              <w:marLeft w:val="0"/>
              <w:marRight w:val="0"/>
              <w:marTop w:val="0"/>
              <w:marBottom w:val="0"/>
              <w:divBdr>
                <w:top w:val="none" w:sz="0" w:space="0" w:color="auto"/>
                <w:left w:val="none" w:sz="0" w:space="0" w:color="auto"/>
                <w:bottom w:val="none" w:sz="0" w:space="0" w:color="auto"/>
                <w:right w:val="none" w:sz="0" w:space="0" w:color="auto"/>
              </w:divBdr>
            </w:div>
            <w:div w:id="1946882835">
              <w:marLeft w:val="0"/>
              <w:marRight w:val="0"/>
              <w:marTop w:val="0"/>
              <w:marBottom w:val="0"/>
              <w:divBdr>
                <w:top w:val="none" w:sz="0" w:space="0" w:color="auto"/>
                <w:left w:val="none" w:sz="0" w:space="0" w:color="auto"/>
                <w:bottom w:val="none" w:sz="0" w:space="0" w:color="auto"/>
                <w:right w:val="none" w:sz="0" w:space="0" w:color="auto"/>
              </w:divBdr>
            </w:div>
            <w:div w:id="1186016260">
              <w:marLeft w:val="0"/>
              <w:marRight w:val="0"/>
              <w:marTop w:val="0"/>
              <w:marBottom w:val="0"/>
              <w:divBdr>
                <w:top w:val="none" w:sz="0" w:space="0" w:color="auto"/>
                <w:left w:val="none" w:sz="0" w:space="0" w:color="auto"/>
                <w:bottom w:val="none" w:sz="0" w:space="0" w:color="auto"/>
                <w:right w:val="none" w:sz="0" w:space="0" w:color="auto"/>
              </w:divBdr>
            </w:div>
            <w:div w:id="531193152">
              <w:marLeft w:val="0"/>
              <w:marRight w:val="0"/>
              <w:marTop w:val="0"/>
              <w:marBottom w:val="0"/>
              <w:divBdr>
                <w:top w:val="none" w:sz="0" w:space="0" w:color="auto"/>
                <w:left w:val="none" w:sz="0" w:space="0" w:color="auto"/>
                <w:bottom w:val="none" w:sz="0" w:space="0" w:color="auto"/>
                <w:right w:val="none" w:sz="0" w:space="0" w:color="auto"/>
              </w:divBdr>
            </w:div>
            <w:div w:id="168179443">
              <w:marLeft w:val="0"/>
              <w:marRight w:val="0"/>
              <w:marTop w:val="0"/>
              <w:marBottom w:val="0"/>
              <w:divBdr>
                <w:top w:val="none" w:sz="0" w:space="0" w:color="auto"/>
                <w:left w:val="none" w:sz="0" w:space="0" w:color="auto"/>
                <w:bottom w:val="none" w:sz="0" w:space="0" w:color="auto"/>
                <w:right w:val="none" w:sz="0" w:space="0" w:color="auto"/>
              </w:divBdr>
            </w:div>
            <w:div w:id="238366786">
              <w:marLeft w:val="0"/>
              <w:marRight w:val="0"/>
              <w:marTop w:val="0"/>
              <w:marBottom w:val="0"/>
              <w:divBdr>
                <w:top w:val="none" w:sz="0" w:space="0" w:color="auto"/>
                <w:left w:val="none" w:sz="0" w:space="0" w:color="auto"/>
                <w:bottom w:val="none" w:sz="0" w:space="0" w:color="auto"/>
                <w:right w:val="none" w:sz="0" w:space="0" w:color="auto"/>
              </w:divBdr>
            </w:div>
            <w:div w:id="1986082831">
              <w:marLeft w:val="0"/>
              <w:marRight w:val="0"/>
              <w:marTop w:val="0"/>
              <w:marBottom w:val="0"/>
              <w:divBdr>
                <w:top w:val="none" w:sz="0" w:space="0" w:color="auto"/>
                <w:left w:val="none" w:sz="0" w:space="0" w:color="auto"/>
                <w:bottom w:val="none" w:sz="0" w:space="0" w:color="auto"/>
                <w:right w:val="none" w:sz="0" w:space="0" w:color="auto"/>
              </w:divBdr>
            </w:div>
            <w:div w:id="1085685463">
              <w:marLeft w:val="0"/>
              <w:marRight w:val="0"/>
              <w:marTop w:val="0"/>
              <w:marBottom w:val="0"/>
              <w:divBdr>
                <w:top w:val="none" w:sz="0" w:space="0" w:color="auto"/>
                <w:left w:val="none" w:sz="0" w:space="0" w:color="auto"/>
                <w:bottom w:val="none" w:sz="0" w:space="0" w:color="auto"/>
                <w:right w:val="none" w:sz="0" w:space="0" w:color="auto"/>
              </w:divBdr>
            </w:div>
            <w:div w:id="1564563225">
              <w:marLeft w:val="0"/>
              <w:marRight w:val="0"/>
              <w:marTop w:val="0"/>
              <w:marBottom w:val="0"/>
              <w:divBdr>
                <w:top w:val="none" w:sz="0" w:space="0" w:color="auto"/>
                <w:left w:val="none" w:sz="0" w:space="0" w:color="auto"/>
                <w:bottom w:val="none" w:sz="0" w:space="0" w:color="auto"/>
                <w:right w:val="none" w:sz="0" w:space="0" w:color="auto"/>
              </w:divBdr>
            </w:div>
            <w:div w:id="68502783">
              <w:marLeft w:val="0"/>
              <w:marRight w:val="0"/>
              <w:marTop w:val="0"/>
              <w:marBottom w:val="0"/>
              <w:divBdr>
                <w:top w:val="none" w:sz="0" w:space="0" w:color="auto"/>
                <w:left w:val="none" w:sz="0" w:space="0" w:color="auto"/>
                <w:bottom w:val="none" w:sz="0" w:space="0" w:color="auto"/>
                <w:right w:val="none" w:sz="0" w:space="0" w:color="auto"/>
              </w:divBdr>
            </w:div>
            <w:div w:id="92015424">
              <w:marLeft w:val="0"/>
              <w:marRight w:val="0"/>
              <w:marTop w:val="0"/>
              <w:marBottom w:val="0"/>
              <w:divBdr>
                <w:top w:val="none" w:sz="0" w:space="0" w:color="auto"/>
                <w:left w:val="none" w:sz="0" w:space="0" w:color="auto"/>
                <w:bottom w:val="none" w:sz="0" w:space="0" w:color="auto"/>
                <w:right w:val="none" w:sz="0" w:space="0" w:color="auto"/>
              </w:divBdr>
            </w:div>
            <w:div w:id="285166360">
              <w:marLeft w:val="0"/>
              <w:marRight w:val="0"/>
              <w:marTop w:val="0"/>
              <w:marBottom w:val="0"/>
              <w:divBdr>
                <w:top w:val="none" w:sz="0" w:space="0" w:color="auto"/>
                <w:left w:val="none" w:sz="0" w:space="0" w:color="auto"/>
                <w:bottom w:val="none" w:sz="0" w:space="0" w:color="auto"/>
                <w:right w:val="none" w:sz="0" w:space="0" w:color="auto"/>
              </w:divBdr>
            </w:div>
            <w:div w:id="1752504249">
              <w:marLeft w:val="0"/>
              <w:marRight w:val="0"/>
              <w:marTop w:val="0"/>
              <w:marBottom w:val="0"/>
              <w:divBdr>
                <w:top w:val="none" w:sz="0" w:space="0" w:color="auto"/>
                <w:left w:val="none" w:sz="0" w:space="0" w:color="auto"/>
                <w:bottom w:val="none" w:sz="0" w:space="0" w:color="auto"/>
                <w:right w:val="none" w:sz="0" w:space="0" w:color="auto"/>
              </w:divBdr>
            </w:div>
            <w:div w:id="794954211">
              <w:marLeft w:val="0"/>
              <w:marRight w:val="0"/>
              <w:marTop w:val="0"/>
              <w:marBottom w:val="0"/>
              <w:divBdr>
                <w:top w:val="none" w:sz="0" w:space="0" w:color="auto"/>
                <w:left w:val="none" w:sz="0" w:space="0" w:color="auto"/>
                <w:bottom w:val="none" w:sz="0" w:space="0" w:color="auto"/>
                <w:right w:val="none" w:sz="0" w:space="0" w:color="auto"/>
              </w:divBdr>
            </w:div>
            <w:div w:id="1616129674">
              <w:marLeft w:val="0"/>
              <w:marRight w:val="0"/>
              <w:marTop w:val="0"/>
              <w:marBottom w:val="0"/>
              <w:divBdr>
                <w:top w:val="none" w:sz="0" w:space="0" w:color="auto"/>
                <w:left w:val="none" w:sz="0" w:space="0" w:color="auto"/>
                <w:bottom w:val="none" w:sz="0" w:space="0" w:color="auto"/>
                <w:right w:val="none" w:sz="0" w:space="0" w:color="auto"/>
              </w:divBdr>
            </w:div>
            <w:div w:id="2022001359">
              <w:marLeft w:val="0"/>
              <w:marRight w:val="0"/>
              <w:marTop w:val="0"/>
              <w:marBottom w:val="0"/>
              <w:divBdr>
                <w:top w:val="none" w:sz="0" w:space="0" w:color="auto"/>
                <w:left w:val="none" w:sz="0" w:space="0" w:color="auto"/>
                <w:bottom w:val="none" w:sz="0" w:space="0" w:color="auto"/>
                <w:right w:val="none" w:sz="0" w:space="0" w:color="auto"/>
              </w:divBdr>
            </w:div>
            <w:div w:id="2284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1955">
      <w:bodyDiv w:val="1"/>
      <w:marLeft w:val="0"/>
      <w:marRight w:val="0"/>
      <w:marTop w:val="0"/>
      <w:marBottom w:val="0"/>
      <w:divBdr>
        <w:top w:val="none" w:sz="0" w:space="0" w:color="auto"/>
        <w:left w:val="none" w:sz="0" w:space="0" w:color="auto"/>
        <w:bottom w:val="none" w:sz="0" w:space="0" w:color="auto"/>
        <w:right w:val="none" w:sz="0" w:space="0" w:color="auto"/>
      </w:divBdr>
      <w:divsChild>
        <w:div w:id="2091417414">
          <w:marLeft w:val="0"/>
          <w:marRight w:val="0"/>
          <w:marTop w:val="0"/>
          <w:marBottom w:val="0"/>
          <w:divBdr>
            <w:top w:val="none" w:sz="0" w:space="0" w:color="auto"/>
            <w:left w:val="none" w:sz="0" w:space="0" w:color="auto"/>
            <w:bottom w:val="none" w:sz="0" w:space="0" w:color="auto"/>
            <w:right w:val="none" w:sz="0" w:space="0" w:color="auto"/>
          </w:divBdr>
        </w:div>
        <w:div w:id="1006060278">
          <w:marLeft w:val="0"/>
          <w:marRight w:val="0"/>
          <w:marTop w:val="0"/>
          <w:marBottom w:val="0"/>
          <w:divBdr>
            <w:top w:val="none" w:sz="0" w:space="0" w:color="auto"/>
            <w:left w:val="none" w:sz="0" w:space="0" w:color="auto"/>
            <w:bottom w:val="none" w:sz="0" w:space="0" w:color="auto"/>
            <w:right w:val="none" w:sz="0" w:space="0" w:color="auto"/>
          </w:divBdr>
        </w:div>
        <w:div w:id="2046439427">
          <w:marLeft w:val="0"/>
          <w:marRight w:val="0"/>
          <w:marTop w:val="0"/>
          <w:marBottom w:val="0"/>
          <w:divBdr>
            <w:top w:val="none" w:sz="0" w:space="0" w:color="auto"/>
            <w:left w:val="none" w:sz="0" w:space="0" w:color="auto"/>
            <w:bottom w:val="none" w:sz="0" w:space="0" w:color="auto"/>
            <w:right w:val="none" w:sz="0" w:space="0" w:color="auto"/>
          </w:divBdr>
        </w:div>
        <w:div w:id="24139047">
          <w:marLeft w:val="0"/>
          <w:marRight w:val="0"/>
          <w:marTop w:val="0"/>
          <w:marBottom w:val="0"/>
          <w:divBdr>
            <w:top w:val="none" w:sz="0" w:space="0" w:color="auto"/>
            <w:left w:val="none" w:sz="0" w:space="0" w:color="auto"/>
            <w:bottom w:val="none" w:sz="0" w:space="0" w:color="auto"/>
            <w:right w:val="none" w:sz="0" w:space="0" w:color="auto"/>
          </w:divBdr>
        </w:div>
        <w:div w:id="1222642667">
          <w:marLeft w:val="0"/>
          <w:marRight w:val="0"/>
          <w:marTop w:val="0"/>
          <w:marBottom w:val="0"/>
          <w:divBdr>
            <w:top w:val="none" w:sz="0" w:space="0" w:color="auto"/>
            <w:left w:val="none" w:sz="0" w:space="0" w:color="auto"/>
            <w:bottom w:val="none" w:sz="0" w:space="0" w:color="auto"/>
            <w:right w:val="none" w:sz="0" w:space="0" w:color="auto"/>
          </w:divBdr>
        </w:div>
        <w:div w:id="1334723571">
          <w:marLeft w:val="0"/>
          <w:marRight w:val="0"/>
          <w:marTop w:val="0"/>
          <w:marBottom w:val="0"/>
          <w:divBdr>
            <w:top w:val="none" w:sz="0" w:space="0" w:color="auto"/>
            <w:left w:val="none" w:sz="0" w:space="0" w:color="auto"/>
            <w:bottom w:val="none" w:sz="0" w:space="0" w:color="auto"/>
            <w:right w:val="none" w:sz="0" w:space="0" w:color="auto"/>
          </w:divBdr>
        </w:div>
        <w:div w:id="1664746110">
          <w:marLeft w:val="0"/>
          <w:marRight w:val="0"/>
          <w:marTop w:val="0"/>
          <w:marBottom w:val="0"/>
          <w:divBdr>
            <w:top w:val="none" w:sz="0" w:space="0" w:color="auto"/>
            <w:left w:val="none" w:sz="0" w:space="0" w:color="auto"/>
            <w:bottom w:val="none" w:sz="0" w:space="0" w:color="auto"/>
            <w:right w:val="none" w:sz="0" w:space="0" w:color="auto"/>
          </w:divBdr>
        </w:div>
        <w:div w:id="294918885">
          <w:marLeft w:val="0"/>
          <w:marRight w:val="0"/>
          <w:marTop w:val="0"/>
          <w:marBottom w:val="0"/>
          <w:divBdr>
            <w:top w:val="none" w:sz="0" w:space="0" w:color="auto"/>
            <w:left w:val="none" w:sz="0" w:space="0" w:color="auto"/>
            <w:bottom w:val="none" w:sz="0" w:space="0" w:color="auto"/>
            <w:right w:val="none" w:sz="0" w:space="0" w:color="auto"/>
          </w:divBdr>
        </w:div>
        <w:div w:id="1217544709">
          <w:marLeft w:val="0"/>
          <w:marRight w:val="0"/>
          <w:marTop w:val="0"/>
          <w:marBottom w:val="0"/>
          <w:divBdr>
            <w:top w:val="none" w:sz="0" w:space="0" w:color="auto"/>
            <w:left w:val="none" w:sz="0" w:space="0" w:color="auto"/>
            <w:bottom w:val="none" w:sz="0" w:space="0" w:color="auto"/>
            <w:right w:val="none" w:sz="0" w:space="0" w:color="auto"/>
          </w:divBdr>
        </w:div>
        <w:div w:id="1158882922">
          <w:marLeft w:val="0"/>
          <w:marRight w:val="0"/>
          <w:marTop w:val="0"/>
          <w:marBottom w:val="0"/>
          <w:divBdr>
            <w:top w:val="none" w:sz="0" w:space="0" w:color="auto"/>
            <w:left w:val="none" w:sz="0" w:space="0" w:color="auto"/>
            <w:bottom w:val="none" w:sz="0" w:space="0" w:color="auto"/>
            <w:right w:val="none" w:sz="0" w:space="0" w:color="auto"/>
          </w:divBdr>
        </w:div>
      </w:divsChild>
    </w:div>
    <w:div w:id="988091529">
      <w:bodyDiv w:val="1"/>
      <w:marLeft w:val="0"/>
      <w:marRight w:val="0"/>
      <w:marTop w:val="0"/>
      <w:marBottom w:val="0"/>
      <w:divBdr>
        <w:top w:val="none" w:sz="0" w:space="0" w:color="auto"/>
        <w:left w:val="none" w:sz="0" w:space="0" w:color="auto"/>
        <w:bottom w:val="none" w:sz="0" w:space="0" w:color="auto"/>
        <w:right w:val="none" w:sz="0" w:space="0" w:color="auto"/>
      </w:divBdr>
      <w:divsChild>
        <w:div w:id="222445320">
          <w:marLeft w:val="0"/>
          <w:marRight w:val="0"/>
          <w:marTop w:val="0"/>
          <w:marBottom w:val="0"/>
          <w:divBdr>
            <w:top w:val="none" w:sz="0" w:space="0" w:color="auto"/>
            <w:left w:val="none" w:sz="0" w:space="0" w:color="auto"/>
            <w:bottom w:val="none" w:sz="0" w:space="0" w:color="auto"/>
            <w:right w:val="none" w:sz="0" w:space="0" w:color="auto"/>
          </w:divBdr>
          <w:divsChild>
            <w:div w:id="1034303319">
              <w:marLeft w:val="0"/>
              <w:marRight w:val="0"/>
              <w:marTop w:val="0"/>
              <w:marBottom w:val="0"/>
              <w:divBdr>
                <w:top w:val="none" w:sz="0" w:space="0" w:color="auto"/>
                <w:left w:val="none" w:sz="0" w:space="0" w:color="auto"/>
                <w:bottom w:val="none" w:sz="0" w:space="0" w:color="auto"/>
                <w:right w:val="none" w:sz="0" w:space="0" w:color="auto"/>
              </w:divBdr>
            </w:div>
            <w:div w:id="470949256">
              <w:marLeft w:val="0"/>
              <w:marRight w:val="0"/>
              <w:marTop w:val="0"/>
              <w:marBottom w:val="0"/>
              <w:divBdr>
                <w:top w:val="none" w:sz="0" w:space="0" w:color="auto"/>
                <w:left w:val="none" w:sz="0" w:space="0" w:color="auto"/>
                <w:bottom w:val="none" w:sz="0" w:space="0" w:color="auto"/>
                <w:right w:val="none" w:sz="0" w:space="0" w:color="auto"/>
              </w:divBdr>
            </w:div>
            <w:div w:id="1971594523">
              <w:marLeft w:val="0"/>
              <w:marRight w:val="0"/>
              <w:marTop w:val="0"/>
              <w:marBottom w:val="0"/>
              <w:divBdr>
                <w:top w:val="none" w:sz="0" w:space="0" w:color="auto"/>
                <w:left w:val="none" w:sz="0" w:space="0" w:color="auto"/>
                <w:bottom w:val="none" w:sz="0" w:space="0" w:color="auto"/>
                <w:right w:val="none" w:sz="0" w:space="0" w:color="auto"/>
              </w:divBdr>
            </w:div>
            <w:div w:id="2126728172">
              <w:marLeft w:val="0"/>
              <w:marRight w:val="0"/>
              <w:marTop w:val="0"/>
              <w:marBottom w:val="0"/>
              <w:divBdr>
                <w:top w:val="none" w:sz="0" w:space="0" w:color="auto"/>
                <w:left w:val="none" w:sz="0" w:space="0" w:color="auto"/>
                <w:bottom w:val="none" w:sz="0" w:space="0" w:color="auto"/>
                <w:right w:val="none" w:sz="0" w:space="0" w:color="auto"/>
              </w:divBdr>
            </w:div>
            <w:div w:id="1181555047">
              <w:marLeft w:val="0"/>
              <w:marRight w:val="0"/>
              <w:marTop w:val="0"/>
              <w:marBottom w:val="0"/>
              <w:divBdr>
                <w:top w:val="none" w:sz="0" w:space="0" w:color="auto"/>
                <w:left w:val="none" w:sz="0" w:space="0" w:color="auto"/>
                <w:bottom w:val="none" w:sz="0" w:space="0" w:color="auto"/>
                <w:right w:val="none" w:sz="0" w:space="0" w:color="auto"/>
              </w:divBdr>
            </w:div>
            <w:div w:id="4887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1010">
      <w:bodyDiv w:val="1"/>
      <w:marLeft w:val="0"/>
      <w:marRight w:val="0"/>
      <w:marTop w:val="0"/>
      <w:marBottom w:val="0"/>
      <w:divBdr>
        <w:top w:val="none" w:sz="0" w:space="0" w:color="auto"/>
        <w:left w:val="none" w:sz="0" w:space="0" w:color="auto"/>
        <w:bottom w:val="none" w:sz="0" w:space="0" w:color="auto"/>
        <w:right w:val="none" w:sz="0" w:space="0" w:color="auto"/>
      </w:divBdr>
      <w:divsChild>
        <w:div w:id="1662079221">
          <w:marLeft w:val="0"/>
          <w:marRight w:val="0"/>
          <w:marTop w:val="0"/>
          <w:marBottom w:val="0"/>
          <w:divBdr>
            <w:top w:val="none" w:sz="0" w:space="0" w:color="auto"/>
            <w:left w:val="none" w:sz="0" w:space="0" w:color="auto"/>
            <w:bottom w:val="none" w:sz="0" w:space="0" w:color="auto"/>
            <w:right w:val="none" w:sz="0" w:space="0" w:color="auto"/>
          </w:divBdr>
        </w:div>
        <w:div w:id="1645356386">
          <w:marLeft w:val="0"/>
          <w:marRight w:val="0"/>
          <w:marTop w:val="0"/>
          <w:marBottom w:val="0"/>
          <w:divBdr>
            <w:top w:val="none" w:sz="0" w:space="0" w:color="auto"/>
            <w:left w:val="none" w:sz="0" w:space="0" w:color="auto"/>
            <w:bottom w:val="none" w:sz="0" w:space="0" w:color="auto"/>
            <w:right w:val="none" w:sz="0" w:space="0" w:color="auto"/>
          </w:divBdr>
        </w:div>
        <w:div w:id="1035352609">
          <w:marLeft w:val="0"/>
          <w:marRight w:val="0"/>
          <w:marTop w:val="0"/>
          <w:marBottom w:val="0"/>
          <w:divBdr>
            <w:top w:val="none" w:sz="0" w:space="0" w:color="auto"/>
            <w:left w:val="none" w:sz="0" w:space="0" w:color="auto"/>
            <w:bottom w:val="none" w:sz="0" w:space="0" w:color="auto"/>
            <w:right w:val="none" w:sz="0" w:space="0" w:color="auto"/>
          </w:divBdr>
        </w:div>
        <w:div w:id="347366459">
          <w:marLeft w:val="0"/>
          <w:marRight w:val="0"/>
          <w:marTop w:val="0"/>
          <w:marBottom w:val="0"/>
          <w:divBdr>
            <w:top w:val="none" w:sz="0" w:space="0" w:color="auto"/>
            <w:left w:val="none" w:sz="0" w:space="0" w:color="auto"/>
            <w:bottom w:val="none" w:sz="0" w:space="0" w:color="auto"/>
            <w:right w:val="none" w:sz="0" w:space="0" w:color="auto"/>
          </w:divBdr>
        </w:div>
        <w:div w:id="1627197387">
          <w:marLeft w:val="0"/>
          <w:marRight w:val="0"/>
          <w:marTop w:val="0"/>
          <w:marBottom w:val="0"/>
          <w:divBdr>
            <w:top w:val="none" w:sz="0" w:space="0" w:color="auto"/>
            <w:left w:val="none" w:sz="0" w:space="0" w:color="auto"/>
            <w:bottom w:val="none" w:sz="0" w:space="0" w:color="auto"/>
            <w:right w:val="none" w:sz="0" w:space="0" w:color="auto"/>
          </w:divBdr>
        </w:div>
        <w:div w:id="1517380065">
          <w:marLeft w:val="0"/>
          <w:marRight w:val="0"/>
          <w:marTop w:val="0"/>
          <w:marBottom w:val="0"/>
          <w:divBdr>
            <w:top w:val="none" w:sz="0" w:space="0" w:color="auto"/>
            <w:left w:val="none" w:sz="0" w:space="0" w:color="auto"/>
            <w:bottom w:val="none" w:sz="0" w:space="0" w:color="auto"/>
            <w:right w:val="none" w:sz="0" w:space="0" w:color="auto"/>
          </w:divBdr>
        </w:div>
        <w:div w:id="652681901">
          <w:marLeft w:val="0"/>
          <w:marRight w:val="0"/>
          <w:marTop w:val="0"/>
          <w:marBottom w:val="0"/>
          <w:divBdr>
            <w:top w:val="none" w:sz="0" w:space="0" w:color="auto"/>
            <w:left w:val="none" w:sz="0" w:space="0" w:color="auto"/>
            <w:bottom w:val="none" w:sz="0" w:space="0" w:color="auto"/>
            <w:right w:val="none" w:sz="0" w:space="0" w:color="auto"/>
          </w:divBdr>
        </w:div>
        <w:div w:id="1338072676">
          <w:marLeft w:val="0"/>
          <w:marRight w:val="0"/>
          <w:marTop w:val="0"/>
          <w:marBottom w:val="0"/>
          <w:divBdr>
            <w:top w:val="none" w:sz="0" w:space="0" w:color="auto"/>
            <w:left w:val="none" w:sz="0" w:space="0" w:color="auto"/>
            <w:bottom w:val="none" w:sz="0" w:space="0" w:color="auto"/>
            <w:right w:val="none" w:sz="0" w:space="0" w:color="auto"/>
          </w:divBdr>
        </w:div>
        <w:div w:id="937250907">
          <w:marLeft w:val="0"/>
          <w:marRight w:val="0"/>
          <w:marTop w:val="0"/>
          <w:marBottom w:val="0"/>
          <w:divBdr>
            <w:top w:val="none" w:sz="0" w:space="0" w:color="auto"/>
            <w:left w:val="none" w:sz="0" w:space="0" w:color="auto"/>
            <w:bottom w:val="none" w:sz="0" w:space="0" w:color="auto"/>
            <w:right w:val="none" w:sz="0" w:space="0" w:color="auto"/>
          </w:divBdr>
        </w:div>
        <w:div w:id="1202742812">
          <w:marLeft w:val="0"/>
          <w:marRight w:val="0"/>
          <w:marTop w:val="0"/>
          <w:marBottom w:val="0"/>
          <w:divBdr>
            <w:top w:val="none" w:sz="0" w:space="0" w:color="auto"/>
            <w:left w:val="none" w:sz="0" w:space="0" w:color="auto"/>
            <w:bottom w:val="none" w:sz="0" w:space="0" w:color="auto"/>
            <w:right w:val="none" w:sz="0" w:space="0" w:color="auto"/>
          </w:divBdr>
        </w:div>
      </w:divsChild>
    </w:div>
    <w:div w:id="1440680622">
      <w:bodyDiv w:val="1"/>
      <w:marLeft w:val="0"/>
      <w:marRight w:val="0"/>
      <w:marTop w:val="0"/>
      <w:marBottom w:val="0"/>
      <w:divBdr>
        <w:top w:val="none" w:sz="0" w:space="0" w:color="auto"/>
        <w:left w:val="none" w:sz="0" w:space="0" w:color="auto"/>
        <w:bottom w:val="none" w:sz="0" w:space="0" w:color="auto"/>
        <w:right w:val="none" w:sz="0" w:space="0" w:color="auto"/>
      </w:divBdr>
      <w:divsChild>
        <w:div w:id="1336298910">
          <w:marLeft w:val="0"/>
          <w:marRight w:val="0"/>
          <w:marTop w:val="0"/>
          <w:marBottom w:val="0"/>
          <w:divBdr>
            <w:top w:val="none" w:sz="0" w:space="0" w:color="auto"/>
            <w:left w:val="none" w:sz="0" w:space="0" w:color="auto"/>
            <w:bottom w:val="none" w:sz="0" w:space="0" w:color="auto"/>
            <w:right w:val="none" w:sz="0" w:space="0" w:color="auto"/>
          </w:divBdr>
        </w:div>
      </w:divsChild>
    </w:div>
    <w:div w:id="1778405808">
      <w:bodyDiv w:val="1"/>
      <w:marLeft w:val="0"/>
      <w:marRight w:val="0"/>
      <w:marTop w:val="0"/>
      <w:marBottom w:val="0"/>
      <w:divBdr>
        <w:top w:val="none" w:sz="0" w:space="0" w:color="auto"/>
        <w:left w:val="none" w:sz="0" w:space="0" w:color="auto"/>
        <w:bottom w:val="none" w:sz="0" w:space="0" w:color="auto"/>
        <w:right w:val="none" w:sz="0" w:space="0" w:color="auto"/>
      </w:divBdr>
      <w:divsChild>
        <w:div w:id="1135637177">
          <w:marLeft w:val="0"/>
          <w:marRight w:val="0"/>
          <w:marTop w:val="0"/>
          <w:marBottom w:val="0"/>
          <w:divBdr>
            <w:top w:val="none" w:sz="0" w:space="0" w:color="auto"/>
            <w:left w:val="none" w:sz="0" w:space="0" w:color="auto"/>
            <w:bottom w:val="none" w:sz="0" w:space="0" w:color="auto"/>
            <w:right w:val="none" w:sz="0" w:space="0" w:color="auto"/>
          </w:divBdr>
        </w:div>
        <w:div w:id="1489906076">
          <w:marLeft w:val="0"/>
          <w:marRight w:val="0"/>
          <w:marTop w:val="0"/>
          <w:marBottom w:val="0"/>
          <w:divBdr>
            <w:top w:val="none" w:sz="0" w:space="0" w:color="auto"/>
            <w:left w:val="none" w:sz="0" w:space="0" w:color="auto"/>
            <w:bottom w:val="none" w:sz="0" w:space="0" w:color="auto"/>
            <w:right w:val="none" w:sz="0" w:space="0" w:color="auto"/>
          </w:divBdr>
        </w:div>
      </w:divsChild>
    </w:div>
    <w:div w:id="1976134769">
      <w:bodyDiv w:val="1"/>
      <w:marLeft w:val="0"/>
      <w:marRight w:val="0"/>
      <w:marTop w:val="0"/>
      <w:marBottom w:val="0"/>
      <w:divBdr>
        <w:top w:val="none" w:sz="0" w:space="0" w:color="auto"/>
        <w:left w:val="none" w:sz="0" w:space="0" w:color="auto"/>
        <w:bottom w:val="none" w:sz="0" w:space="0" w:color="auto"/>
        <w:right w:val="none" w:sz="0" w:space="0" w:color="auto"/>
      </w:divBdr>
      <w:divsChild>
        <w:div w:id="1846285836">
          <w:marLeft w:val="0"/>
          <w:marRight w:val="0"/>
          <w:marTop w:val="0"/>
          <w:marBottom w:val="0"/>
          <w:divBdr>
            <w:top w:val="none" w:sz="0" w:space="0" w:color="auto"/>
            <w:left w:val="none" w:sz="0" w:space="0" w:color="auto"/>
            <w:bottom w:val="none" w:sz="0" w:space="0" w:color="auto"/>
            <w:right w:val="none" w:sz="0" w:space="0" w:color="auto"/>
          </w:divBdr>
        </w:div>
        <w:div w:id="1248273891">
          <w:marLeft w:val="0"/>
          <w:marRight w:val="0"/>
          <w:marTop w:val="0"/>
          <w:marBottom w:val="0"/>
          <w:divBdr>
            <w:top w:val="none" w:sz="0" w:space="0" w:color="auto"/>
            <w:left w:val="none" w:sz="0" w:space="0" w:color="auto"/>
            <w:bottom w:val="none" w:sz="0" w:space="0" w:color="auto"/>
            <w:right w:val="none" w:sz="0" w:space="0" w:color="auto"/>
          </w:divBdr>
        </w:div>
        <w:div w:id="2142113346">
          <w:marLeft w:val="0"/>
          <w:marRight w:val="0"/>
          <w:marTop w:val="0"/>
          <w:marBottom w:val="0"/>
          <w:divBdr>
            <w:top w:val="none" w:sz="0" w:space="0" w:color="auto"/>
            <w:left w:val="none" w:sz="0" w:space="0" w:color="auto"/>
            <w:bottom w:val="none" w:sz="0" w:space="0" w:color="auto"/>
            <w:right w:val="none" w:sz="0" w:space="0" w:color="auto"/>
          </w:divBdr>
        </w:div>
        <w:div w:id="132984910">
          <w:marLeft w:val="0"/>
          <w:marRight w:val="0"/>
          <w:marTop w:val="0"/>
          <w:marBottom w:val="0"/>
          <w:divBdr>
            <w:top w:val="none" w:sz="0" w:space="0" w:color="auto"/>
            <w:left w:val="none" w:sz="0" w:space="0" w:color="auto"/>
            <w:bottom w:val="none" w:sz="0" w:space="0" w:color="auto"/>
            <w:right w:val="none" w:sz="0" w:space="0" w:color="auto"/>
          </w:divBdr>
        </w:div>
        <w:div w:id="883176475">
          <w:marLeft w:val="0"/>
          <w:marRight w:val="0"/>
          <w:marTop w:val="0"/>
          <w:marBottom w:val="0"/>
          <w:divBdr>
            <w:top w:val="none" w:sz="0" w:space="0" w:color="auto"/>
            <w:left w:val="none" w:sz="0" w:space="0" w:color="auto"/>
            <w:bottom w:val="none" w:sz="0" w:space="0" w:color="auto"/>
            <w:right w:val="none" w:sz="0" w:space="0" w:color="auto"/>
          </w:divBdr>
        </w:div>
        <w:div w:id="279144820">
          <w:marLeft w:val="0"/>
          <w:marRight w:val="0"/>
          <w:marTop w:val="0"/>
          <w:marBottom w:val="0"/>
          <w:divBdr>
            <w:top w:val="none" w:sz="0" w:space="0" w:color="auto"/>
            <w:left w:val="none" w:sz="0" w:space="0" w:color="auto"/>
            <w:bottom w:val="none" w:sz="0" w:space="0" w:color="auto"/>
            <w:right w:val="none" w:sz="0" w:space="0" w:color="auto"/>
          </w:divBdr>
        </w:div>
        <w:div w:id="633174405">
          <w:marLeft w:val="0"/>
          <w:marRight w:val="0"/>
          <w:marTop w:val="0"/>
          <w:marBottom w:val="0"/>
          <w:divBdr>
            <w:top w:val="none" w:sz="0" w:space="0" w:color="auto"/>
            <w:left w:val="none" w:sz="0" w:space="0" w:color="auto"/>
            <w:bottom w:val="none" w:sz="0" w:space="0" w:color="auto"/>
            <w:right w:val="none" w:sz="0" w:space="0" w:color="auto"/>
          </w:divBdr>
        </w:div>
        <w:div w:id="2089767159">
          <w:marLeft w:val="0"/>
          <w:marRight w:val="0"/>
          <w:marTop w:val="0"/>
          <w:marBottom w:val="0"/>
          <w:divBdr>
            <w:top w:val="none" w:sz="0" w:space="0" w:color="auto"/>
            <w:left w:val="none" w:sz="0" w:space="0" w:color="auto"/>
            <w:bottom w:val="none" w:sz="0" w:space="0" w:color="auto"/>
            <w:right w:val="none" w:sz="0" w:space="0" w:color="auto"/>
          </w:divBdr>
        </w:div>
        <w:div w:id="1139493953">
          <w:marLeft w:val="0"/>
          <w:marRight w:val="0"/>
          <w:marTop w:val="0"/>
          <w:marBottom w:val="0"/>
          <w:divBdr>
            <w:top w:val="none" w:sz="0" w:space="0" w:color="auto"/>
            <w:left w:val="none" w:sz="0" w:space="0" w:color="auto"/>
            <w:bottom w:val="none" w:sz="0" w:space="0" w:color="auto"/>
            <w:right w:val="none" w:sz="0" w:space="0" w:color="auto"/>
          </w:divBdr>
        </w:div>
        <w:div w:id="2076319346">
          <w:marLeft w:val="0"/>
          <w:marRight w:val="0"/>
          <w:marTop w:val="0"/>
          <w:marBottom w:val="0"/>
          <w:divBdr>
            <w:top w:val="none" w:sz="0" w:space="0" w:color="auto"/>
            <w:left w:val="none" w:sz="0" w:space="0" w:color="auto"/>
            <w:bottom w:val="none" w:sz="0" w:space="0" w:color="auto"/>
            <w:right w:val="none" w:sz="0" w:space="0" w:color="auto"/>
          </w:divBdr>
        </w:div>
        <w:div w:id="48498550">
          <w:marLeft w:val="0"/>
          <w:marRight w:val="0"/>
          <w:marTop w:val="0"/>
          <w:marBottom w:val="0"/>
          <w:divBdr>
            <w:top w:val="none" w:sz="0" w:space="0" w:color="auto"/>
            <w:left w:val="none" w:sz="0" w:space="0" w:color="auto"/>
            <w:bottom w:val="none" w:sz="0" w:space="0" w:color="auto"/>
            <w:right w:val="none" w:sz="0" w:space="0" w:color="auto"/>
          </w:divBdr>
        </w:div>
        <w:div w:id="931864665">
          <w:marLeft w:val="0"/>
          <w:marRight w:val="0"/>
          <w:marTop w:val="0"/>
          <w:marBottom w:val="0"/>
          <w:divBdr>
            <w:top w:val="none" w:sz="0" w:space="0" w:color="auto"/>
            <w:left w:val="none" w:sz="0" w:space="0" w:color="auto"/>
            <w:bottom w:val="none" w:sz="0" w:space="0" w:color="auto"/>
            <w:right w:val="none" w:sz="0" w:space="0" w:color="auto"/>
          </w:divBdr>
        </w:div>
        <w:div w:id="2128163027">
          <w:marLeft w:val="0"/>
          <w:marRight w:val="0"/>
          <w:marTop w:val="0"/>
          <w:marBottom w:val="0"/>
          <w:divBdr>
            <w:top w:val="none" w:sz="0" w:space="0" w:color="auto"/>
            <w:left w:val="none" w:sz="0" w:space="0" w:color="auto"/>
            <w:bottom w:val="none" w:sz="0" w:space="0" w:color="auto"/>
            <w:right w:val="none" w:sz="0" w:space="0" w:color="auto"/>
          </w:divBdr>
        </w:div>
        <w:div w:id="837311794">
          <w:marLeft w:val="0"/>
          <w:marRight w:val="0"/>
          <w:marTop w:val="0"/>
          <w:marBottom w:val="0"/>
          <w:divBdr>
            <w:top w:val="none" w:sz="0" w:space="0" w:color="auto"/>
            <w:left w:val="none" w:sz="0" w:space="0" w:color="auto"/>
            <w:bottom w:val="none" w:sz="0" w:space="0" w:color="auto"/>
            <w:right w:val="none" w:sz="0" w:space="0" w:color="auto"/>
          </w:divBdr>
        </w:div>
        <w:div w:id="2017268116">
          <w:marLeft w:val="0"/>
          <w:marRight w:val="0"/>
          <w:marTop w:val="0"/>
          <w:marBottom w:val="0"/>
          <w:divBdr>
            <w:top w:val="none" w:sz="0" w:space="0" w:color="auto"/>
            <w:left w:val="none" w:sz="0" w:space="0" w:color="auto"/>
            <w:bottom w:val="none" w:sz="0" w:space="0" w:color="auto"/>
            <w:right w:val="none" w:sz="0" w:space="0" w:color="auto"/>
          </w:divBdr>
        </w:div>
        <w:div w:id="1542399062">
          <w:marLeft w:val="0"/>
          <w:marRight w:val="0"/>
          <w:marTop w:val="0"/>
          <w:marBottom w:val="0"/>
          <w:divBdr>
            <w:top w:val="none" w:sz="0" w:space="0" w:color="auto"/>
            <w:left w:val="none" w:sz="0" w:space="0" w:color="auto"/>
            <w:bottom w:val="none" w:sz="0" w:space="0" w:color="auto"/>
            <w:right w:val="none" w:sz="0" w:space="0" w:color="auto"/>
          </w:divBdr>
        </w:div>
        <w:div w:id="43071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politik/hintergrund-aktuell/150698/un-machen-palaestina-zum-beobachterstaa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de.wikipedia.org/wiki/Timbukt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E971-9305-4F0E-A81F-2287AF8A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9699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http://www</vt:lpstr>
    </vt:vector>
  </TitlesOfParts>
  <Company>BPB</Company>
  <LinksUpToDate>false</LinksUpToDate>
  <CharactersWithSpaces>11216</CharactersWithSpaces>
  <SharedDoc>false</SharedDoc>
  <HLinks>
    <vt:vector size="6" baseType="variant">
      <vt:variant>
        <vt:i4>4456497</vt:i4>
      </vt:variant>
      <vt:variant>
        <vt:i4>0</vt:i4>
      </vt:variant>
      <vt:variant>
        <vt:i4>0</vt:i4>
      </vt:variant>
      <vt:variant>
        <vt:i4>5</vt:i4>
      </vt:variant>
      <vt:variant>
        <vt:lpwstr>https://treaties.un.org/Pages/ViewDetails.aspx?src=TREATY&amp;mtdsg_no=XVIII-10&amp;chapter=18&amp;lang=en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3</cp:revision>
  <cp:lastPrinted>2112-12-31T22:00:00Z</cp:lastPrinted>
  <dcterms:created xsi:type="dcterms:W3CDTF">2017-09-19T08:43:00Z</dcterms:created>
  <dcterms:modified xsi:type="dcterms:W3CDTF">2017-09-19T09:12:00Z</dcterms:modified>
</cp:coreProperties>
</file>