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4FA" w:rsidRPr="00670B9F" w:rsidRDefault="00511DC5" w:rsidP="00FF64FA">
      <w:pPr>
        <w:rPr>
          <w:rFonts w:ascii="Arial" w:hAnsi="Arial" w:cs="Arial"/>
          <w:b/>
          <w:shd w:val="clear" w:color="auto" w:fill="FFFFFF"/>
        </w:rPr>
      </w:pPr>
      <w:r>
        <w:rPr>
          <w:rFonts w:ascii="Arial" w:hAnsi="Arial" w:cs="Arial"/>
          <w:b/>
          <w:shd w:val="clear" w:color="auto" w:fill="FFFFFF"/>
        </w:rPr>
        <w:t xml:space="preserve">Seit vielen Jahrzehnten nimmt die durchschnittliche Zahl der Haushaltsmitglieder je Haushalt ab. </w:t>
      </w:r>
      <w:r w:rsidR="00FC2A30">
        <w:rPr>
          <w:rFonts w:ascii="Arial" w:hAnsi="Arial" w:cs="Arial"/>
          <w:b/>
          <w:shd w:val="clear" w:color="auto" w:fill="FFFFFF"/>
        </w:rPr>
        <w:t xml:space="preserve">Mehr als die Hälfte der Bevölkerung lebt inzwischen in Ein- oder Zweipersonenhaushalten (2019: 54,5 Prozent) und weniger als </w:t>
      </w:r>
      <w:r w:rsidR="00740E33">
        <w:rPr>
          <w:rFonts w:ascii="Arial" w:hAnsi="Arial" w:cs="Arial"/>
          <w:b/>
          <w:shd w:val="clear" w:color="auto" w:fill="FFFFFF"/>
        </w:rPr>
        <w:t xml:space="preserve">ein Zehntel der Bevölkerung </w:t>
      </w:r>
      <w:r w:rsidR="00FC2A30">
        <w:rPr>
          <w:rFonts w:ascii="Arial" w:hAnsi="Arial" w:cs="Arial"/>
          <w:b/>
          <w:shd w:val="clear" w:color="auto" w:fill="FFFFFF"/>
        </w:rPr>
        <w:t xml:space="preserve">lebt in </w:t>
      </w:r>
      <w:r w:rsidR="000C5877">
        <w:rPr>
          <w:rFonts w:ascii="Arial" w:hAnsi="Arial" w:cs="Arial"/>
          <w:b/>
          <w:shd w:val="clear" w:color="auto" w:fill="FFFFFF"/>
        </w:rPr>
        <w:t xml:space="preserve">einem </w:t>
      </w:r>
      <w:r w:rsidR="00FC2A30" w:rsidRPr="00FC2A30">
        <w:rPr>
          <w:rFonts w:ascii="Arial" w:hAnsi="Arial" w:cs="Arial"/>
          <w:b/>
          <w:shd w:val="clear" w:color="auto" w:fill="FFFFFF"/>
        </w:rPr>
        <w:t>Haushalt</w:t>
      </w:r>
      <w:r w:rsidR="000C5877">
        <w:rPr>
          <w:rFonts w:ascii="Arial" w:hAnsi="Arial" w:cs="Arial"/>
          <w:b/>
          <w:shd w:val="clear" w:color="auto" w:fill="FFFFFF"/>
        </w:rPr>
        <w:t xml:space="preserve"> </w:t>
      </w:r>
      <w:r w:rsidR="00FC2A30" w:rsidRPr="00FC2A30">
        <w:rPr>
          <w:rFonts w:ascii="Arial" w:hAnsi="Arial" w:cs="Arial"/>
          <w:b/>
          <w:shd w:val="clear" w:color="auto" w:fill="FFFFFF"/>
        </w:rPr>
        <w:t xml:space="preserve">mit fünf oder mehr Mitgliedern (2019: 9,3 Prozent). Im Jahr 2019 waren 42,3 Prozent aller Haushalte Einpersonenhaushalte und in nur 3,5 Prozent der Haushalte lebten fünf oder mehr Personen. Weiter </w:t>
      </w:r>
      <w:r w:rsidR="000C5877">
        <w:rPr>
          <w:rFonts w:ascii="Arial" w:hAnsi="Arial" w:cs="Arial"/>
          <w:b/>
          <w:shd w:val="clear" w:color="auto" w:fill="FFFFFF"/>
        </w:rPr>
        <w:t xml:space="preserve">wohnten </w:t>
      </w:r>
      <w:r w:rsidR="00FC2A30" w:rsidRPr="00FC2A30">
        <w:rPr>
          <w:rFonts w:ascii="Arial" w:hAnsi="Arial" w:cs="Arial"/>
          <w:b/>
          <w:shd w:val="clear" w:color="auto" w:fill="FFFFFF"/>
        </w:rPr>
        <w:t xml:space="preserve">2015 in 72 Prozent der Haushalte in Deutschland ausschließlich Personen einer Generation und </w:t>
      </w:r>
      <w:r w:rsidR="00315B29">
        <w:rPr>
          <w:rFonts w:ascii="Arial" w:hAnsi="Arial" w:cs="Arial"/>
          <w:b/>
          <w:shd w:val="clear" w:color="auto" w:fill="FFFFFF"/>
        </w:rPr>
        <w:t xml:space="preserve">lediglich </w:t>
      </w:r>
      <w:r w:rsidR="00FC2A30" w:rsidRPr="00FC2A30">
        <w:rPr>
          <w:rFonts w:ascii="Arial" w:hAnsi="Arial" w:cs="Arial"/>
          <w:b/>
          <w:shd w:val="clear" w:color="auto" w:fill="FFFFFF"/>
        </w:rPr>
        <w:t>rund 28 Prozent waren Mehrgenerationenhaushalte.</w:t>
      </w:r>
    </w:p>
    <w:p w:rsidR="003E25B4" w:rsidRPr="00FC2A30" w:rsidRDefault="003E25B4" w:rsidP="007443B1">
      <w:pPr>
        <w:rPr>
          <w:rFonts w:ascii="Arial" w:hAnsi="Arial" w:cs="Arial"/>
          <w:b/>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CB76DC" w:rsidRDefault="00CA5D69" w:rsidP="00D23393">
      <w:pPr>
        <w:tabs>
          <w:tab w:val="left" w:pos="5529"/>
        </w:tabs>
        <w:rPr>
          <w:rFonts w:ascii="Arial" w:hAnsi="Arial" w:cs="Arial"/>
          <w:shd w:val="clear" w:color="auto" w:fill="FFFFFF"/>
        </w:rPr>
      </w:pPr>
    </w:p>
    <w:p w:rsidR="005A001F" w:rsidRPr="00CB76DC" w:rsidRDefault="004A7728" w:rsidP="00D23393">
      <w:pPr>
        <w:tabs>
          <w:tab w:val="left" w:pos="5529"/>
        </w:tabs>
        <w:rPr>
          <w:rFonts w:ascii="Arial" w:hAnsi="Arial" w:cs="Arial"/>
          <w:shd w:val="clear" w:color="auto" w:fill="FFFFFF"/>
        </w:rPr>
      </w:pPr>
      <w:r w:rsidRPr="00CB76DC">
        <w:rPr>
          <w:rFonts w:ascii="Arial" w:hAnsi="Arial" w:cs="Arial"/>
          <w:shd w:val="clear" w:color="auto" w:fill="FFFFFF"/>
        </w:rPr>
        <w:t>Die Haushalte in Deutschland werden tendenziell immer kleiner</w:t>
      </w:r>
      <w:r w:rsidR="005A001F" w:rsidRPr="00CB76DC">
        <w:rPr>
          <w:rFonts w:ascii="Arial" w:hAnsi="Arial" w:cs="Arial"/>
          <w:shd w:val="clear" w:color="auto" w:fill="FFFFFF"/>
        </w:rPr>
        <w:t xml:space="preserve"> – dies </w:t>
      </w:r>
      <w:r w:rsidRPr="00CB76DC">
        <w:rPr>
          <w:rFonts w:ascii="Arial" w:hAnsi="Arial" w:cs="Arial"/>
          <w:shd w:val="clear" w:color="auto" w:fill="FFFFFF"/>
        </w:rPr>
        <w:t xml:space="preserve">ist seit Beginn der statistischen Erfassung Ende der 1950er-Jahre zu beobachten. </w:t>
      </w:r>
      <w:r w:rsidR="005A001F" w:rsidRPr="00CB76DC">
        <w:rPr>
          <w:rFonts w:ascii="Arial" w:hAnsi="Arial" w:cs="Arial"/>
          <w:shd w:val="clear" w:color="auto" w:fill="FFFFFF"/>
        </w:rPr>
        <w:t xml:space="preserve">Seit Mitte der 1970er-Jahre </w:t>
      </w:r>
      <w:r w:rsidR="0033468F">
        <w:rPr>
          <w:rFonts w:ascii="Arial" w:hAnsi="Arial" w:cs="Arial"/>
          <w:shd w:val="clear" w:color="auto" w:fill="FFFFFF"/>
        </w:rPr>
        <w:t xml:space="preserve">sind die </w:t>
      </w:r>
      <w:r w:rsidRPr="00CB76DC">
        <w:rPr>
          <w:rFonts w:ascii="Arial" w:hAnsi="Arial" w:cs="Arial"/>
          <w:shd w:val="clear" w:color="auto" w:fill="FFFFFF"/>
        </w:rPr>
        <w:t xml:space="preserve">Einpersonenhaushalte </w:t>
      </w:r>
      <w:r w:rsidR="0033468F">
        <w:rPr>
          <w:rFonts w:ascii="Arial" w:hAnsi="Arial" w:cs="Arial"/>
          <w:shd w:val="clear" w:color="auto" w:fill="FFFFFF"/>
        </w:rPr>
        <w:t xml:space="preserve">der häufigste </w:t>
      </w:r>
      <w:r w:rsidRPr="00CB76DC">
        <w:rPr>
          <w:rFonts w:ascii="Arial" w:hAnsi="Arial" w:cs="Arial"/>
          <w:shd w:val="clear" w:color="auto" w:fill="FFFFFF"/>
        </w:rPr>
        <w:t>Haushalts</w:t>
      </w:r>
      <w:r w:rsidR="0033468F">
        <w:rPr>
          <w:rFonts w:ascii="Arial" w:hAnsi="Arial" w:cs="Arial"/>
          <w:shd w:val="clear" w:color="auto" w:fill="FFFFFF"/>
        </w:rPr>
        <w:t>typ. A</w:t>
      </w:r>
      <w:r w:rsidR="0010712C" w:rsidRPr="00CB76DC">
        <w:rPr>
          <w:rFonts w:ascii="Arial" w:hAnsi="Arial" w:cs="Arial"/>
          <w:shd w:val="clear" w:color="auto" w:fill="FFFFFF"/>
        </w:rPr>
        <w:t xml:space="preserve">llein zwischen 1991 und </w:t>
      </w:r>
      <w:r w:rsidRPr="00CB76DC">
        <w:rPr>
          <w:rFonts w:ascii="Arial" w:hAnsi="Arial" w:cs="Arial"/>
          <w:shd w:val="clear" w:color="auto" w:fill="FFFFFF"/>
        </w:rPr>
        <w:t>201</w:t>
      </w:r>
      <w:r w:rsidR="005A001F" w:rsidRPr="00CB76DC">
        <w:rPr>
          <w:rFonts w:ascii="Arial" w:hAnsi="Arial" w:cs="Arial"/>
          <w:shd w:val="clear" w:color="auto" w:fill="FFFFFF"/>
        </w:rPr>
        <w:t>9</w:t>
      </w:r>
      <w:r w:rsidRPr="00CB76DC">
        <w:rPr>
          <w:rFonts w:ascii="Arial" w:hAnsi="Arial" w:cs="Arial"/>
          <w:shd w:val="clear" w:color="auto" w:fill="FFFFFF"/>
        </w:rPr>
        <w:t xml:space="preserve"> </w:t>
      </w:r>
      <w:r w:rsidR="00347E88" w:rsidRPr="00CB76DC">
        <w:rPr>
          <w:rFonts w:ascii="Arial" w:hAnsi="Arial" w:cs="Arial"/>
          <w:shd w:val="clear" w:color="auto" w:fill="FFFFFF"/>
        </w:rPr>
        <w:t xml:space="preserve">nahm </w:t>
      </w:r>
      <w:r w:rsidR="0033468F">
        <w:rPr>
          <w:rFonts w:ascii="Arial" w:hAnsi="Arial" w:cs="Arial"/>
          <w:shd w:val="clear" w:color="auto" w:fill="FFFFFF"/>
        </w:rPr>
        <w:t xml:space="preserve">ihre Zahl </w:t>
      </w:r>
      <w:r w:rsidR="00347E88" w:rsidRPr="00CB76DC">
        <w:rPr>
          <w:rFonts w:ascii="Arial" w:hAnsi="Arial" w:cs="Arial"/>
          <w:shd w:val="clear" w:color="auto" w:fill="FFFFFF"/>
        </w:rPr>
        <w:t xml:space="preserve">von 11,9 auf 17,6 Millionen zu. Der </w:t>
      </w:r>
      <w:r w:rsidRPr="00CB76DC">
        <w:rPr>
          <w:rFonts w:ascii="Arial" w:hAnsi="Arial" w:cs="Arial"/>
          <w:shd w:val="clear" w:color="auto" w:fill="FFFFFF"/>
        </w:rPr>
        <w:t xml:space="preserve">Anteil </w:t>
      </w:r>
      <w:r w:rsidR="0010712C" w:rsidRPr="00CB76DC">
        <w:rPr>
          <w:rFonts w:ascii="Arial" w:hAnsi="Arial" w:cs="Arial"/>
          <w:shd w:val="clear" w:color="auto" w:fill="FFFFFF"/>
        </w:rPr>
        <w:t>der Einpersonenhaushalte</w:t>
      </w:r>
      <w:r w:rsidR="00347E88" w:rsidRPr="00CB76DC">
        <w:rPr>
          <w:rFonts w:ascii="Arial" w:hAnsi="Arial" w:cs="Arial"/>
          <w:shd w:val="clear" w:color="auto" w:fill="FFFFFF"/>
        </w:rPr>
        <w:t xml:space="preserve"> an</w:t>
      </w:r>
      <w:r w:rsidR="0010712C" w:rsidRPr="00CB76DC">
        <w:rPr>
          <w:rFonts w:ascii="Arial" w:hAnsi="Arial" w:cs="Arial"/>
          <w:shd w:val="clear" w:color="auto" w:fill="FFFFFF"/>
        </w:rPr>
        <w:t xml:space="preserve"> </w:t>
      </w:r>
      <w:r w:rsidR="00347E88" w:rsidRPr="00CB76DC">
        <w:rPr>
          <w:rFonts w:ascii="Arial" w:hAnsi="Arial" w:cs="Arial"/>
          <w:shd w:val="clear" w:color="auto" w:fill="FFFFFF"/>
        </w:rPr>
        <w:t xml:space="preserve">allen Haushalten stieg in diesem Zeitraum </w:t>
      </w:r>
      <w:r w:rsidR="0010712C" w:rsidRPr="00CB76DC">
        <w:rPr>
          <w:rFonts w:ascii="Arial" w:hAnsi="Arial" w:cs="Arial"/>
          <w:shd w:val="clear" w:color="auto" w:fill="FFFFFF"/>
        </w:rPr>
        <w:t xml:space="preserve">von 33,6 auf </w:t>
      </w:r>
      <w:r w:rsidRPr="00CB76DC">
        <w:rPr>
          <w:rFonts w:ascii="Arial" w:hAnsi="Arial" w:cs="Arial"/>
          <w:shd w:val="clear" w:color="auto" w:fill="FFFFFF"/>
        </w:rPr>
        <w:t>4</w:t>
      </w:r>
      <w:r w:rsidR="005A001F" w:rsidRPr="00CB76DC">
        <w:rPr>
          <w:rFonts w:ascii="Arial" w:hAnsi="Arial" w:cs="Arial"/>
          <w:shd w:val="clear" w:color="auto" w:fill="FFFFFF"/>
        </w:rPr>
        <w:t>2</w:t>
      </w:r>
      <w:r w:rsidRPr="00CB76DC">
        <w:rPr>
          <w:rFonts w:ascii="Arial" w:hAnsi="Arial" w:cs="Arial"/>
          <w:shd w:val="clear" w:color="auto" w:fill="FFFFFF"/>
        </w:rPr>
        <w:t>,</w:t>
      </w:r>
      <w:r w:rsidR="005A001F" w:rsidRPr="00CB76DC">
        <w:rPr>
          <w:rFonts w:ascii="Arial" w:hAnsi="Arial" w:cs="Arial"/>
          <w:shd w:val="clear" w:color="auto" w:fill="FFFFFF"/>
        </w:rPr>
        <w:t>3</w:t>
      </w:r>
      <w:r w:rsidRPr="00CB76DC">
        <w:rPr>
          <w:rFonts w:ascii="Arial" w:hAnsi="Arial" w:cs="Arial"/>
          <w:shd w:val="clear" w:color="auto" w:fill="FFFFFF"/>
        </w:rPr>
        <w:t xml:space="preserve"> Prozent.</w:t>
      </w:r>
      <w:r w:rsidR="00CB76DC" w:rsidRPr="00CB76DC">
        <w:rPr>
          <w:rFonts w:ascii="Arial" w:hAnsi="Arial" w:cs="Arial"/>
          <w:shd w:val="clear" w:color="auto" w:fill="FFFFFF"/>
        </w:rPr>
        <w:t xml:space="preserve"> N</w:t>
      </w:r>
      <w:r w:rsidR="0010712C" w:rsidRPr="00CB76DC">
        <w:rPr>
          <w:rFonts w:ascii="Arial" w:hAnsi="Arial" w:cs="Arial"/>
          <w:shd w:val="clear" w:color="auto" w:fill="FFFFFF"/>
        </w:rPr>
        <w:t xml:space="preserve">icht so ausgeprägt, aber kontinuierlich </w:t>
      </w:r>
      <w:r w:rsidR="00947363" w:rsidRPr="00CB76DC">
        <w:rPr>
          <w:rFonts w:ascii="Arial" w:hAnsi="Arial" w:cs="Arial"/>
          <w:shd w:val="clear" w:color="auto" w:fill="FFFFFF"/>
        </w:rPr>
        <w:t xml:space="preserve">erhöhte sich </w:t>
      </w:r>
      <w:r w:rsidR="0010712C" w:rsidRPr="00CB76DC">
        <w:rPr>
          <w:rFonts w:ascii="Arial" w:hAnsi="Arial" w:cs="Arial"/>
          <w:shd w:val="clear" w:color="auto" w:fill="FFFFFF"/>
        </w:rPr>
        <w:t xml:space="preserve">zwischen 1991 und 2014 </w:t>
      </w:r>
      <w:r w:rsidR="00947363" w:rsidRPr="00CB76DC">
        <w:rPr>
          <w:rFonts w:ascii="Arial" w:hAnsi="Arial" w:cs="Arial"/>
          <w:shd w:val="clear" w:color="auto" w:fill="FFFFFF"/>
        </w:rPr>
        <w:t xml:space="preserve">auch der Anteil </w:t>
      </w:r>
      <w:r w:rsidRPr="00CB76DC">
        <w:rPr>
          <w:rFonts w:ascii="Arial" w:hAnsi="Arial" w:cs="Arial"/>
          <w:shd w:val="clear" w:color="auto" w:fill="FFFFFF"/>
        </w:rPr>
        <w:t>der Zweipersonenhaushalte</w:t>
      </w:r>
      <w:r w:rsidR="00947363" w:rsidRPr="00CB76DC">
        <w:rPr>
          <w:rFonts w:ascii="Arial" w:hAnsi="Arial" w:cs="Arial"/>
          <w:shd w:val="clear" w:color="auto" w:fill="FFFFFF"/>
        </w:rPr>
        <w:t xml:space="preserve"> </w:t>
      </w:r>
      <w:r w:rsidR="0010712C" w:rsidRPr="00CB76DC">
        <w:rPr>
          <w:rFonts w:ascii="Arial" w:hAnsi="Arial" w:cs="Arial"/>
          <w:shd w:val="clear" w:color="auto" w:fill="FFFFFF"/>
        </w:rPr>
        <w:t xml:space="preserve">von 30,8 </w:t>
      </w:r>
      <w:r w:rsidR="00947363" w:rsidRPr="00CB76DC">
        <w:rPr>
          <w:rFonts w:ascii="Arial" w:hAnsi="Arial" w:cs="Arial"/>
          <w:shd w:val="clear" w:color="auto" w:fill="FFFFFF"/>
        </w:rPr>
        <w:t>auf 34,4 Prozent</w:t>
      </w:r>
      <w:r w:rsidRPr="00CB76DC">
        <w:rPr>
          <w:rFonts w:ascii="Arial" w:hAnsi="Arial" w:cs="Arial"/>
          <w:shd w:val="clear" w:color="auto" w:fill="FFFFFF"/>
        </w:rPr>
        <w:t xml:space="preserve">. </w:t>
      </w:r>
      <w:r w:rsidR="00AE5CDF" w:rsidRPr="00CB76DC">
        <w:rPr>
          <w:rFonts w:ascii="Arial" w:hAnsi="Arial" w:cs="Arial"/>
          <w:shd w:val="clear" w:color="auto" w:fill="FFFFFF"/>
        </w:rPr>
        <w:t>Bis 2019 sank er jedoch auf 33,2 Prozent.</w:t>
      </w:r>
    </w:p>
    <w:p w:rsidR="00CB76DC" w:rsidRPr="00CB76DC" w:rsidRDefault="00CB76DC" w:rsidP="00D23393">
      <w:pPr>
        <w:tabs>
          <w:tab w:val="left" w:pos="5529"/>
        </w:tabs>
        <w:rPr>
          <w:rFonts w:ascii="Arial" w:hAnsi="Arial" w:cs="Arial"/>
          <w:shd w:val="clear" w:color="auto" w:fill="FFFFFF"/>
        </w:rPr>
      </w:pPr>
    </w:p>
    <w:p w:rsidR="00CB76DC" w:rsidRPr="00CB76DC" w:rsidRDefault="004A7728" w:rsidP="00CB76DC">
      <w:pPr>
        <w:tabs>
          <w:tab w:val="left" w:pos="5529"/>
        </w:tabs>
        <w:rPr>
          <w:rFonts w:ascii="Arial" w:hAnsi="Arial" w:cs="Arial"/>
          <w:shd w:val="clear" w:color="auto" w:fill="FFFFFF"/>
        </w:rPr>
      </w:pPr>
      <w:r w:rsidRPr="00CB76DC">
        <w:rPr>
          <w:rFonts w:ascii="Arial" w:hAnsi="Arial" w:cs="Arial"/>
          <w:shd w:val="clear" w:color="auto" w:fill="FFFFFF"/>
        </w:rPr>
        <w:t>D</w:t>
      </w:r>
      <w:r w:rsidR="00B12CD0" w:rsidRPr="00CB76DC">
        <w:rPr>
          <w:rFonts w:ascii="Arial" w:hAnsi="Arial" w:cs="Arial"/>
          <w:shd w:val="clear" w:color="auto" w:fill="FFFFFF"/>
        </w:rPr>
        <w:t xml:space="preserve">ie </w:t>
      </w:r>
      <w:r w:rsidR="00347E88" w:rsidRPr="00CB76DC">
        <w:rPr>
          <w:rFonts w:ascii="Arial" w:hAnsi="Arial" w:cs="Arial"/>
          <w:shd w:val="clear" w:color="auto" w:fill="FFFFFF"/>
        </w:rPr>
        <w:t>Anteil</w:t>
      </w:r>
      <w:r w:rsidR="00B12CD0" w:rsidRPr="00CB76DC">
        <w:rPr>
          <w:rFonts w:ascii="Arial" w:hAnsi="Arial" w:cs="Arial"/>
          <w:shd w:val="clear" w:color="auto" w:fill="FFFFFF"/>
        </w:rPr>
        <w:t xml:space="preserve">e </w:t>
      </w:r>
      <w:r w:rsidRPr="00CB76DC">
        <w:rPr>
          <w:rFonts w:ascii="Arial" w:hAnsi="Arial" w:cs="Arial"/>
          <w:shd w:val="clear" w:color="auto" w:fill="FFFFFF"/>
        </w:rPr>
        <w:t xml:space="preserve">der Haushalte mit drei </w:t>
      </w:r>
      <w:r w:rsidR="00B12CD0" w:rsidRPr="00CB76DC">
        <w:rPr>
          <w:rFonts w:ascii="Arial" w:hAnsi="Arial" w:cs="Arial"/>
          <w:shd w:val="clear" w:color="auto" w:fill="FFFFFF"/>
        </w:rPr>
        <w:t xml:space="preserve">bzw. </w:t>
      </w:r>
      <w:r w:rsidR="00347E88" w:rsidRPr="00CB76DC">
        <w:rPr>
          <w:rFonts w:ascii="Arial" w:hAnsi="Arial" w:cs="Arial"/>
          <w:shd w:val="clear" w:color="auto" w:fill="FFFFFF"/>
        </w:rPr>
        <w:t xml:space="preserve">vier </w:t>
      </w:r>
      <w:r w:rsidRPr="00CB76DC">
        <w:rPr>
          <w:rFonts w:ascii="Arial" w:hAnsi="Arial" w:cs="Arial"/>
          <w:shd w:val="clear" w:color="auto" w:fill="FFFFFF"/>
        </w:rPr>
        <w:t xml:space="preserve">Personen </w:t>
      </w:r>
      <w:r w:rsidR="00B12CD0" w:rsidRPr="00CB76DC">
        <w:rPr>
          <w:rFonts w:ascii="Arial" w:hAnsi="Arial" w:cs="Arial"/>
          <w:shd w:val="clear" w:color="auto" w:fill="FFFFFF"/>
        </w:rPr>
        <w:t xml:space="preserve">sind </w:t>
      </w:r>
      <w:r w:rsidRPr="00CB76DC">
        <w:rPr>
          <w:rFonts w:ascii="Arial" w:hAnsi="Arial" w:cs="Arial"/>
          <w:shd w:val="clear" w:color="auto" w:fill="FFFFFF"/>
        </w:rPr>
        <w:t>dagegen beständig gesunken</w:t>
      </w:r>
      <w:r w:rsidR="00B12CD0" w:rsidRPr="00CB76DC">
        <w:rPr>
          <w:rFonts w:ascii="Arial" w:hAnsi="Arial" w:cs="Arial"/>
          <w:shd w:val="clear" w:color="auto" w:fill="FFFFFF"/>
        </w:rPr>
        <w:t xml:space="preserve"> – zusammen von 30,5 auf 21,0 Prozent aller Haushalte</w:t>
      </w:r>
      <w:r w:rsidRPr="00CB76DC">
        <w:rPr>
          <w:rFonts w:ascii="Arial" w:hAnsi="Arial" w:cs="Arial"/>
          <w:shd w:val="clear" w:color="auto" w:fill="FFFFFF"/>
        </w:rPr>
        <w:t xml:space="preserve">. Haushalte mit fünf </w:t>
      </w:r>
      <w:r w:rsidR="00B76AFC" w:rsidRPr="00CB76DC">
        <w:rPr>
          <w:rFonts w:ascii="Arial" w:hAnsi="Arial" w:cs="Arial"/>
          <w:shd w:val="clear" w:color="auto" w:fill="FFFFFF"/>
        </w:rPr>
        <w:t>oder</w:t>
      </w:r>
      <w:r w:rsidRPr="00CB76DC">
        <w:rPr>
          <w:rFonts w:ascii="Arial" w:hAnsi="Arial" w:cs="Arial"/>
          <w:shd w:val="clear" w:color="auto" w:fill="FFFFFF"/>
        </w:rPr>
        <w:t xml:space="preserve"> mehr Personen, die 1970 noch einen Anteil von 12,9 Prozent an allen Haushalten in Westdeutschland hatten, machten im Jahr 201</w:t>
      </w:r>
      <w:r w:rsidR="00B12CD0" w:rsidRPr="00CB76DC">
        <w:rPr>
          <w:rFonts w:ascii="Arial" w:hAnsi="Arial" w:cs="Arial"/>
          <w:shd w:val="clear" w:color="auto" w:fill="FFFFFF"/>
        </w:rPr>
        <w:t>9</w:t>
      </w:r>
      <w:r w:rsidRPr="00CB76DC">
        <w:rPr>
          <w:rFonts w:ascii="Arial" w:hAnsi="Arial" w:cs="Arial"/>
          <w:shd w:val="clear" w:color="auto" w:fill="FFFFFF"/>
        </w:rPr>
        <w:t xml:space="preserve"> </w:t>
      </w:r>
      <w:r w:rsidR="00347E88" w:rsidRPr="00CB76DC">
        <w:rPr>
          <w:rFonts w:ascii="Arial" w:hAnsi="Arial" w:cs="Arial"/>
          <w:shd w:val="clear" w:color="auto" w:fill="FFFFFF"/>
        </w:rPr>
        <w:t xml:space="preserve">in Deutschland </w:t>
      </w:r>
      <w:r w:rsidRPr="00CB76DC">
        <w:rPr>
          <w:rFonts w:ascii="Arial" w:hAnsi="Arial" w:cs="Arial"/>
          <w:shd w:val="clear" w:color="auto" w:fill="FFFFFF"/>
        </w:rPr>
        <w:t>nur noch 3,</w:t>
      </w:r>
      <w:r w:rsidR="00B4297E" w:rsidRPr="00CB76DC">
        <w:rPr>
          <w:rFonts w:ascii="Arial" w:hAnsi="Arial" w:cs="Arial"/>
          <w:shd w:val="clear" w:color="auto" w:fill="FFFFFF"/>
        </w:rPr>
        <w:t>5</w:t>
      </w:r>
      <w:r w:rsidRPr="00CB76DC">
        <w:rPr>
          <w:rFonts w:ascii="Arial" w:hAnsi="Arial" w:cs="Arial"/>
          <w:shd w:val="clear" w:color="auto" w:fill="FFFFFF"/>
        </w:rPr>
        <w:t xml:space="preserve"> Prozent aus</w:t>
      </w:r>
      <w:r w:rsidR="00781B6F" w:rsidRPr="00CB76DC">
        <w:rPr>
          <w:rFonts w:ascii="Arial" w:hAnsi="Arial" w:cs="Arial"/>
          <w:shd w:val="clear" w:color="auto" w:fill="FFFFFF"/>
        </w:rPr>
        <w:t xml:space="preserve"> (Westdt.: 3,8 Prozent / Ostdt. und Berlin: 2,2 Prozent)</w:t>
      </w:r>
      <w:r w:rsidRPr="00CB76DC">
        <w:rPr>
          <w:rFonts w:ascii="Arial" w:hAnsi="Arial" w:cs="Arial"/>
          <w:shd w:val="clear" w:color="auto" w:fill="FFFFFF"/>
        </w:rPr>
        <w:t>.</w:t>
      </w:r>
    </w:p>
    <w:p w:rsidR="00CB76DC" w:rsidRPr="00CB76DC" w:rsidRDefault="00CB76DC" w:rsidP="00CB76DC">
      <w:pPr>
        <w:tabs>
          <w:tab w:val="left" w:pos="5529"/>
        </w:tabs>
        <w:rPr>
          <w:rFonts w:ascii="Arial" w:hAnsi="Arial" w:cs="Arial"/>
          <w:shd w:val="clear" w:color="auto" w:fill="FFFFFF"/>
        </w:rPr>
      </w:pPr>
    </w:p>
    <w:p w:rsidR="00347516" w:rsidRPr="00CB76DC" w:rsidRDefault="00347516" w:rsidP="00CB76DC">
      <w:pPr>
        <w:tabs>
          <w:tab w:val="left" w:pos="5529"/>
        </w:tabs>
        <w:rPr>
          <w:rFonts w:ascii="Arial" w:hAnsi="Arial" w:cs="Arial"/>
          <w:shd w:val="clear" w:color="auto" w:fill="FFFFFF"/>
        </w:rPr>
      </w:pPr>
      <w:r w:rsidRPr="00CB76DC">
        <w:rPr>
          <w:rFonts w:ascii="Arial" w:hAnsi="Arial" w:cs="Arial"/>
          <w:shd w:val="clear" w:color="auto" w:fill="FFFFFF"/>
        </w:rPr>
        <w:t>Das Statistische Bundesamt benennt mehrere Ursachen für diese Entwicklung: Zum einen demografische Faktoren wie den Rückgang der Geburtenziffer und die Zunahme der Lebenserwartung. Beides trägt zur Verringerung der durchschnittlichen Haushaltsgröße bei. Niedrige Geburtenziffern bedeuten im Durchschnitt eine geringere Kinderzahl je Elternpaar und die steigende Lebenserwartung, bei gleichzeitiger Zunahme der gesunden Lebensjahre, führt dazu, dass ältere Menschen länger selbstständig in Ein- oder Zweipersonenhaushalten leben. Weiter resultieren aus dem Heiratsverhalten bzw. der immer späteren Familiengründung mehr Ein- oder Zweipersonenhaushalte bei den jungen Menschen. Schließlich haben die Binnenwanderungsströme – ausgelöst vor allem durch die Arbeitsplatzsuche – insbesondere in Ostdeutschland viele Mehrpersonenhaushalte geteilt.</w:t>
      </w:r>
    </w:p>
    <w:p w:rsidR="00CB76DC" w:rsidRPr="00CB76DC" w:rsidRDefault="00CB76DC" w:rsidP="00CB76DC">
      <w:pPr>
        <w:tabs>
          <w:tab w:val="left" w:pos="5529"/>
        </w:tabs>
        <w:rPr>
          <w:rFonts w:ascii="Arial" w:hAnsi="Arial" w:cs="Arial"/>
          <w:shd w:val="clear" w:color="auto" w:fill="FFFFFF"/>
        </w:rPr>
      </w:pPr>
    </w:p>
    <w:p w:rsidR="00CB76DC" w:rsidRPr="00CB76DC" w:rsidRDefault="004A7728" w:rsidP="00D23393">
      <w:pPr>
        <w:tabs>
          <w:tab w:val="left" w:pos="5529"/>
        </w:tabs>
        <w:rPr>
          <w:rFonts w:ascii="Arial" w:hAnsi="Arial" w:cs="Arial"/>
          <w:shd w:val="clear" w:color="auto" w:fill="FFFFFF"/>
        </w:rPr>
      </w:pPr>
      <w:r w:rsidRPr="00CB76DC">
        <w:rPr>
          <w:rFonts w:ascii="Arial" w:hAnsi="Arial" w:cs="Arial"/>
          <w:shd w:val="clear" w:color="auto" w:fill="FFFFFF"/>
        </w:rPr>
        <w:t>Im Jahr 201</w:t>
      </w:r>
      <w:r w:rsidR="00D013B8" w:rsidRPr="00CB76DC">
        <w:rPr>
          <w:rFonts w:ascii="Arial" w:hAnsi="Arial" w:cs="Arial"/>
          <w:shd w:val="clear" w:color="auto" w:fill="FFFFFF"/>
        </w:rPr>
        <w:t>9</w:t>
      </w:r>
      <w:r w:rsidRPr="00CB76DC">
        <w:rPr>
          <w:rFonts w:ascii="Arial" w:hAnsi="Arial" w:cs="Arial"/>
          <w:shd w:val="clear" w:color="auto" w:fill="FFFFFF"/>
        </w:rPr>
        <w:t xml:space="preserve"> lebten 1</w:t>
      </w:r>
      <w:r w:rsidR="00D013B8" w:rsidRPr="00CB76DC">
        <w:rPr>
          <w:rFonts w:ascii="Arial" w:hAnsi="Arial" w:cs="Arial"/>
          <w:shd w:val="clear" w:color="auto" w:fill="FFFFFF"/>
        </w:rPr>
        <w:t>7</w:t>
      </w:r>
      <w:r w:rsidRPr="00CB76DC">
        <w:rPr>
          <w:rFonts w:ascii="Arial" w:hAnsi="Arial" w:cs="Arial"/>
          <w:shd w:val="clear" w:color="auto" w:fill="FFFFFF"/>
        </w:rPr>
        <w:t>,</w:t>
      </w:r>
      <w:r w:rsidR="00D013B8" w:rsidRPr="00CB76DC">
        <w:rPr>
          <w:rFonts w:ascii="Arial" w:hAnsi="Arial" w:cs="Arial"/>
          <w:shd w:val="clear" w:color="auto" w:fill="FFFFFF"/>
        </w:rPr>
        <w:t>6</w:t>
      </w:r>
      <w:r w:rsidRPr="00CB76DC">
        <w:rPr>
          <w:rFonts w:ascii="Arial" w:hAnsi="Arial" w:cs="Arial"/>
          <w:shd w:val="clear" w:color="auto" w:fill="FFFFFF"/>
        </w:rPr>
        <w:t xml:space="preserve"> Millionen Personen in einem Einpersonenhaushalt</w:t>
      </w:r>
      <w:r w:rsidR="00D013B8" w:rsidRPr="00CB76DC">
        <w:rPr>
          <w:rFonts w:ascii="Arial" w:hAnsi="Arial" w:cs="Arial"/>
          <w:shd w:val="clear" w:color="auto" w:fill="FFFFFF"/>
        </w:rPr>
        <w:t xml:space="preserve"> – das entsprach 21,2 Prozent der Bevölkerung</w:t>
      </w:r>
      <w:r w:rsidRPr="00CB76DC">
        <w:rPr>
          <w:rFonts w:ascii="Arial" w:hAnsi="Arial" w:cs="Arial"/>
          <w:shd w:val="clear" w:color="auto" w:fill="FFFFFF"/>
        </w:rPr>
        <w:t xml:space="preserve">. </w:t>
      </w:r>
      <w:r w:rsidR="00D013B8" w:rsidRPr="00CB76DC">
        <w:rPr>
          <w:rFonts w:ascii="Arial" w:hAnsi="Arial" w:cs="Arial"/>
          <w:shd w:val="clear" w:color="auto" w:fill="FFFFFF"/>
        </w:rPr>
        <w:t>Genau ein Drittel der Bevölkerung lebte 2019 i</w:t>
      </w:r>
      <w:r w:rsidRPr="00CB76DC">
        <w:rPr>
          <w:rFonts w:ascii="Arial" w:hAnsi="Arial" w:cs="Arial"/>
          <w:shd w:val="clear" w:color="auto" w:fill="FFFFFF"/>
        </w:rPr>
        <w:t xml:space="preserve">n </w:t>
      </w:r>
      <w:r w:rsidR="00D013B8" w:rsidRPr="00CB76DC">
        <w:rPr>
          <w:rFonts w:ascii="Arial" w:hAnsi="Arial" w:cs="Arial"/>
          <w:shd w:val="clear" w:color="auto" w:fill="FFFFFF"/>
        </w:rPr>
        <w:t xml:space="preserve">einem </w:t>
      </w:r>
      <w:r w:rsidRPr="00CB76DC">
        <w:rPr>
          <w:rFonts w:ascii="Arial" w:hAnsi="Arial" w:cs="Arial"/>
          <w:shd w:val="clear" w:color="auto" w:fill="FFFFFF"/>
        </w:rPr>
        <w:t xml:space="preserve">Zweipersonenhaushalt </w:t>
      </w:r>
      <w:r w:rsidR="00D013B8" w:rsidRPr="00CB76DC">
        <w:rPr>
          <w:rFonts w:ascii="Arial" w:hAnsi="Arial" w:cs="Arial"/>
          <w:shd w:val="clear" w:color="auto" w:fill="FFFFFF"/>
        </w:rPr>
        <w:t>– 27,6</w:t>
      </w:r>
      <w:r w:rsidRPr="00CB76DC">
        <w:rPr>
          <w:rFonts w:ascii="Arial" w:hAnsi="Arial" w:cs="Arial"/>
          <w:shd w:val="clear" w:color="auto" w:fill="FFFFFF"/>
        </w:rPr>
        <w:t xml:space="preserve"> Millionen</w:t>
      </w:r>
      <w:r w:rsidR="00D013B8" w:rsidRPr="00CB76DC">
        <w:rPr>
          <w:rFonts w:ascii="Arial" w:hAnsi="Arial" w:cs="Arial"/>
          <w:shd w:val="clear" w:color="auto" w:fill="FFFFFF"/>
        </w:rPr>
        <w:t xml:space="preserve"> Personen</w:t>
      </w:r>
      <w:r w:rsidRPr="00CB76DC">
        <w:rPr>
          <w:rFonts w:ascii="Arial" w:hAnsi="Arial" w:cs="Arial"/>
          <w:shd w:val="clear" w:color="auto" w:fill="FFFFFF"/>
        </w:rPr>
        <w:t xml:space="preserve">. Zu dritt beziehungsweise zu viert in einem Haushalt wohnten </w:t>
      </w:r>
      <w:r w:rsidR="00997809" w:rsidRPr="00CB76DC">
        <w:rPr>
          <w:rFonts w:ascii="Arial" w:hAnsi="Arial" w:cs="Arial"/>
          <w:shd w:val="clear" w:color="auto" w:fill="FFFFFF"/>
        </w:rPr>
        <w:t xml:space="preserve">jeweils rund </w:t>
      </w:r>
      <w:r w:rsidRPr="00CB76DC">
        <w:rPr>
          <w:rFonts w:ascii="Arial" w:hAnsi="Arial" w:cs="Arial"/>
          <w:shd w:val="clear" w:color="auto" w:fill="FFFFFF"/>
        </w:rPr>
        <w:t>15 Millionen Personen</w:t>
      </w:r>
      <w:r w:rsidR="00D013B8" w:rsidRPr="00CB76DC">
        <w:rPr>
          <w:rFonts w:ascii="Arial" w:hAnsi="Arial" w:cs="Arial"/>
          <w:shd w:val="clear" w:color="auto" w:fill="FFFFFF"/>
        </w:rPr>
        <w:t xml:space="preserve"> (17,9 bzw. 18,3 Prozent)</w:t>
      </w:r>
      <w:r w:rsidRPr="00CB76DC">
        <w:rPr>
          <w:rFonts w:ascii="Arial" w:hAnsi="Arial" w:cs="Arial"/>
          <w:shd w:val="clear" w:color="auto" w:fill="FFFFFF"/>
        </w:rPr>
        <w:t xml:space="preserve">. </w:t>
      </w:r>
      <w:r w:rsidR="00D013B8" w:rsidRPr="00CB76DC">
        <w:rPr>
          <w:rFonts w:ascii="Arial" w:hAnsi="Arial" w:cs="Arial"/>
          <w:shd w:val="clear" w:color="auto" w:fill="FFFFFF"/>
        </w:rPr>
        <w:t>Schließlich lebten</w:t>
      </w:r>
      <w:r w:rsidR="00997809" w:rsidRPr="00CB76DC">
        <w:rPr>
          <w:rFonts w:ascii="Arial" w:hAnsi="Arial" w:cs="Arial"/>
          <w:shd w:val="clear" w:color="auto" w:fill="FFFFFF"/>
        </w:rPr>
        <w:t xml:space="preserve"> im Jahr 2019</w:t>
      </w:r>
      <w:r w:rsidR="00D013B8" w:rsidRPr="00CB76DC">
        <w:rPr>
          <w:rFonts w:ascii="Arial" w:hAnsi="Arial" w:cs="Arial"/>
          <w:shd w:val="clear" w:color="auto" w:fill="FFFFFF"/>
        </w:rPr>
        <w:t xml:space="preserve"> </w:t>
      </w:r>
      <w:r w:rsidRPr="00CB76DC">
        <w:rPr>
          <w:rFonts w:ascii="Arial" w:hAnsi="Arial" w:cs="Arial"/>
          <w:shd w:val="clear" w:color="auto" w:fill="FFFFFF"/>
        </w:rPr>
        <w:t>7,</w:t>
      </w:r>
      <w:r w:rsidR="00D013B8" w:rsidRPr="00CB76DC">
        <w:rPr>
          <w:rFonts w:ascii="Arial" w:hAnsi="Arial" w:cs="Arial"/>
          <w:shd w:val="clear" w:color="auto" w:fill="FFFFFF"/>
        </w:rPr>
        <w:t>7</w:t>
      </w:r>
      <w:r w:rsidRPr="00CB76DC">
        <w:rPr>
          <w:rFonts w:ascii="Arial" w:hAnsi="Arial" w:cs="Arial"/>
          <w:shd w:val="clear" w:color="auto" w:fill="FFFFFF"/>
        </w:rPr>
        <w:t xml:space="preserve"> Millionen </w:t>
      </w:r>
      <w:r w:rsidR="00D013B8" w:rsidRPr="00CB76DC">
        <w:rPr>
          <w:rFonts w:ascii="Arial" w:hAnsi="Arial" w:cs="Arial"/>
          <w:shd w:val="clear" w:color="auto" w:fill="FFFFFF"/>
        </w:rPr>
        <w:t xml:space="preserve">Personen </w:t>
      </w:r>
      <w:r w:rsidRPr="00CB76DC">
        <w:rPr>
          <w:rFonts w:ascii="Arial" w:hAnsi="Arial" w:cs="Arial"/>
          <w:shd w:val="clear" w:color="auto" w:fill="FFFFFF"/>
        </w:rPr>
        <w:t>in einem Haushalt mit fünf oder mehr Personen</w:t>
      </w:r>
      <w:r w:rsidR="00D013B8" w:rsidRPr="00CB76DC">
        <w:rPr>
          <w:rFonts w:ascii="Arial" w:hAnsi="Arial" w:cs="Arial"/>
          <w:shd w:val="clear" w:color="auto" w:fill="FFFFFF"/>
        </w:rPr>
        <w:t xml:space="preserve"> (9,3 Prozent)</w:t>
      </w:r>
      <w:r w:rsidRPr="00CB76DC">
        <w:rPr>
          <w:rFonts w:ascii="Arial" w:hAnsi="Arial" w:cs="Arial"/>
          <w:shd w:val="clear" w:color="auto" w:fill="FFFFFF"/>
        </w:rPr>
        <w:t>.</w:t>
      </w:r>
    </w:p>
    <w:p w:rsidR="00CB76DC" w:rsidRPr="00CB76DC" w:rsidRDefault="00CB76DC" w:rsidP="00D23393">
      <w:pPr>
        <w:tabs>
          <w:tab w:val="left" w:pos="5529"/>
        </w:tabs>
        <w:rPr>
          <w:rFonts w:ascii="Arial" w:hAnsi="Arial" w:cs="Arial"/>
          <w:shd w:val="clear" w:color="auto" w:fill="FFFFFF"/>
        </w:rPr>
      </w:pPr>
    </w:p>
    <w:p w:rsidR="00A044A3" w:rsidRDefault="007611C9" w:rsidP="00CB76DC">
      <w:pPr>
        <w:tabs>
          <w:tab w:val="left" w:pos="5529"/>
        </w:tabs>
        <w:rPr>
          <w:rFonts w:ascii="Arial" w:hAnsi="Arial" w:cs="Arial"/>
          <w:shd w:val="clear" w:color="auto" w:fill="FFFFFF"/>
        </w:rPr>
      </w:pPr>
      <w:r w:rsidRPr="00CB76DC">
        <w:rPr>
          <w:rFonts w:ascii="Arial" w:hAnsi="Arial" w:cs="Arial"/>
          <w:shd w:val="clear" w:color="auto" w:fill="FFFFFF"/>
        </w:rPr>
        <w:t xml:space="preserve">Nach den Ergebnissen des Mikrozensus 2015 </w:t>
      </w:r>
      <w:r w:rsidR="001C7389">
        <w:rPr>
          <w:rFonts w:ascii="Arial" w:hAnsi="Arial" w:cs="Arial"/>
          <w:shd w:val="clear" w:color="auto" w:fill="FFFFFF"/>
        </w:rPr>
        <w:t xml:space="preserve">lebten in </w:t>
      </w:r>
      <w:r w:rsidRPr="00CB76DC">
        <w:rPr>
          <w:rFonts w:ascii="Arial" w:hAnsi="Arial" w:cs="Arial"/>
          <w:shd w:val="clear" w:color="auto" w:fill="FFFFFF"/>
        </w:rPr>
        <w:t xml:space="preserve">knapp 72 Prozent der Haushalte in Deutschland </w:t>
      </w:r>
      <w:r w:rsidR="001C7389">
        <w:rPr>
          <w:rFonts w:ascii="Arial" w:hAnsi="Arial" w:cs="Arial"/>
          <w:shd w:val="clear" w:color="auto" w:fill="FFFFFF"/>
        </w:rPr>
        <w:t>ausschließlich Personen einer G</w:t>
      </w:r>
      <w:r w:rsidRPr="00CB76DC">
        <w:rPr>
          <w:rFonts w:ascii="Arial" w:hAnsi="Arial" w:cs="Arial"/>
          <w:shd w:val="clear" w:color="auto" w:fill="FFFFFF"/>
        </w:rPr>
        <w:t>eneration</w:t>
      </w:r>
      <w:r w:rsidR="001C7389">
        <w:rPr>
          <w:rFonts w:ascii="Arial" w:hAnsi="Arial" w:cs="Arial"/>
          <w:shd w:val="clear" w:color="auto" w:fill="FFFFFF"/>
        </w:rPr>
        <w:t xml:space="preserve"> </w:t>
      </w:r>
      <w:r w:rsidRPr="00CB76DC">
        <w:rPr>
          <w:rFonts w:ascii="Arial" w:hAnsi="Arial" w:cs="Arial"/>
          <w:shd w:val="clear" w:color="auto" w:fill="FFFFFF"/>
        </w:rPr>
        <w:t xml:space="preserve">und rund 28 Prozent </w:t>
      </w:r>
      <w:r w:rsidR="001C7389" w:rsidRPr="00CB76DC">
        <w:rPr>
          <w:rFonts w:ascii="Arial" w:hAnsi="Arial" w:cs="Arial"/>
          <w:shd w:val="clear" w:color="auto" w:fill="FFFFFF"/>
        </w:rPr>
        <w:t xml:space="preserve">waren </w:t>
      </w:r>
      <w:r w:rsidRPr="00CB76DC">
        <w:rPr>
          <w:rFonts w:ascii="Arial" w:hAnsi="Arial" w:cs="Arial"/>
          <w:shd w:val="clear" w:color="auto" w:fill="FFFFFF"/>
        </w:rPr>
        <w:t xml:space="preserve">Mehrgenerationenhaushalte – davon lebte bei 26,9 Prozent die mittlere Generation mit ledigen Kindern zusammen (11 Mio. Haushalte), bei 0,7 Prozent lebte die mittlere Generation mit den Eltern zusammen (266.000 Haushalte) </w:t>
      </w:r>
      <w:r w:rsidRPr="00CB76DC">
        <w:rPr>
          <w:rFonts w:ascii="Arial" w:hAnsi="Arial" w:cs="Arial"/>
          <w:shd w:val="clear" w:color="auto" w:fill="FFFFFF"/>
        </w:rPr>
        <w:lastRenderedPageBreak/>
        <w:t>und bei 0,5 Prozent handelte es sich um Haushalte mit drei oder mehr Generationen</w:t>
      </w:r>
      <w:r w:rsidR="00680823" w:rsidRPr="00CB76DC">
        <w:rPr>
          <w:rFonts w:ascii="Arial" w:hAnsi="Arial" w:cs="Arial"/>
          <w:shd w:val="clear" w:color="auto" w:fill="FFFFFF"/>
        </w:rPr>
        <w:t xml:space="preserve"> (209.000 Haushalte)</w:t>
      </w:r>
      <w:r w:rsidRPr="00CB76DC">
        <w:rPr>
          <w:rFonts w:ascii="Arial" w:hAnsi="Arial" w:cs="Arial"/>
          <w:shd w:val="clear" w:color="auto" w:fill="FFFFFF"/>
        </w:rPr>
        <w:t>.</w:t>
      </w:r>
      <w:r w:rsidR="00CB76DC" w:rsidRPr="00CB76DC">
        <w:rPr>
          <w:rFonts w:ascii="Arial" w:hAnsi="Arial" w:cs="Arial"/>
          <w:shd w:val="clear" w:color="auto" w:fill="FFFFFF"/>
        </w:rPr>
        <w:t xml:space="preserve"> </w:t>
      </w:r>
      <w:r w:rsidRPr="00CB76DC">
        <w:rPr>
          <w:rFonts w:ascii="Arial" w:hAnsi="Arial" w:cs="Arial"/>
          <w:shd w:val="clear" w:color="auto" w:fill="FFFFFF"/>
        </w:rPr>
        <w:t xml:space="preserve">Laut Mikrozensus </w:t>
      </w:r>
      <w:r w:rsidR="004A7728" w:rsidRPr="00CB76DC">
        <w:rPr>
          <w:rFonts w:ascii="Arial" w:hAnsi="Arial" w:cs="Arial"/>
          <w:shd w:val="clear" w:color="auto" w:fill="FFFFFF"/>
        </w:rPr>
        <w:t>gibt es in Deutschland immer weniger Haushalte, in denen drei oder mehr Generationen unter einem Dach leben.</w:t>
      </w:r>
      <w:r w:rsidR="0021007F" w:rsidRPr="00CB76DC">
        <w:rPr>
          <w:rFonts w:ascii="Arial" w:hAnsi="Arial" w:cs="Arial"/>
          <w:shd w:val="clear" w:color="auto" w:fill="FFFFFF"/>
        </w:rPr>
        <w:t xml:space="preserve"> In Westdeutschland wohnten im Jahr 1972 noch in 768.000 Haushalten Eltern mit Kindern, deren Großeltern sowie in seltenen Fällen auch deren Urgroßeltern zusammen.</w:t>
      </w:r>
      <w:r w:rsidR="00CB76DC" w:rsidRPr="00CB76DC">
        <w:rPr>
          <w:rFonts w:ascii="Arial" w:hAnsi="Arial" w:cs="Arial"/>
          <w:shd w:val="clear" w:color="auto" w:fill="FFFFFF"/>
        </w:rPr>
        <w:t xml:space="preserve"> </w:t>
      </w:r>
      <w:r w:rsidR="0021007F" w:rsidRPr="00CB76DC">
        <w:rPr>
          <w:rFonts w:ascii="Arial" w:hAnsi="Arial" w:cs="Arial"/>
          <w:shd w:val="clear" w:color="auto" w:fill="FFFFFF"/>
        </w:rPr>
        <w:t>1995 galt dies in Deutschland nur noch für rund 351.000 Haushalte.</w:t>
      </w:r>
      <w:r w:rsidR="00CB76DC" w:rsidRPr="00CB76DC">
        <w:rPr>
          <w:rFonts w:ascii="Arial" w:hAnsi="Arial" w:cs="Arial"/>
          <w:shd w:val="clear" w:color="auto" w:fill="FFFFFF"/>
        </w:rPr>
        <w:t xml:space="preserve"> </w:t>
      </w:r>
      <w:r w:rsidR="0021007F" w:rsidRPr="00CB76DC">
        <w:rPr>
          <w:rFonts w:ascii="Arial" w:hAnsi="Arial" w:cs="Arial"/>
          <w:shd w:val="clear" w:color="auto" w:fill="FFFFFF"/>
        </w:rPr>
        <w:t>2015 gab es – wie oben beschrieben – noch 209.000 Haushalte mit drei oder mehr Generationen</w:t>
      </w:r>
      <w:r w:rsidR="00CB76DC" w:rsidRPr="00CB76DC">
        <w:rPr>
          <w:rFonts w:ascii="Arial" w:hAnsi="Arial" w:cs="Arial"/>
          <w:shd w:val="clear" w:color="auto" w:fill="FFFFFF"/>
        </w:rPr>
        <w:t xml:space="preserve">. </w:t>
      </w:r>
      <w:r w:rsidR="00A044A3" w:rsidRPr="00A044A3">
        <w:rPr>
          <w:rFonts w:ascii="Arial" w:hAnsi="Arial" w:cs="Arial"/>
          <w:shd w:val="clear" w:color="auto" w:fill="FFFFFF"/>
        </w:rPr>
        <w:t>Der Anteil der Haushalte mit drei oder mehr Generationen an allen Haushalten sank entsprechend von 3,3 Prozent im Jahr 1972 in Westdeutschland auf 1,0 bzw. 0,5 Prozent in den Jahren 1995 bzw. 2015 in Deutschland.</w:t>
      </w:r>
      <w:bookmarkStart w:id="0" w:name="_GoBack"/>
      <w:bookmarkEnd w:id="0"/>
    </w:p>
    <w:p w:rsidR="00CB76DC" w:rsidRPr="00CB76DC" w:rsidRDefault="00CB76DC" w:rsidP="00CB76DC">
      <w:pPr>
        <w:tabs>
          <w:tab w:val="left" w:pos="5529"/>
        </w:tabs>
        <w:rPr>
          <w:rFonts w:ascii="Arial" w:hAnsi="Arial" w:cs="Arial"/>
          <w:shd w:val="clear" w:color="auto" w:fill="FFFFFF"/>
        </w:rPr>
      </w:pPr>
    </w:p>
    <w:p w:rsidR="00670B9F" w:rsidRPr="00CB76DC" w:rsidRDefault="004A7728" w:rsidP="0021007F">
      <w:pPr>
        <w:tabs>
          <w:tab w:val="left" w:pos="5529"/>
        </w:tabs>
        <w:rPr>
          <w:rFonts w:ascii="Arial" w:hAnsi="Arial" w:cs="Arial"/>
          <w:shd w:val="clear" w:color="auto" w:fill="FFFFFF"/>
        </w:rPr>
      </w:pPr>
      <w:r w:rsidRPr="00CB76DC">
        <w:rPr>
          <w:rFonts w:ascii="Arial" w:hAnsi="Arial" w:cs="Arial"/>
          <w:shd w:val="clear" w:color="auto" w:fill="FFFFFF"/>
        </w:rPr>
        <w:t xml:space="preserve">Auch zukünftig erwartet das Statistische Bundesamt eine Fortsetzung des Trends zu kleineren Haushalten: Nach Ergebnissen der Haushaltsvorausberechnung wird der Anteil der Einpersonenhaushalte an allen Haushalten </w:t>
      </w:r>
      <w:r w:rsidR="00FF114B" w:rsidRPr="00CB76DC">
        <w:rPr>
          <w:rFonts w:ascii="Arial" w:hAnsi="Arial" w:cs="Arial"/>
          <w:shd w:val="clear" w:color="auto" w:fill="FFFFFF"/>
        </w:rPr>
        <w:t xml:space="preserve">bis zum Jahr 2040 </w:t>
      </w:r>
      <w:r w:rsidRPr="00CB76DC">
        <w:rPr>
          <w:rFonts w:ascii="Arial" w:hAnsi="Arial" w:cs="Arial"/>
          <w:shd w:val="clear" w:color="auto" w:fill="FFFFFF"/>
        </w:rPr>
        <w:t>auf 4</w:t>
      </w:r>
      <w:r w:rsidR="00FF114B" w:rsidRPr="00CB76DC">
        <w:rPr>
          <w:rFonts w:ascii="Arial" w:hAnsi="Arial" w:cs="Arial"/>
          <w:shd w:val="clear" w:color="auto" w:fill="FFFFFF"/>
        </w:rPr>
        <w:t>5</w:t>
      </w:r>
      <w:r w:rsidRPr="00CB76DC">
        <w:rPr>
          <w:rFonts w:ascii="Arial" w:hAnsi="Arial" w:cs="Arial"/>
          <w:shd w:val="clear" w:color="auto" w:fill="FFFFFF"/>
        </w:rPr>
        <w:t>,</w:t>
      </w:r>
      <w:r w:rsidR="00FF114B" w:rsidRPr="00CB76DC">
        <w:rPr>
          <w:rFonts w:ascii="Arial" w:hAnsi="Arial" w:cs="Arial"/>
          <w:shd w:val="clear" w:color="auto" w:fill="FFFFFF"/>
        </w:rPr>
        <w:t>3</w:t>
      </w:r>
      <w:r w:rsidRPr="00CB76DC">
        <w:rPr>
          <w:rFonts w:ascii="Arial" w:hAnsi="Arial" w:cs="Arial"/>
          <w:shd w:val="clear" w:color="auto" w:fill="FFFFFF"/>
        </w:rPr>
        <w:t xml:space="preserve"> Prozent steigen</w:t>
      </w:r>
      <w:r w:rsidR="00EB1252" w:rsidRPr="00CB76DC">
        <w:rPr>
          <w:rFonts w:ascii="Arial" w:hAnsi="Arial" w:cs="Arial"/>
          <w:shd w:val="clear" w:color="auto" w:fill="FFFFFF"/>
        </w:rPr>
        <w:t xml:space="preserve"> (2019: 42,3 Prozent)</w:t>
      </w:r>
      <w:r w:rsidRPr="00CB76DC">
        <w:rPr>
          <w:rFonts w:ascii="Arial" w:hAnsi="Arial" w:cs="Arial"/>
          <w:shd w:val="clear" w:color="auto" w:fill="FFFFFF"/>
        </w:rPr>
        <w:t xml:space="preserve">. </w:t>
      </w:r>
      <w:r w:rsidR="00FF114B" w:rsidRPr="00CB76DC">
        <w:rPr>
          <w:rFonts w:ascii="Arial" w:hAnsi="Arial" w:cs="Arial"/>
          <w:shd w:val="clear" w:color="auto" w:fill="FFFFFF"/>
        </w:rPr>
        <w:t xml:space="preserve">Der Anteil der </w:t>
      </w:r>
      <w:r w:rsidRPr="00CB76DC">
        <w:rPr>
          <w:rFonts w:ascii="Arial" w:hAnsi="Arial" w:cs="Arial"/>
          <w:shd w:val="clear" w:color="auto" w:fill="FFFFFF"/>
        </w:rPr>
        <w:t>Zweipersonenhaushalte w</w:t>
      </w:r>
      <w:r w:rsidR="00FF114B" w:rsidRPr="00CB76DC">
        <w:rPr>
          <w:rFonts w:ascii="Arial" w:hAnsi="Arial" w:cs="Arial"/>
          <w:shd w:val="clear" w:color="auto" w:fill="FFFFFF"/>
        </w:rPr>
        <w:t>ird sich nach den Berechnungen zunächst leicht erhöhen, dann aber 2040 – wie 2019 – bei 33,2 Prozent liegen. Bei allen anderen hier betrachteten Haushaltstypen werden die Anteile zwischen 2019 und 2040 rück</w:t>
      </w:r>
      <w:r w:rsidR="00A33481" w:rsidRPr="00CB76DC">
        <w:rPr>
          <w:rFonts w:ascii="Arial" w:hAnsi="Arial" w:cs="Arial"/>
          <w:shd w:val="clear" w:color="auto" w:fill="FFFFFF"/>
        </w:rPr>
        <w:t>läufig sein:</w:t>
      </w:r>
      <w:r w:rsidR="00FF114B" w:rsidRPr="00CB76DC">
        <w:rPr>
          <w:rFonts w:ascii="Arial" w:hAnsi="Arial" w:cs="Arial"/>
          <w:shd w:val="clear" w:color="auto" w:fill="FFFFFF"/>
        </w:rPr>
        <w:t xml:space="preserve"> Bei Haushalten mit drei Personen von 11,9 auf 10,3 Prozent, bei vier Personen von 9,1 auf 8,1 Prozent und bei </w:t>
      </w:r>
      <w:r w:rsidRPr="00CB76DC">
        <w:rPr>
          <w:rFonts w:ascii="Arial" w:hAnsi="Arial" w:cs="Arial"/>
          <w:shd w:val="clear" w:color="auto" w:fill="FFFFFF"/>
        </w:rPr>
        <w:t>Haushalte</w:t>
      </w:r>
      <w:r w:rsidR="00FF114B" w:rsidRPr="00CB76DC">
        <w:rPr>
          <w:rFonts w:ascii="Arial" w:hAnsi="Arial" w:cs="Arial"/>
          <w:shd w:val="clear" w:color="auto" w:fill="FFFFFF"/>
        </w:rPr>
        <w:t>n m</w:t>
      </w:r>
      <w:r w:rsidRPr="00CB76DC">
        <w:rPr>
          <w:rFonts w:ascii="Arial" w:hAnsi="Arial" w:cs="Arial"/>
          <w:shd w:val="clear" w:color="auto" w:fill="FFFFFF"/>
        </w:rPr>
        <w:t xml:space="preserve">it </w:t>
      </w:r>
      <w:r w:rsidR="00FF114B" w:rsidRPr="00CB76DC">
        <w:rPr>
          <w:rFonts w:ascii="Arial" w:hAnsi="Arial" w:cs="Arial"/>
          <w:shd w:val="clear" w:color="auto" w:fill="FFFFFF"/>
        </w:rPr>
        <w:t xml:space="preserve">fünf </w:t>
      </w:r>
      <w:r w:rsidR="00B76AFC" w:rsidRPr="00CB76DC">
        <w:rPr>
          <w:rFonts w:ascii="Arial" w:hAnsi="Arial" w:cs="Arial"/>
          <w:shd w:val="clear" w:color="auto" w:fill="FFFFFF"/>
        </w:rPr>
        <w:t xml:space="preserve">oder </w:t>
      </w:r>
      <w:r w:rsidR="00FF114B" w:rsidRPr="00CB76DC">
        <w:rPr>
          <w:rFonts w:ascii="Arial" w:hAnsi="Arial" w:cs="Arial"/>
          <w:shd w:val="clear" w:color="auto" w:fill="FFFFFF"/>
        </w:rPr>
        <w:t xml:space="preserve">mehr </w:t>
      </w:r>
      <w:r w:rsidRPr="00CB76DC">
        <w:rPr>
          <w:rFonts w:ascii="Arial" w:hAnsi="Arial" w:cs="Arial"/>
          <w:shd w:val="clear" w:color="auto" w:fill="FFFFFF"/>
        </w:rPr>
        <w:t xml:space="preserve">Personen </w:t>
      </w:r>
      <w:r w:rsidR="00FF114B" w:rsidRPr="00CB76DC">
        <w:rPr>
          <w:rFonts w:ascii="Arial" w:hAnsi="Arial" w:cs="Arial"/>
          <w:shd w:val="clear" w:color="auto" w:fill="FFFFFF"/>
        </w:rPr>
        <w:t xml:space="preserve">von 3,5 auf </w:t>
      </w:r>
      <w:r w:rsidRPr="00CB76DC">
        <w:rPr>
          <w:rFonts w:ascii="Arial" w:hAnsi="Arial" w:cs="Arial"/>
          <w:shd w:val="clear" w:color="auto" w:fill="FFFFFF"/>
        </w:rPr>
        <w:t>3</w:t>
      </w:r>
      <w:r w:rsidR="00FF114B" w:rsidRPr="00CB76DC">
        <w:rPr>
          <w:rFonts w:ascii="Arial" w:hAnsi="Arial" w:cs="Arial"/>
          <w:shd w:val="clear" w:color="auto" w:fill="FFFFFF"/>
        </w:rPr>
        <w:t>,1</w:t>
      </w:r>
      <w:r w:rsidRPr="00CB76DC">
        <w:rPr>
          <w:rFonts w:ascii="Arial" w:hAnsi="Arial" w:cs="Arial"/>
          <w:shd w:val="clear" w:color="auto" w:fill="FFFFFF"/>
        </w:rPr>
        <w:t xml:space="preserve"> Prozent.</w:t>
      </w:r>
    </w:p>
    <w:p w:rsidR="00CB76DC" w:rsidRPr="00CB76DC" w:rsidRDefault="00CB76DC" w:rsidP="0021007F">
      <w:pPr>
        <w:tabs>
          <w:tab w:val="left" w:pos="5529"/>
        </w:tabs>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Datenquelle</w:t>
      </w:r>
    </w:p>
    <w:p w:rsidR="00130C1E" w:rsidRPr="004A7728" w:rsidRDefault="00130C1E" w:rsidP="004A7728">
      <w:pPr>
        <w:tabs>
          <w:tab w:val="left" w:pos="5529"/>
        </w:tabs>
        <w:rPr>
          <w:rFonts w:ascii="Arial" w:hAnsi="Arial" w:cs="Arial"/>
          <w:shd w:val="clear" w:color="auto" w:fill="FFFFFF"/>
        </w:rPr>
      </w:pPr>
    </w:p>
    <w:p w:rsidR="004A7728" w:rsidRPr="004A7728" w:rsidRDefault="004A7728" w:rsidP="004A7728">
      <w:pPr>
        <w:tabs>
          <w:tab w:val="left" w:pos="5529"/>
        </w:tabs>
        <w:rPr>
          <w:rFonts w:ascii="Arial" w:hAnsi="Arial" w:cs="Arial"/>
          <w:shd w:val="clear" w:color="auto" w:fill="FFFFFF"/>
        </w:rPr>
      </w:pPr>
      <w:r w:rsidRPr="004A7728">
        <w:rPr>
          <w:rFonts w:ascii="Arial" w:hAnsi="Arial" w:cs="Arial"/>
          <w:shd w:val="clear" w:color="auto" w:fill="FFFFFF"/>
        </w:rPr>
        <w:t xml:space="preserve">Statistisches Bundesamt: Mikrozensus </w:t>
      </w:r>
      <w:r w:rsidR="00904CFC">
        <w:rPr>
          <w:rFonts w:ascii="Arial" w:hAnsi="Arial" w:cs="Arial"/>
          <w:shd w:val="clear" w:color="auto" w:fill="FFFFFF"/>
        </w:rPr>
        <w:t xml:space="preserve">2015 und </w:t>
      </w:r>
      <w:r w:rsidRPr="004A7728">
        <w:rPr>
          <w:rFonts w:ascii="Arial" w:hAnsi="Arial" w:cs="Arial"/>
          <w:shd w:val="clear" w:color="auto" w:fill="FFFFFF"/>
        </w:rPr>
        <w:t>2019, Entwicklung der Privathaushalte bis 2040, Annahmen und Ergebnisse der 14. koordinierten Bevölkerungsvorausberechnung, Statistisches Jahrbuch</w:t>
      </w:r>
    </w:p>
    <w:p w:rsidR="00670B9F" w:rsidRPr="004A7728" w:rsidRDefault="00670B9F" w:rsidP="004A7728">
      <w:pPr>
        <w:tabs>
          <w:tab w:val="left" w:pos="5529"/>
        </w:tabs>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130C1E" w:rsidRPr="00362945" w:rsidRDefault="00130C1E" w:rsidP="004A7728">
      <w:pPr>
        <w:tabs>
          <w:tab w:val="left" w:pos="5529"/>
        </w:tabs>
        <w:rPr>
          <w:rFonts w:ascii="Arial" w:hAnsi="Arial" w:cs="Arial"/>
          <w:shd w:val="clear" w:color="auto" w:fill="FFFFFF"/>
        </w:rPr>
      </w:pPr>
    </w:p>
    <w:p w:rsidR="0018769A" w:rsidRPr="00362945" w:rsidRDefault="00DE0A1F" w:rsidP="00DE0A1F">
      <w:pPr>
        <w:tabs>
          <w:tab w:val="left" w:pos="5529"/>
        </w:tabs>
        <w:rPr>
          <w:rFonts w:ascii="Arial" w:hAnsi="Arial" w:cs="Arial"/>
          <w:shd w:val="clear" w:color="auto" w:fill="FFFFFF"/>
        </w:rPr>
      </w:pPr>
      <w:r w:rsidRPr="00362945">
        <w:rPr>
          <w:rFonts w:ascii="Arial" w:hAnsi="Arial" w:cs="Arial"/>
          <w:b/>
          <w:shd w:val="clear" w:color="auto" w:fill="FFFFFF"/>
        </w:rPr>
        <w:t>Kinder</w:t>
      </w:r>
      <w:r w:rsidRPr="00362945">
        <w:rPr>
          <w:rFonts w:ascii="Arial" w:hAnsi="Arial" w:cs="Arial"/>
          <w:shd w:val="clear" w:color="auto" w:fill="FFFFFF"/>
        </w:rPr>
        <w:t> sind hier ledige Personen ohne Lebenspartner bzw. Lebenspartnerin und ohne eigene Kinder im Haushalt, die mit mindestens einem Elternteil in einer Familie zusammenleben. Als Kinder gelten im Mikrozensus – neben leiblichen Kindern – auch Stief-, Adoptiv- und Pflegekinder, sofern die zuvor genannten Voraussetzungen vorliegen. Eine Altersbegrenzung für die Zählung als Kind besteht prinzipiell nicht.</w:t>
      </w:r>
    </w:p>
    <w:p w:rsidR="0018769A" w:rsidRPr="00362945" w:rsidRDefault="0018769A" w:rsidP="00DE0A1F">
      <w:pPr>
        <w:tabs>
          <w:tab w:val="left" w:pos="5529"/>
        </w:tabs>
        <w:rPr>
          <w:rFonts w:ascii="Arial" w:hAnsi="Arial" w:cs="Arial"/>
          <w:shd w:val="clear" w:color="auto" w:fill="FFFFFF"/>
        </w:rPr>
      </w:pPr>
    </w:p>
    <w:p w:rsidR="004A7728" w:rsidRPr="00362945" w:rsidRDefault="004A7728" w:rsidP="004A7728">
      <w:pPr>
        <w:tabs>
          <w:tab w:val="left" w:pos="5529"/>
        </w:tabs>
        <w:rPr>
          <w:rFonts w:ascii="Arial" w:hAnsi="Arial" w:cs="Arial"/>
          <w:shd w:val="clear" w:color="auto" w:fill="FFFFFF"/>
        </w:rPr>
      </w:pPr>
      <w:r w:rsidRPr="00362945">
        <w:rPr>
          <w:rFonts w:ascii="Arial" w:hAnsi="Arial" w:cs="Arial"/>
          <w:b/>
          <w:shd w:val="clear" w:color="auto" w:fill="FFFFFF"/>
        </w:rPr>
        <w:t>Bevölkerung in Privathaushalten:</w:t>
      </w:r>
      <w:r w:rsidRPr="00362945">
        <w:rPr>
          <w:rFonts w:ascii="Arial" w:hAnsi="Arial" w:cs="Arial"/>
          <w:shd w:val="clear" w:color="auto" w:fill="FFFFFF"/>
        </w:rPr>
        <w:t xml:space="preserve"> Für die Darstellung der Haushalte und ihrer Struktur wird die Bevölkerung in Privathaushalten zugrunde gelegt. Hierzu zählen alle Personen, die am Haupt- oder Nebenwohnsitz allein (Einpersonenhaushalt) oder zusammen mit anderen Personen (Mehrpersonenhaushalt) eine wirtschaftliche Einheit (Privathaushalt) bilden. Sie werden auch als Haushaltsmitglieder bezeichnet. Die Bevölkerung in Gemeinschaftsunterkünften (zum Beispiel in Altenheimen) wird nicht berücksichtigt. Da eine Person in mehreren Privathaushalten wohnberechtigt sein kann, sind entsprechend Mehrfachzählungen möglich. So ist zum Beispiel der abwesende Haupteinkommensbezieher des Haushalts, der in einer anderen Gemeinde arbeitet und dort als Untermieter eine zweite Wohnung hat, Angehöriger von zwei Haushalten. Einmal zählt er zum Haushalt seiner Familie, zum anderen bildet er als Untermieter einen weiteren Haushalt. Da an jedem Wohnsitz Wohnraum und Infrastruktureinrichtungen in Anspruch genommen werden, wird üblicherweise nicht nach Haupt- und Nebenwohnsitz unterschieden. Jedoch sollten je nach Fragestellung ausschließlich Haushalte am Hauptwohnsitz betrachtet werden, um Mehrfachzählungen zu vermeiden. </w:t>
      </w:r>
    </w:p>
    <w:p w:rsidR="004A7728" w:rsidRPr="00362945" w:rsidRDefault="004A7728" w:rsidP="004A7728">
      <w:pPr>
        <w:tabs>
          <w:tab w:val="left" w:pos="5529"/>
        </w:tabs>
        <w:rPr>
          <w:rFonts w:ascii="Arial" w:hAnsi="Arial" w:cs="Arial"/>
          <w:shd w:val="clear" w:color="auto" w:fill="FFFFFF"/>
        </w:rPr>
      </w:pPr>
    </w:p>
    <w:p w:rsidR="004A7728" w:rsidRPr="00362945" w:rsidRDefault="004A7728" w:rsidP="004A7728">
      <w:pPr>
        <w:tabs>
          <w:tab w:val="left" w:pos="5529"/>
        </w:tabs>
        <w:rPr>
          <w:rFonts w:ascii="Arial" w:hAnsi="Arial" w:cs="Arial"/>
          <w:shd w:val="clear" w:color="auto" w:fill="FFFFFF"/>
        </w:rPr>
      </w:pPr>
      <w:r w:rsidRPr="00362945">
        <w:rPr>
          <w:rFonts w:ascii="Arial" w:hAnsi="Arial" w:cs="Arial"/>
          <w:shd w:val="clear" w:color="auto" w:fill="FFFFFF"/>
        </w:rPr>
        <w:t xml:space="preserve">Für die künftige </w:t>
      </w:r>
      <w:r w:rsidRPr="00362945">
        <w:rPr>
          <w:rFonts w:ascii="Arial" w:hAnsi="Arial" w:cs="Arial"/>
          <w:b/>
          <w:shd w:val="clear" w:color="auto" w:fill="FFFFFF"/>
        </w:rPr>
        <w:t>Entwicklung der Privathaushalte</w:t>
      </w:r>
      <w:r w:rsidRPr="00362945">
        <w:rPr>
          <w:rFonts w:ascii="Arial" w:hAnsi="Arial" w:cs="Arial"/>
          <w:shd w:val="clear" w:color="auto" w:fill="FFFFFF"/>
        </w:rPr>
        <w:t xml:space="preserve"> ist die Alters- und Geschlechtsstruktur der Haushaltsmitglieder in den Jahren </w:t>
      </w:r>
      <w:r w:rsidRPr="00362945">
        <w:rPr>
          <w:rFonts w:ascii="Arial" w:hAnsi="Arial" w:cs="Arial"/>
          <w:b/>
          <w:shd w:val="clear" w:color="auto" w:fill="FFFFFF"/>
        </w:rPr>
        <w:t>2019 bis 2040</w:t>
      </w:r>
      <w:r w:rsidRPr="00362945">
        <w:rPr>
          <w:rFonts w:ascii="Arial" w:hAnsi="Arial" w:cs="Arial"/>
          <w:shd w:val="clear" w:color="auto" w:fill="FFFFFF"/>
        </w:rPr>
        <w:t xml:space="preserve"> maßgeblich. Dieser liegen die Annahmen bzw. Ergebnisse der Variante 2 der 14. koordinierten Bevölkerungsvorausberechnung zugrunde: Moderate Entwicklung der Geburtenhäufigkeit, der Lebenserwartung und der (Zu-)Wanderung (Variante 2 / G2-L2-W2). Bei der sogenannten und hier abgebildeten </w:t>
      </w:r>
      <w:r w:rsidRPr="00362945">
        <w:rPr>
          <w:rFonts w:ascii="Arial" w:hAnsi="Arial" w:cs="Arial"/>
          <w:b/>
          <w:shd w:val="clear" w:color="auto" w:fill="FFFFFF"/>
        </w:rPr>
        <w:t>Trendvariante</w:t>
      </w:r>
      <w:r w:rsidRPr="00362945">
        <w:rPr>
          <w:rFonts w:ascii="Arial" w:hAnsi="Arial" w:cs="Arial"/>
          <w:shd w:val="clear" w:color="auto" w:fill="FFFFFF"/>
        </w:rPr>
        <w:t xml:space="preserve"> der </w:t>
      </w:r>
      <w:r w:rsidRPr="00362945">
        <w:rPr>
          <w:rFonts w:ascii="Arial" w:hAnsi="Arial" w:cs="Arial"/>
          <w:b/>
          <w:shd w:val="clear" w:color="auto" w:fill="FFFFFF"/>
        </w:rPr>
        <w:t>Haushaltsvorausberechnung</w:t>
      </w:r>
      <w:r w:rsidRPr="00362945">
        <w:rPr>
          <w:rFonts w:ascii="Arial" w:hAnsi="Arial" w:cs="Arial"/>
          <w:shd w:val="clear" w:color="auto" w:fill="FFFFFF"/>
        </w:rPr>
        <w:t xml:space="preserve"> wird davon ausgegangen, dass sich das Haushaltsbildungsverhalten entlang bisher beobachteter Trends entwickelt. Gleichzeitig werden Verhaltensänderungen – wie zum Beispiel die seit einigen Jahren zu beobachtende Zunahme der Eheschließungen und Geburten – berücksichtigt.</w:t>
      </w:r>
    </w:p>
    <w:p w:rsidR="004A7728" w:rsidRPr="00362945" w:rsidRDefault="004A7728" w:rsidP="004A7728">
      <w:pPr>
        <w:tabs>
          <w:tab w:val="left" w:pos="5529"/>
        </w:tabs>
        <w:rPr>
          <w:rFonts w:ascii="Arial" w:hAnsi="Arial" w:cs="Arial"/>
          <w:shd w:val="clear" w:color="auto" w:fill="FFFFFF"/>
        </w:rPr>
      </w:pPr>
    </w:p>
    <w:p w:rsidR="001C7389" w:rsidRDefault="004A7728" w:rsidP="004A7728">
      <w:pPr>
        <w:tabs>
          <w:tab w:val="left" w:pos="5529"/>
        </w:tabs>
        <w:rPr>
          <w:rFonts w:ascii="Arial" w:hAnsi="Arial" w:cs="Arial"/>
          <w:shd w:val="clear" w:color="auto" w:fill="FFFFFF"/>
        </w:rPr>
      </w:pPr>
      <w:r w:rsidRPr="00362945">
        <w:rPr>
          <w:rFonts w:ascii="Arial" w:hAnsi="Arial" w:cs="Arial"/>
          <w:b/>
          <w:shd w:val="clear" w:color="auto" w:fill="FFFFFF"/>
        </w:rPr>
        <w:t>Hinweis:</w:t>
      </w:r>
      <w:r w:rsidRPr="00362945">
        <w:rPr>
          <w:rFonts w:ascii="Arial" w:hAnsi="Arial" w:cs="Arial"/>
          <w:shd w:val="clear" w:color="auto" w:fill="FFFFFF"/>
        </w:rPr>
        <w:t xml:space="preserve"> Die langfristigen </w:t>
      </w:r>
      <w:r w:rsidRPr="00362945">
        <w:rPr>
          <w:rFonts w:ascii="Arial" w:hAnsi="Arial" w:cs="Arial"/>
          <w:b/>
          <w:shd w:val="clear" w:color="auto" w:fill="FFFFFF"/>
        </w:rPr>
        <w:t>Bevölkerungsvorausberechnungen</w:t>
      </w:r>
      <w:r w:rsidRPr="00362945">
        <w:rPr>
          <w:rFonts w:ascii="Arial" w:hAnsi="Arial" w:cs="Arial"/>
          <w:shd w:val="clear" w:color="auto" w:fill="FFFFFF"/>
        </w:rPr>
        <w:t> sind keine Prognosen, sondern liefern "Wenn-Dann-Aussagen". Sie gehen vom gegenwärtigen Altersaufbau aus und setzen die jeweils beschriebenen Annahmen um.</w:t>
      </w:r>
      <w:r w:rsidRPr="00362945">
        <w:rPr>
          <w:rFonts w:ascii="Arial" w:hAnsi="Arial" w:cs="Arial"/>
          <w:shd w:val="clear" w:color="auto" w:fill="FFFFFF"/>
        </w:rPr>
        <w:br/>
      </w:r>
      <w:r w:rsidRPr="00362945">
        <w:rPr>
          <w:rFonts w:ascii="Arial" w:hAnsi="Arial" w:cs="Arial"/>
          <w:shd w:val="clear" w:color="auto" w:fill="FFFFFF"/>
        </w:rPr>
        <w:br/>
      </w:r>
      <w:r w:rsidRPr="00362945">
        <w:rPr>
          <w:rFonts w:ascii="Arial" w:hAnsi="Arial" w:cs="Arial"/>
          <w:b/>
          <w:shd w:val="clear" w:color="auto" w:fill="FFFFFF"/>
        </w:rPr>
        <w:t>Weitere Informationen zur Bevölkerungsvorausberechnungen</w:t>
      </w:r>
      <w:r w:rsidRPr="00362945">
        <w:rPr>
          <w:rFonts w:ascii="Arial" w:hAnsi="Arial" w:cs="Arial"/>
          <w:shd w:val="clear" w:color="auto" w:fill="FFFFFF"/>
        </w:rPr>
        <w:t xml:space="preserve"> finden Sie hier: </w:t>
      </w:r>
      <w:hyperlink r:id="rId6" w:history="1">
        <w:r w:rsidR="001C7389" w:rsidRPr="00E60A48">
          <w:rPr>
            <w:rStyle w:val="Hyperlink"/>
            <w:rFonts w:ascii="Arial" w:hAnsi="Arial" w:cs="Arial"/>
            <w:shd w:val="clear" w:color="auto" w:fill="FFFFFF"/>
          </w:rPr>
          <w:t>https://www.bpb.de/61541</w:t>
        </w:r>
      </w:hyperlink>
    </w:p>
    <w:p w:rsidR="004A7728" w:rsidRPr="00362945" w:rsidRDefault="004A7728" w:rsidP="004A7728">
      <w:pPr>
        <w:tabs>
          <w:tab w:val="left" w:pos="5529"/>
        </w:tabs>
        <w:rPr>
          <w:rFonts w:ascii="Arial" w:hAnsi="Arial" w:cs="Arial"/>
          <w:shd w:val="clear" w:color="auto" w:fill="FFFFFF"/>
        </w:rPr>
      </w:pPr>
    </w:p>
    <w:p w:rsidR="001B7D15" w:rsidRPr="00362945" w:rsidRDefault="001B7D15" w:rsidP="001B7D15">
      <w:pPr>
        <w:rPr>
          <w:rFonts w:ascii="Arial" w:hAnsi="Arial" w:cs="Arial"/>
          <w:sz w:val="20"/>
          <w:szCs w:val="20"/>
        </w:rPr>
      </w:pPr>
      <w:r w:rsidRPr="00362945">
        <w:rPr>
          <w:rFonts w:ascii="Arial" w:hAnsi="Arial" w:cs="Arial"/>
          <w:sz w:val="20"/>
          <w:szCs w:val="20"/>
        </w:rPr>
        <w:t xml:space="preserve">Dieser Text ist unter der Creative Commons Lizenz </w:t>
      </w:r>
      <w:hyperlink r:id="rId7" w:tgtFrame="extern" w:history="1">
        <w:r w:rsidRPr="00362945">
          <w:rPr>
            <w:rFonts w:ascii="Arial" w:hAnsi="Arial" w:cs="Arial"/>
            <w:sz w:val="20"/>
            <w:szCs w:val="20"/>
          </w:rPr>
          <w:t>by-nc-nd/3.0/de/</w:t>
        </w:r>
      </w:hyperlink>
      <w:r w:rsidRPr="00362945">
        <w:rPr>
          <w:rFonts w:ascii="Arial" w:hAnsi="Arial" w:cs="Arial"/>
          <w:sz w:val="20"/>
          <w:szCs w:val="20"/>
        </w:rPr>
        <w:t xml:space="preserve"> veröffentlicht. </w:t>
      </w:r>
    </w:p>
    <w:p w:rsidR="001B7D15" w:rsidRPr="00362945" w:rsidRDefault="001B7D15">
      <w:pPr>
        <w:rPr>
          <w:rFonts w:ascii="Arial" w:hAnsi="Arial" w:cs="Arial"/>
          <w:i/>
        </w:rPr>
      </w:pPr>
      <w:r w:rsidRPr="00362945">
        <w:rPr>
          <w:rFonts w:ascii="Arial" w:hAnsi="Arial" w:cs="Arial"/>
          <w:sz w:val="20"/>
          <w:szCs w:val="20"/>
        </w:rPr>
        <w:t>Bundeszentrale für politische Bildung 20</w:t>
      </w:r>
      <w:r w:rsidR="00BD5C4D" w:rsidRPr="00362945">
        <w:rPr>
          <w:rFonts w:ascii="Arial" w:hAnsi="Arial" w:cs="Arial"/>
          <w:sz w:val="20"/>
          <w:szCs w:val="20"/>
        </w:rPr>
        <w:t>2</w:t>
      </w:r>
      <w:r w:rsidR="00D85712">
        <w:rPr>
          <w:rFonts w:ascii="Arial" w:hAnsi="Arial" w:cs="Arial"/>
          <w:sz w:val="20"/>
          <w:szCs w:val="20"/>
        </w:rPr>
        <w:t>1</w:t>
      </w:r>
      <w:r w:rsidRPr="00362945">
        <w:rPr>
          <w:rFonts w:ascii="Arial" w:hAnsi="Arial" w:cs="Arial"/>
          <w:sz w:val="20"/>
          <w:szCs w:val="20"/>
        </w:rPr>
        <w:t xml:space="preserve"> | </w:t>
      </w:r>
      <w:hyperlink r:id="rId8" w:history="1">
        <w:r w:rsidRPr="00362945">
          <w:rPr>
            <w:rFonts w:ascii="Arial" w:hAnsi="Arial" w:cs="Arial"/>
            <w:sz w:val="20"/>
            <w:szCs w:val="20"/>
          </w:rPr>
          <w:t>www.bpb.de</w:t>
        </w:r>
      </w:hyperlink>
    </w:p>
    <w:sectPr w:rsidR="001B7D15" w:rsidRPr="003629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NormalLF-Roman">
    <w:altName w:val="MetaNormalLF-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46C51"/>
    <w:multiLevelType w:val="hybridMultilevel"/>
    <w:tmpl w:val="E88287B0"/>
    <w:lvl w:ilvl="0" w:tplc="C11616E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5792D"/>
    <w:rsid w:val="00070D8B"/>
    <w:rsid w:val="00076264"/>
    <w:rsid w:val="0009167D"/>
    <w:rsid w:val="000A06C1"/>
    <w:rsid w:val="000A20AA"/>
    <w:rsid w:val="000A7F9D"/>
    <w:rsid w:val="000C5877"/>
    <w:rsid w:val="000C730A"/>
    <w:rsid w:val="000E2813"/>
    <w:rsid w:val="000F5548"/>
    <w:rsid w:val="000F55F6"/>
    <w:rsid w:val="00101A74"/>
    <w:rsid w:val="00104423"/>
    <w:rsid w:val="0010712C"/>
    <w:rsid w:val="00111F49"/>
    <w:rsid w:val="001200F4"/>
    <w:rsid w:val="001221A4"/>
    <w:rsid w:val="001269EF"/>
    <w:rsid w:val="00130C1E"/>
    <w:rsid w:val="00131293"/>
    <w:rsid w:val="00163721"/>
    <w:rsid w:val="001662E8"/>
    <w:rsid w:val="001713B1"/>
    <w:rsid w:val="001715AF"/>
    <w:rsid w:val="00171D83"/>
    <w:rsid w:val="0017448A"/>
    <w:rsid w:val="00174B87"/>
    <w:rsid w:val="00183A44"/>
    <w:rsid w:val="001863C2"/>
    <w:rsid w:val="00186DC5"/>
    <w:rsid w:val="0018769A"/>
    <w:rsid w:val="001963EF"/>
    <w:rsid w:val="001B606B"/>
    <w:rsid w:val="001B7D15"/>
    <w:rsid w:val="001C7389"/>
    <w:rsid w:val="001D198C"/>
    <w:rsid w:val="001D7E07"/>
    <w:rsid w:val="001E5E13"/>
    <w:rsid w:val="001F0077"/>
    <w:rsid w:val="001F7F43"/>
    <w:rsid w:val="0021007F"/>
    <w:rsid w:val="00212FA5"/>
    <w:rsid w:val="0021766E"/>
    <w:rsid w:val="002322C4"/>
    <w:rsid w:val="00236386"/>
    <w:rsid w:val="00244199"/>
    <w:rsid w:val="00244394"/>
    <w:rsid w:val="00260769"/>
    <w:rsid w:val="00262C01"/>
    <w:rsid w:val="00266714"/>
    <w:rsid w:val="002676AC"/>
    <w:rsid w:val="002766B9"/>
    <w:rsid w:val="0028024F"/>
    <w:rsid w:val="002B5C93"/>
    <w:rsid w:val="002C242C"/>
    <w:rsid w:val="002E7D46"/>
    <w:rsid w:val="00315B29"/>
    <w:rsid w:val="0033468F"/>
    <w:rsid w:val="00347516"/>
    <w:rsid w:val="00347E88"/>
    <w:rsid w:val="00362945"/>
    <w:rsid w:val="00363D8E"/>
    <w:rsid w:val="003657B1"/>
    <w:rsid w:val="003709F8"/>
    <w:rsid w:val="0038111C"/>
    <w:rsid w:val="003A6FDC"/>
    <w:rsid w:val="003B1043"/>
    <w:rsid w:val="003B2FF1"/>
    <w:rsid w:val="003B5A46"/>
    <w:rsid w:val="003C125F"/>
    <w:rsid w:val="003C1F2C"/>
    <w:rsid w:val="003D3ABC"/>
    <w:rsid w:val="003E0426"/>
    <w:rsid w:val="003E0C4A"/>
    <w:rsid w:val="003E25B4"/>
    <w:rsid w:val="003F711C"/>
    <w:rsid w:val="00402B2C"/>
    <w:rsid w:val="004210B3"/>
    <w:rsid w:val="004242F8"/>
    <w:rsid w:val="004250EE"/>
    <w:rsid w:val="00425117"/>
    <w:rsid w:val="004543A4"/>
    <w:rsid w:val="004554C0"/>
    <w:rsid w:val="00455ECF"/>
    <w:rsid w:val="00460C51"/>
    <w:rsid w:val="00464F29"/>
    <w:rsid w:val="0046791C"/>
    <w:rsid w:val="004715C5"/>
    <w:rsid w:val="004731E5"/>
    <w:rsid w:val="00473F5D"/>
    <w:rsid w:val="00475AB8"/>
    <w:rsid w:val="0047765A"/>
    <w:rsid w:val="00477EBE"/>
    <w:rsid w:val="00494DF9"/>
    <w:rsid w:val="004A2795"/>
    <w:rsid w:val="004A6A0F"/>
    <w:rsid w:val="004A7728"/>
    <w:rsid w:val="004D59F0"/>
    <w:rsid w:val="004E6618"/>
    <w:rsid w:val="004F0DF6"/>
    <w:rsid w:val="004F2EB9"/>
    <w:rsid w:val="004F5774"/>
    <w:rsid w:val="00511DC5"/>
    <w:rsid w:val="0051310F"/>
    <w:rsid w:val="00514A82"/>
    <w:rsid w:val="005234DF"/>
    <w:rsid w:val="005533BA"/>
    <w:rsid w:val="005557C5"/>
    <w:rsid w:val="00563462"/>
    <w:rsid w:val="00577775"/>
    <w:rsid w:val="00594628"/>
    <w:rsid w:val="005A001F"/>
    <w:rsid w:val="005B4D9E"/>
    <w:rsid w:val="005C7778"/>
    <w:rsid w:val="005E5C94"/>
    <w:rsid w:val="005F7382"/>
    <w:rsid w:val="00617540"/>
    <w:rsid w:val="00625C9B"/>
    <w:rsid w:val="00652ACF"/>
    <w:rsid w:val="00652DD2"/>
    <w:rsid w:val="006556F0"/>
    <w:rsid w:val="00670B9F"/>
    <w:rsid w:val="00680823"/>
    <w:rsid w:val="0068567A"/>
    <w:rsid w:val="006A3317"/>
    <w:rsid w:val="006B1677"/>
    <w:rsid w:val="006B2F04"/>
    <w:rsid w:val="0070122C"/>
    <w:rsid w:val="00722C39"/>
    <w:rsid w:val="00740C0E"/>
    <w:rsid w:val="00740E33"/>
    <w:rsid w:val="00743840"/>
    <w:rsid w:val="007443B1"/>
    <w:rsid w:val="00756A6D"/>
    <w:rsid w:val="007611C9"/>
    <w:rsid w:val="00766238"/>
    <w:rsid w:val="00781B6F"/>
    <w:rsid w:val="00793840"/>
    <w:rsid w:val="007955B3"/>
    <w:rsid w:val="007B4AD0"/>
    <w:rsid w:val="007C3B7D"/>
    <w:rsid w:val="007C3EFF"/>
    <w:rsid w:val="007D3B72"/>
    <w:rsid w:val="007E347B"/>
    <w:rsid w:val="007E4236"/>
    <w:rsid w:val="007E4C5C"/>
    <w:rsid w:val="007E7424"/>
    <w:rsid w:val="007F4155"/>
    <w:rsid w:val="00812651"/>
    <w:rsid w:val="0082696E"/>
    <w:rsid w:val="00833813"/>
    <w:rsid w:val="00833EB8"/>
    <w:rsid w:val="00835E1B"/>
    <w:rsid w:val="00841E79"/>
    <w:rsid w:val="00841ECF"/>
    <w:rsid w:val="00843264"/>
    <w:rsid w:val="0085672F"/>
    <w:rsid w:val="008579A4"/>
    <w:rsid w:val="0086092F"/>
    <w:rsid w:val="00864E6C"/>
    <w:rsid w:val="00873C14"/>
    <w:rsid w:val="0088239F"/>
    <w:rsid w:val="00892026"/>
    <w:rsid w:val="008A292E"/>
    <w:rsid w:val="008B2910"/>
    <w:rsid w:val="008C59DD"/>
    <w:rsid w:val="008D0676"/>
    <w:rsid w:val="008D0CEB"/>
    <w:rsid w:val="008E0F4F"/>
    <w:rsid w:val="008E550C"/>
    <w:rsid w:val="008F0AFB"/>
    <w:rsid w:val="008F6321"/>
    <w:rsid w:val="00904CFC"/>
    <w:rsid w:val="009135B0"/>
    <w:rsid w:val="009172BE"/>
    <w:rsid w:val="009219CE"/>
    <w:rsid w:val="00922D13"/>
    <w:rsid w:val="00932EC5"/>
    <w:rsid w:val="009418DE"/>
    <w:rsid w:val="00947363"/>
    <w:rsid w:val="00950462"/>
    <w:rsid w:val="0095097C"/>
    <w:rsid w:val="00957E65"/>
    <w:rsid w:val="009635A6"/>
    <w:rsid w:val="00986482"/>
    <w:rsid w:val="0099599B"/>
    <w:rsid w:val="00997809"/>
    <w:rsid w:val="009A01C9"/>
    <w:rsid w:val="009A39DD"/>
    <w:rsid w:val="009B34B6"/>
    <w:rsid w:val="009C7AE9"/>
    <w:rsid w:val="009E0BFE"/>
    <w:rsid w:val="009E3A9C"/>
    <w:rsid w:val="009E5785"/>
    <w:rsid w:val="009F1743"/>
    <w:rsid w:val="00A02BCC"/>
    <w:rsid w:val="00A044A3"/>
    <w:rsid w:val="00A14D4F"/>
    <w:rsid w:val="00A20379"/>
    <w:rsid w:val="00A233ED"/>
    <w:rsid w:val="00A235C6"/>
    <w:rsid w:val="00A30C39"/>
    <w:rsid w:val="00A33481"/>
    <w:rsid w:val="00A3520F"/>
    <w:rsid w:val="00A36099"/>
    <w:rsid w:val="00A37E7C"/>
    <w:rsid w:val="00A432B9"/>
    <w:rsid w:val="00A563F5"/>
    <w:rsid w:val="00A665D1"/>
    <w:rsid w:val="00A853E6"/>
    <w:rsid w:val="00A86D33"/>
    <w:rsid w:val="00AA1895"/>
    <w:rsid w:val="00AC341D"/>
    <w:rsid w:val="00AC61BA"/>
    <w:rsid w:val="00AD308A"/>
    <w:rsid w:val="00AD5A2B"/>
    <w:rsid w:val="00AD7565"/>
    <w:rsid w:val="00AE5CDF"/>
    <w:rsid w:val="00AE73D2"/>
    <w:rsid w:val="00B046F9"/>
    <w:rsid w:val="00B12CD0"/>
    <w:rsid w:val="00B15B38"/>
    <w:rsid w:val="00B226E7"/>
    <w:rsid w:val="00B26333"/>
    <w:rsid w:val="00B32082"/>
    <w:rsid w:val="00B330D7"/>
    <w:rsid w:val="00B33419"/>
    <w:rsid w:val="00B4297E"/>
    <w:rsid w:val="00B5275D"/>
    <w:rsid w:val="00B6099E"/>
    <w:rsid w:val="00B71F66"/>
    <w:rsid w:val="00B73F14"/>
    <w:rsid w:val="00B74018"/>
    <w:rsid w:val="00B76AFC"/>
    <w:rsid w:val="00B812AB"/>
    <w:rsid w:val="00B92EDB"/>
    <w:rsid w:val="00BA27C4"/>
    <w:rsid w:val="00BA37F8"/>
    <w:rsid w:val="00BC349A"/>
    <w:rsid w:val="00BC5FEF"/>
    <w:rsid w:val="00BC60BC"/>
    <w:rsid w:val="00BD1D69"/>
    <w:rsid w:val="00BD5C4D"/>
    <w:rsid w:val="00BF2D38"/>
    <w:rsid w:val="00BF5551"/>
    <w:rsid w:val="00C23848"/>
    <w:rsid w:val="00C32A40"/>
    <w:rsid w:val="00C33977"/>
    <w:rsid w:val="00C46A1D"/>
    <w:rsid w:val="00C5712E"/>
    <w:rsid w:val="00C7374E"/>
    <w:rsid w:val="00C832FB"/>
    <w:rsid w:val="00C83F01"/>
    <w:rsid w:val="00C878A1"/>
    <w:rsid w:val="00CA5D69"/>
    <w:rsid w:val="00CB76DC"/>
    <w:rsid w:val="00CC5C8D"/>
    <w:rsid w:val="00CC7933"/>
    <w:rsid w:val="00CD4881"/>
    <w:rsid w:val="00CD6A06"/>
    <w:rsid w:val="00CE6004"/>
    <w:rsid w:val="00CF2201"/>
    <w:rsid w:val="00CF3BF7"/>
    <w:rsid w:val="00D013B8"/>
    <w:rsid w:val="00D10100"/>
    <w:rsid w:val="00D17469"/>
    <w:rsid w:val="00D205AB"/>
    <w:rsid w:val="00D23393"/>
    <w:rsid w:val="00D239C1"/>
    <w:rsid w:val="00D4298E"/>
    <w:rsid w:val="00D50139"/>
    <w:rsid w:val="00D6551E"/>
    <w:rsid w:val="00D67563"/>
    <w:rsid w:val="00D701D7"/>
    <w:rsid w:val="00D85712"/>
    <w:rsid w:val="00D90271"/>
    <w:rsid w:val="00D93A5A"/>
    <w:rsid w:val="00DA0F72"/>
    <w:rsid w:val="00DB1472"/>
    <w:rsid w:val="00DC1022"/>
    <w:rsid w:val="00DE0A1F"/>
    <w:rsid w:val="00DE45D7"/>
    <w:rsid w:val="00DF4935"/>
    <w:rsid w:val="00E00807"/>
    <w:rsid w:val="00E120DD"/>
    <w:rsid w:val="00E17263"/>
    <w:rsid w:val="00E51154"/>
    <w:rsid w:val="00E771E2"/>
    <w:rsid w:val="00E87B35"/>
    <w:rsid w:val="00EB0E7B"/>
    <w:rsid w:val="00EB1252"/>
    <w:rsid w:val="00ED0C9F"/>
    <w:rsid w:val="00ED7BBC"/>
    <w:rsid w:val="00EE5A3C"/>
    <w:rsid w:val="00EF2F99"/>
    <w:rsid w:val="00F02304"/>
    <w:rsid w:val="00F0757C"/>
    <w:rsid w:val="00F14B2A"/>
    <w:rsid w:val="00F20B03"/>
    <w:rsid w:val="00F23DFF"/>
    <w:rsid w:val="00F33357"/>
    <w:rsid w:val="00F35780"/>
    <w:rsid w:val="00F56CBA"/>
    <w:rsid w:val="00F62A17"/>
    <w:rsid w:val="00F71E76"/>
    <w:rsid w:val="00F833D1"/>
    <w:rsid w:val="00F86A3C"/>
    <w:rsid w:val="00FA4969"/>
    <w:rsid w:val="00FB357F"/>
    <w:rsid w:val="00FB4674"/>
    <w:rsid w:val="00FC2A30"/>
    <w:rsid w:val="00FE060A"/>
    <w:rsid w:val="00FF114B"/>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Listenabsatz">
    <w:name w:val="List Paragraph"/>
    <w:basedOn w:val="Standard"/>
    <w:uiPriority w:val="34"/>
    <w:qFormat/>
    <w:rsid w:val="00B71F66"/>
    <w:pPr>
      <w:ind w:left="720"/>
      <w:contextualSpacing/>
    </w:pPr>
  </w:style>
  <w:style w:type="paragraph" w:customStyle="1" w:styleId="Default">
    <w:name w:val="Default"/>
    <w:rsid w:val="007611C9"/>
    <w:pPr>
      <w:autoSpaceDE w:val="0"/>
      <w:autoSpaceDN w:val="0"/>
      <w:adjustRightInd w:val="0"/>
    </w:pPr>
    <w:rPr>
      <w:rFonts w:ascii="MetaNormalLF-Roman" w:hAnsi="MetaNormalLF-Roman" w:cs="MetaNormalLF-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Listenabsatz">
    <w:name w:val="List Paragraph"/>
    <w:basedOn w:val="Standard"/>
    <w:uiPriority w:val="34"/>
    <w:qFormat/>
    <w:rsid w:val="00B71F66"/>
    <w:pPr>
      <w:ind w:left="720"/>
      <w:contextualSpacing/>
    </w:pPr>
  </w:style>
  <w:style w:type="paragraph" w:customStyle="1" w:styleId="Default">
    <w:name w:val="Default"/>
    <w:rsid w:val="007611C9"/>
    <w:pPr>
      <w:autoSpaceDE w:val="0"/>
      <w:autoSpaceDN w:val="0"/>
      <w:adjustRightInd w:val="0"/>
    </w:pPr>
    <w:rPr>
      <w:rFonts w:ascii="MetaNormalLF-Roman" w:hAnsi="MetaNormalLF-Roman" w:cs="MetaNormalLF-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3" Type="http://schemas.microsoft.com/office/2007/relationships/stylesWithEffects" Target="stylesWithEffects.xml"/><Relationship Id="rId7" Type="http://schemas.openxmlformats.org/officeDocument/2006/relationships/hyperlink" Target="http://creativecommons.org/licenses/by-nc-nd/3.0/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pb.de/61541"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6933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4</cp:revision>
  <dcterms:created xsi:type="dcterms:W3CDTF">2021-03-02T15:57:00Z</dcterms:created>
  <dcterms:modified xsi:type="dcterms:W3CDTF">2021-03-25T10:01:00Z</dcterms:modified>
</cp:coreProperties>
</file>