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4FA" w:rsidRPr="00670B9F" w:rsidRDefault="006952E5" w:rsidP="009375C5">
      <w:pPr>
        <w:tabs>
          <w:tab w:val="left" w:pos="8505"/>
        </w:tabs>
        <w:rPr>
          <w:rFonts w:ascii="Arial" w:hAnsi="Arial" w:cs="Arial"/>
          <w:b/>
          <w:shd w:val="clear" w:color="auto" w:fill="FFFFFF"/>
        </w:rPr>
      </w:pPr>
      <w:r>
        <w:rPr>
          <w:rFonts w:ascii="Arial" w:hAnsi="Arial" w:cs="Arial"/>
          <w:b/>
          <w:shd w:val="clear" w:color="auto" w:fill="FFFFFF"/>
        </w:rPr>
        <w:t>Sowohl in West</w:t>
      </w:r>
      <w:r w:rsidR="00DF3043">
        <w:rPr>
          <w:rFonts w:ascii="Arial" w:hAnsi="Arial" w:cs="Arial"/>
          <w:b/>
          <w:shd w:val="clear" w:color="auto" w:fill="FFFFFF"/>
        </w:rPr>
        <w:t xml:space="preserve">- </w:t>
      </w:r>
      <w:r>
        <w:rPr>
          <w:rFonts w:ascii="Arial" w:hAnsi="Arial" w:cs="Arial"/>
          <w:b/>
          <w:shd w:val="clear" w:color="auto" w:fill="FFFFFF"/>
        </w:rPr>
        <w:t xml:space="preserve">als auch in Ostdeutschland hat sich in den letzten drei Jahrzehnten der Anteil der </w:t>
      </w:r>
      <w:r w:rsidRPr="006952E5">
        <w:rPr>
          <w:rFonts w:ascii="Arial" w:hAnsi="Arial" w:cs="Arial"/>
          <w:b/>
          <w:shd w:val="clear" w:color="auto" w:fill="FFFFFF"/>
        </w:rPr>
        <w:t>Einpersonenhaushalte an allen Haushalten</w:t>
      </w:r>
      <w:r w:rsidR="002D3ED7">
        <w:rPr>
          <w:rFonts w:ascii="Arial" w:hAnsi="Arial" w:cs="Arial"/>
          <w:b/>
          <w:shd w:val="clear" w:color="auto" w:fill="FFFFFF"/>
        </w:rPr>
        <w:t xml:space="preserve"> stetig erhöht. Bei den </w:t>
      </w:r>
      <w:r w:rsidR="002D3ED7" w:rsidRPr="002D3ED7">
        <w:rPr>
          <w:rFonts w:ascii="Arial" w:hAnsi="Arial" w:cs="Arial"/>
          <w:b/>
          <w:shd w:val="clear" w:color="auto" w:fill="FFFFFF"/>
        </w:rPr>
        <w:t xml:space="preserve">Mehrpersonenhaushalten ist der Anteil der kinderlosen Haushalte stabil geblieben, der Anteil </w:t>
      </w:r>
      <w:r w:rsidR="00EA4813">
        <w:rPr>
          <w:rFonts w:ascii="Arial" w:hAnsi="Arial" w:cs="Arial"/>
          <w:b/>
          <w:shd w:val="clear" w:color="auto" w:fill="FFFFFF"/>
        </w:rPr>
        <w:t xml:space="preserve">der </w:t>
      </w:r>
      <w:r w:rsidR="002D3ED7" w:rsidRPr="002D3ED7">
        <w:rPr>
          <w:rFonts w:ascii="Arial" w:hAnsi="Arial" w:cs="Arial"/>
          <w:b/>
          <w:shd w:val="clear" w:color="auto" w:fill="FFFFFF"/>
        </w:rPr>
        <w:t>Mehrpersonenhaushalte mit Kindern ist jedoch deutlich gesunken. Nach Vorausberechnung</w:t>
      </w:r>
      <w:r w:rsidR="00EA4813">
        <w:rPr>
          <w:rFonts w:ascii="Arial" w:hAnsi="Arial" w:cs="Arial"/>
          <w:b/>
          <w:shd w:val="clear" w:color="auto" w:fill="FFFFFF"/>
        </w:rPr>
        <w:t>en</w:t>
      </w:r>
      <w:r w:rsidR="002D3ED7" w:rsidRPr="002D3ED7">
        <w:rPr>
          <w:rFonts w:ascii="Arial" w:hAnsi="Arial" w:cs="Arial"/>
          <w:b/>
          <w:shd w:val="clear" w:color="auto" w:fill="FFFFFF"/>
        </w:rPr>
        <w:t xml:space="preserve"> </w:t>
      </w:r>
      <w:r w:rsidR="005F59DD" w:rsidRPr="005F59DD">
        <w:rPr>
          <w:rFonts w:ascii="Arial" w:hAnsi="Arial" w:cs="Arial"/>
          <w:b/>
          <w:shd w:val="clear" w:color="auto" w:fill="FFFFFF"/>
        </w:rPr>
        <w:t xml:space="preserve">des Statistischen Bundesamtes </w:t>
      </w:r>
      <w:r w:rsidR="002D3ED7" w:rsidRPr="002D3ED7">
        <w:rPr>
          <w:rFonts w:ascii="Arial" w:hAnsi="Arial" w:cs="Arial"/>
          <w:b/>
          <w:shd w:val="clear" w:color="auto" w:fill="FFFFFF"/>
        </w:rPr>
        <w:t xml:space="preserve">wird sich der Trend zu kleineren Haushalten </w:t>
      </w:r>
      <w:r w:rsidR="00EA4813">
        <w:rPr>
          <w:rFonts w:ascii="Arial" w:hAnsi="Arial" w:cs="Arial"/>
          <w:b/>
          <w:shd w:val="clear" w:color="auto" w:fill="FFFFFF"/>
        </w:rPr>
        <w:t xml:space="preserve">mittelfristig </w:t>
      </w:r>
      <w:r w:rsidR="002D3ED7" w:rsidRPr="002D3ED7">
        <w:rPr>
          <w:rFonts w:ascii="Arial" w:hAnsi="Arial" w:cs="Arial"/>
          <w:b/>
          <w:shd w:val="clear" w:color="auto" w:fill="FFFFFF"/>
        </w:rPr>
        <w:t>in allen Flächenländern weiter fortsetzen.</w:t>
      </w:r>
    </w:p>
    <w:p w:rsidR="003E25B4" w:rsidRPr="00670B9F" w:rsidRDefault="003E25B4" w:rsidP="00E26DA2">
      <w:pPr>
        <w:tabs>
          <w:tab w:val="left" w:pos="5529"/>
        </w:tabs>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E26DA2" w:rsidRDefault="00CA5D69" w:rsidP="000F6BBC">
      <w:pPr>
        <w:tabs>
          <w:tab w:val="left" w:pos="5529"/>
        </w:tabs>
        <w:rPr>
          <w:rFonts w:ascii="Arial" w:hAnsi="Arial" w:cs="Arial"/>
          <w:shd w:val="clear" w:color="auto" w:fill="FFFFFF"/>
        </w:rPr>
      </w:pPr>
    </w:p>
    <w:p w:rsidR="00E26DA2" w:rsidRPr="00E26DA2" w:rsidRDefault="000F6BBC" w:rsidP="00672B62">
      <w:pPr>
        <w:tabs>
          <w:tab w:val="left" w:pos="5529"/>
        </w:tabs>
        <w:rPr>
          <w:rFonts w:ascii="Arial" w:hAnsi="Arial" w:cs="Arial"/>
          <w:shd w:val="clear" w:color="auto" w:fill="FFFFFF"/>
        </w:rPr>
      </w:pPr>
      <w:r w:rsidRPr="00E26DA2">
        <w:rPr>
          <w:rFonts w:ascii="Arial" w:hAnsi="Arial" w:cs="Arial"/>
          <w:shd w:val="clear" w:color="auto" w:fill="FFFFFF"/>
        </w:rPr>
        <w:t>Die Zusammensetzung der Haushalte in Deutschland hat sich deutlich gewandelt. Am auffälligsten ist die abnehmende Bedeutung der Mehrpersonenhaushalte</w:t>
      </w:r>
      <w:r w:rsidR="007C516A" w:rsidRPr="00E26DA2">
        <w:rPr>
          <w:rFonts w:ascii="Arial" w:hAnsi="Arial" w:cs="Arial"/>
          <w:shd w:val="clear" w:color="auto" w:fill="FFFFFF"/>
        </w:rPr>
        <w:t xml:space="preserve"> bzw. die zunehmende Bedeutung der Einpersonenhaushalte</w:t>
      </w:r>
      <w:r w:rsidRPr="00E26DA2">
        <w:rPr>
          <w:rFonts w:ascii="Arial" w:hAnsi="Arial" w:cs="Arial"/>
          <w:shd w:val="clear" w:color="auto" w:fill="FFFFFF"/>
        </w:rPr>
        <w:t xml:space="preserve">. In Westdeutschland sank der Anteil der Mehrpersonenhaushalte an allen Haushalten zwischen 1972 und </w:t>
      </w:r>
      <w:r w:rsidR="007C516A" w:rsidRPr="00E26DA2">
        <w:rPr>
          <w:rFonts w:ascii="Arial" w:hAnsi="Arial" w:cs="Arial"/>
          <w:shd w:val="clear" w:color="auto" w:fill="FFFFFF"/>
        </w:rPr>
        <w:t>1996</w:t>
      </w:r>
      <w:r w:rsidRPr="00E26DA2">
        <w:rPr>
          <w:rFonts w:ascii="Arial" w:hAnsi="Arial" w:cs="Arial"/>
          <w:shd w:val="clear" w:color="auto" w:fill="FFFFFF"/>
        </w:rPr>
        <w:t xml:space="preserve"> von 73,8 auf </w:t>
      </w:r>
      <w:r w:rsidR="00A81B94" w:rsidRPr="00E26DA2">
        <w:rPr>
          <w:rFonts w:ascii="Arial" w:hAnsi="Arial" w:cs="Arial"/>
          <w:shd w:val="clear" w:color="auto" w:fill="FFFFFF"/>
        </w:rPr>
        <w:t>64</w:t>
      </w:r>
      <w:r w:rsidRPr="00E26DA2">
        <w:rPr>
          <w:rFonts w:ascii="Arial" w:hAnsi="Arial" w:cs="Arial"/>
          <w:shd w:val="clear" w:color="auto" w:fill="FFFFFF"/>
        </w:rPr>
        <w:t>,</w:t>
      </w:r>
      <w:r w:rsidR="00A81B94" w:rsidRPr="00E26DA2">
        <w:rPr>
          <w:rFonts w:ascii="Arial" w:hAnsi="Arial" w:cs="Arial"/>
          <w:shd w:val="clear" w:color="auto" w:fill="FFFFFF"/>
        </w:rPr>
        <w:t>1</w:t>
      </w:r>
      <w:r w:rsidRPr="00E26DA2">
        <w:rPr>
          <w:rFonts w:ascii="Arial" w:hAnsi="Arial" w:cs="Arial"/>
          <w:shd w:val="clear" w:color="auto" w:fill="FFFFFF"/>
        </w:rPr>
        <w:t xml:space="preserve"> Prozent. In ganz Deutschland fiel </w:t>
      </w:r>
      <w:r w:rsidR="0003626A" w:rsidRPr="00E26DA2">
        <w:rPr>
          <w:rFonts w:ascii="Arial" w:hAnsi="Arial" w:cs="Arial"/>
          <w:shd w:val="clear" w:color="auto" w:fill="FFFFFF"/>
        </w:rPr>
        <w:t>d</w:t>
      </w:r>
      <w:r w:rsidRPr="00E26DA2">
        <w:rPr>
          <w:rFonts w:ascii="Arial" w:hAnsi="Arial" w:cs="Arial"/>
          <w:shd w:val="clear" w:color="auto" w:fill="FFFFFF"/>
        </w:rPr>
        <w:t xml:space="preserve">er </w:t>
      </w:r>
      <w:r w:rsidR="0003626A" w:rsidRPr="00E26DA2">
        <w:rPr>
          <w:rFonts w:ascii="Arial" w:hAnsi="Arial" w:cs="Arial"/>
          <w:shd w:val="clear" w:color="auto" w:fill="FFFFFF"/>
        </w:rPr>
        <w:t xml:space="preserve">Anteil </w:t>
      </w:r>
      <w:r w:rsidRPr="00E26DA2">
        <w:rPr>
          <w:rFonts w:ascii="Arial" w:hAnsi="Arial" w:cs="Arial"/>
          <w:shd w:val="clear" w:color="auto" w:fill="FFFFFF"/>
        </w:rPr>
        <w:t xml:space="preserve">in den Jahren </w:t>
      </w:r>
      <w:r w:rsidR="00A81B94" w:rsidRPr="00E26DA2">
        <w:rPr>
          <w:rFonts w:ascii="Arial" w:hAnsi="Arial" w:cs="Arial"/>
          <w:shd w:val="clear" w:color="auto" w:fill="FFFFFF"/>
        </w:rPr>
        <w:t xml:space="preserve">1996 </w:t>
      </w:r>
      <w:r w:rsidRPr="00E26DA2">
        <w:rPr>
          <w:rFonts w:ascii="Arial" w:hAnsi="Arial" w:cs="Arial"/>
          <w:shd w:val="clear" w:color="auto" w:fill="FFFFFF"/>
        </w:rPr>
        <w:t>bis 201</w:t>
      </w:r>
      <w:r w:rsidR="00A81B94" w:rsidRPr="00E26DA2">
        <w:rPr>
          <w:rFonts w:ascii="Arial" w:hAnsi="Arial" w:cs="Arial"/>
          <w:shd w:val="clear" w:color="auto" w:fill="FFFFFF"/>
        </w:rPr>
        <w:t>9</w:t>
      </w:r>
      <w:r w:rsidRPr="00E26DA2">
        <w:rPr>
          <w:rFonts w:ascii="Arial" w:hAnsi="Arial" w:cs="Arial"/>
          <w:shd w:val="clear" w:color="auto" w:fill="FFFFFF"/>
        </w:rPr>
        <w:t xml:space="preserve"> von 6</w:t>
      </w:r>
      <w:r w:rsidR="00A81B94" w:rsidRPr="00E26DA2">
        <w:rPr>
          <w:rFonts w:ascii="Arial" w:hAnsi="Arial" w:cs="Arial"/>
          <w:shd w:val="clear" w:color="auto" w:fill="FFFFFF"/>
        </w:rPr>
        <w:t>4</w:t>
      </w:r>
      <w:r w:rsidRPr="00E26DA2">
        <w:rPr>
          <w:rFonts w:ascii="Arial" w:hAnsi="Arial" w:cs="Arial"/>
          <w:shd w:val="clear" w:color="auto" w:fill="FFFFFF"/>
        </w:rPr>
        <w:t>,</w:t>
      </w:r>
      <w:r w:rsidR="00A81B94" w:rsidRPr="00E26DA2">
        <w:rPr>
          <w:rFonts w:ascii="Arial" w:hAnsi="Arial" w:cs="Arial"/>
          <w:shd w:val="clear" w:color="auto" w:fill="FFFFFF"/>
        </w:rPr>
        <w:t>6</w:t>
      </w:r>
      <w:r w:rsidRPr="00E26DA2">
        <w:rPr>
          <w:rFonts w:ascii="Arial" w:hAnsi="Arial" w:cs="Arial"/>
          <w:shd w:val="clear" w:color="auto" w:fill="FFFFFF"/>
        </w:rPr>
        <w:t xml:space="preserve"> auf 5</w:t>
      </w:r>
      <w:r w:rsidR="00353706" w:rsidRPr="00E26DA2">
        <w:rPr>
          <w:rFonts w:ascii="Arial" w:hAnsi="Arial" w:cs="Arial"/>
          <w:shd w:val="clear" w:color="auto" w:fill="FFFFFF"/>
        </w:rPr>
        <w:t>7</w:t>
      </w:r>
      <w:r w:rsidRPr="00E26DA2">
        <w:rPr>
          <w:rFonts w:ascii="Arial" w:hAnsi="Arial" w:cs="Arial"/>
          <w:shd w:val="clear" w:color="auto" w:fill="FFFFFF"/>
        </w:rPr>
        <w:t>,</w:t>
      </w:r>
      <w:r w:rsidR="00A81B94" w:rsidRPr="00E26DA2">
        <w:rPr>
          <w:rFonts w:ascii="Arial" w:hAnsi="Arial" w:cs="Arial"/>
          <w:shd w:val="clear" w:color="auto" w:fill="FFFFFF"/>
        </w:rPr>
        <w:t>7</w:t>
      </w:r>
      <w:r w:rsidRPr="00E26DA2">
        <w:rPr>
          <w:rFonts w:ascii="Arial" w:hAnsi="Arial" w:cs="Arial"/>
          <w:shd w:val="clear" w:color="auto" w:fill="FFFFFF"/>
        </w:rPr>
        <w:t xml:space="preserve"> Prozent.</w:t>
      </w:r>
    </w:p>
    <w:p w:rsidR="00E26DA2" w:rsidRPr="00E26DA2" w:rsidRDefault="00E26DA2" w:rsidP="00672B62">
      <w:pPr>
        <w:tabs>
          <w:tab w:val="left" w:pos="5529"/>
        </w:tabs>
        <w:rPr>
          <w:rFonts w:ascii="Arial" w:hAnsi="Arial" w:cs="Arial"/>
          <w:shd w:val="clear" w:color="auto" w:fill="FFFFFF"/>
        </w:rPr>
      </w:pPr>
    </w:p>
    <w:p w:rsidR="00E26DA2" w:rsidRPr="00E26DA2" w:rsidRDefault="0003626A" w:rsidP="00672B62">
      <w:pPr>
        <w:tabs>
          <w:tab w:val="left" w:pos="5529"/>
        </w:tabs>
        <w:rPr>
          <w:rFonts w:ascii="Arial" w:hAnsi="Arial" w:cs="Arial"/>
          <w:shd w:val="clear" w:color="auto" w:fill="FFFFFF"/>
        </w:rPr>
      </w:pPr>
      <w:r w:rsidRPr="00E26DA2">
        <w:rPr>
          <w:rFonts w:ascii="Arial" w:hAnsi="Arial" w:cs="Arial"/>
          <w:shd w:val="clear" w:color="auto" w:fill="FFFFFF"/>
        </w:rPr>
        <w:t xml:space="preserve">Der Anteil der Mehrpersonenhaushalte ohne Kinder an allen Haushalten lag zwischen 1996 und 2019 relativ stabil bei 30 Prozent (2019: 29,8 Prozent). Der rückläufige Anteil der Mehrpersonenhaushalte an allen Haushalten ist </w:t>
      </w:r>
      <w:r w:rsidR="00A2274F" w:rsidRPr="00E26DA2">
        <w:rPr>
          <w:rFonts w:ascii="Arial" w:hAnsi="Arial" w:cs="Arial"/>
          <w:shd w:val="clear" w:color="auto" w:fill="FFFFFF"/>
        </w:rPr>
        <w:t xml:space="preserve">demnach </w:t>
      </w:r>
      <w:r w:rsidRPr="00E26DA2">
        <w:rPr>
          <w:rFonts w:ascii="Arial" w:hAnsi="Arial" w:cs="Arial"/>
          <w:shd w:val="clear" w:color="auto" w:fill="FFFFFF"/>
        </w:rPr>
        <w:t xml:space="preserve">allein auf die Mehrpersonenhaushalte mit Kindern zurückzuführen: </w:t>
      </w:r>
      <w:r w:rsidR="00672B62" w:rsidRPr="00E26DA2">
        <w:rPr>
          <w:rFonts w:ascii="Arial" w:hAnsi="Arial" w:cs="Arial"/>
          <w:shd w:val="clear" w:color="auto" w:fill="FFFFFF"/>
        </w:rPr>
        <w:t>Der</w:t>
      </w:r>
      <w:r w:rsidRPr="00E26DA2">
        <w:rPr>
          <w:rFonts w:ascii="Arial" w:hAnsi="Arial" w:cs="Arial"/>
          <w:shd w:val="clear" w:color="auto" w:fill="FFFFFF"/>
        </w:rPr>
        <w:t xml:space="preserve"> Anteil </w:t>
      </w:r>
      <w:r w:rsidR="00672B62" w:rsidRPr="00E26DA2">
        <w:rPr>
          <w:rFonts w:ascii="Arial" w:hAnsi="Arial" w:cs="Arial"/>
          <w:shd w:val="clear" w:color="auto" w:fill="FFFFFF"/>
        </w:rPr>
        <w:t>dieser Haushalte sank zwischen 1996 und 2019 von 35,3 auf 27,9 Prozent. Dabei fiel der Rückgang in Ostdeutschland (3</w:t>
      </w:r>
      <w:r w:rsidR="00746BFB" w:rsidRPr="00E26DA2">
        <w:rPr>
          <w:rFonts w:ascii="Arial" w:hAnsi="Arial" w:cs="Arial"/>
          <w:shd w:val="clear" w:color="auto" w:fill="FFFFFF"/>
        </w:rPr>
        <w:t>7</w:t>
      </w:r>
      <w:r w:rsidR="00672B62" w:rsidRPr="00E26DA2">
        <w:rPr>
          <w:rFonts w:ascii="Arial" w:hAnsi="Arial" w:cs="Arial"/>
          <w:shd w:val="clear" w:color="auto" w:fill="FFFFFF"/>
        </w:rPr>
        <w:t>,</w:t>
      </w:r>
      <w:r w:rsidR="00746BFB" w:rsidRPr="00E26DA2">
        <w:rPr>
          <w:rFonts w:ascii="Arial" w:hAnsi="Arial" w:cs="Arial"/>
          <w:shd w:val="clear" w:color="auto" w:fill="FFFFFF"/>
        </w:rPr>
        <w:t>5</w:t>
      </w:r>
      <w:r w:rsidR="00672B62" w:rsidRPr="00E26DA2">
        <w:rPr>
          <w:rFonts w:ascii="Arial" w:hAnsi="Arial" w:cs="Arial"/>
          <w:shd w:val="clear" w:color="auto" w:fill="FFFFFF"/>
        </w:rPr>
        <w:t xml:space="preserve"> auf 24,4 Prozent) deutlich stärker aus als in </w:t>
      </w:r>
      <w:r w:rsidR="000F6BBC" w:rsidRPr="00E26DA2">
        <w:rPr>
          <w:rFonts w:ascii="Arial" w:hAnsi="Arial" w:cs="Arial"/>
          <w:shd w:val="clear" w:color="auto" w:fill="FFFFFF"/>
        </w:rPr>
        <w:t>Westdeutschland</w:t>
      </w:r>
      <w:r w:rsidR="00672B62" w:rsidRPr="00E26DA2">
        <w:rPr>
          <w:rFonts w:ascii="Arial" w:hAnsi="Arial" w:cs="Arial"/>
          <w:shd w:val="clear" w:color="auto" w:fill="FFFFFF"/>
        </w:rPr>
        <w:t xml:space="preserve"> (34,7 auf 28,8 </w:t>
      </w:r>
      <w:r w:rsidR="000F6BBC" w:rsidRPr="00E26DA2">
        <w:rPr>
          <w:rFonts w:ascii="Arial" w:hAnsi="Arial" w:cs="Arial"/>
          <w:shd w:val="clear" w:color="auto" w:fill="FFFFFF"/>
        </w:rPr>
        <w:t>Prozent</w:t>
      </w:r>
      <w:r w:rsidR="00672B62" w:rsidRPr="00E26DA2">
        <w:rPr>
          <w:rFonts w:ascii="Arial" w:hAnsi="Arial" w:cs="Arial"/>
          <w:shd w:val="clear" w:color="auto" w:fill="FFFFFF"/>
        </w:rPr>
        <w:t>)</w:t>
      </w:r>
      <w:r w:rsidR="000F6BBC" w:rsidRPr="00E26DA2">
        <w:rPr>
          <w:rFonts w:ascii="Arial" w:hAnsi="Arial" w:cs="Arial"/>
          <w:shd w:val="clear" w:color="auto" w:fill="FFFFFF"/>
        </w:rPr>
        <w:t>.</w:t>
      </w:r>
    </w:p>
    <w:p w:rsidR="00E26DA2" w:rsidRPr="00E26DA2" w:rsidRDefault="00E26DA2" w:rsidP="00672B62">
      <w:pPr>
        <w:tabs>
          <w:tab w:val="left" w:pos="5529"/>
        </w:tabs>
        <w:rPr>
          <w:rFonts w:ascii="Arial" w:hAnsi="Arial" w:cs="Arial"/>
          <w:shd w:val="clear" w:color="auto" w:fill="FFFFFF"/>
        </w:rPr>
      </w:pPr>
    </w:p>
    <w:p w:rsidR="00E26DA2" w:rsidRPr="00E26DA2" w:rsidRDefault="000F6BBC" w:rsidP="00E26DA2">
      <w:pPr>
        <w:tabs>
          <w:tab w:val="left" w:pos="5529"/>
        </w:tabs>
        <w:rPr>
          <w:rFonts w:ascii="Arial" w:hAnsi="Arial" w:cs="Arial"/>
          <w:shd w:val="clear" w:color="auto" w:fill="FFFFFF"/>
        </w:rPr>
      </w:pPr>
      <w:r w:rsidRPr="00E26DA2">
        <w:rPr>
          <w:rFonts w:ascii="Arial" w:hAnsi="Arial" w:cs="Arial"/>
          <w:shd w:val="clear" w:color="auto" w:fill="FFFFFF"/>
        </w:rPr>
        <w:t xml:space="preserve">Auf der anderen Seite ist der Anteil der Einpersonenhaushalte an allen Haushalten stetig gestiegen: Im Jahr 1972 lag er in Westdeutschland </w:t>
      </w:r>
      <w:r w:rsidR="009D7A63" w:rsidRPr="00E26DA2">
        <w:rPr>
          <w:rFonts w:ascii="Arial" w:hAnsi="Arial" w:cs="Arial"/>
          <w:shd w:val="clear" w:color="auto" w:fill="FFFFFF"/>
        </w:rPr>
        <w:t xml:space="preserve">(ohne Berlin) </w:t>
      </w:r>
      <w:r w:rsidRPr="00E26DA2">
        <w:rPr>
          <w:rFonts w:ascii="Arial" w:hAnsi="Arial" w:cs="Arial"/>
          <w:shd w:val="clear" w:color="auto" w:fill="FFFFFF"/>
        </w:rPr>
        <w:t xml:space="preserve">bei 26,2 Prozent, </w:t>
      </w:r>
      <w:r w:rsidR="00607EB3" w:rsidRPr="00E26DA2">
        <w:rPr>
          <w:rFonts w:ascii="Arial" w:hAnsi="Arial" w:cs="Arial"/>
          <w:shd w:val="clear" w:color="auto" w:fill="FFFFFF"/>
        </w:rPr>
        <w:t>199</w:t>
      </w:r>
      <w:r w:rsidR="009D7A63" w:rsidRPr="00E26DA2">
        <w:rPr>
          <w:rFonts w:ascii="Arial" w:hAnsi="Arial" w:cs="Arial"/>
          <w:shd w:val="clear" w:color="auto" w:fill="FFFFFF"/>
        </w:rPr>
        <w:t>1</w:t>
      </w:r>
      <w:r w:rsidRPr="00E26DA2">
        <w:rPr>
          <w:rFonts w:ascii="Arial" w:hAnsi="Arial" w:cs="Arial"/>
          <w:shd w:val="clear" w:color="auto" w:fill="FFFFFF"/>
        </w:rPr>
        <w:t xml:space="preserve"> waren es bereits 3</w:t>
      </w:r>
      <w:r w:rsidR="009D7A63" w:rsidRPr="00E26DA2">
        <w:rPr>
          <w:rFonts w:ascii="Arial" w:hAnsi="Arial" w:cs="Arial"/>
          <w:shd w:val="clear" w:color="auto" w:fill="FFFFFF"/>
        </w:rPr>
        <w:t>4</w:t>
      </w:r>
      <w:r w:rsidRPr="00E26DA2">
        <w:rPr>
          <w:rFonts w:ascii="Arial" w:hAnsi="Arial" w:cs="Arial"/>
          <w:shd w:val="clear" w:color="auto" w:fill="FFFFFF"/>
        </w:rPr>
        <w:t>,</w:t>
      </w:r>
      <w:r w:rsidR="009D7A63" w:rsidRPr="00E26DA2">
        <w:rPr>
          <w:rFonts w:ascii="Arial" w:hAnsi="Arial" w:cs="Arial"/>
          <w:shd w:val="clear" w:color="auto" w:fill="FFFFFF"/>
        </w:rPr>
        <w:t>4</w:t>
      </w:r>
      <w:r w:rsidRPr="00E26DA2">
        <w:rPr>
          <w:rFonts w:ascii="Arial" w:hAnsi="Arial" w:cs="Arial"/>
          <w:shd w:val="clear" w:color="auto" w:fill="FFFFFF"/>
        </w:rPr>
        <w:t xml:space="preserve"> Prozent</w:t>
      </w:r>
      <w:r w:rsidR="009D7A63" w:rsidRPr="00E26DA2">
        <w:rPr>
          <w:rFonts w:ascii="Arial" w:hAnsi="Arial" w:cs="Arial"/>
          <w:shd w:val="clear" w:color="auto" w:fill="FFFFFF"/>
        </w:rPr>
        <w:t>, 2019 dann 41,5 Prozent</w:t>
      </w:r>
      <w:r w:rsidRPr="00E26DA2">
        <w:rPr>
          <w:rFonts w:ascii="Arial" w:hAnsi="Arial" w:cs="Arial"/>
          <w:shd w:val="clear" w:color="auto" w:fill="FFFFFF"/>
        </w:rPr>
        <w:t xml:space="preserve">. In Ostdeutschland erhöhte sich der Anteil </w:t>
      </w:r>
      <w:r w:rsidR="00D34D4D" w:rsidRPr="00E26DA2">
        <w:rPr>
          <w:rFonts w:ascii="Arial" w:hAnsi="Arial" w:cs="Arial"/>
          <w:shd w:val="clear" w:color="auto" w:fill="FFFFFF"/>
        </w:rPr>
        <w:t xml:space="preserve">der Einpersonenhaushalte </w:t>
      </w:r>
      <w:r w:rsidRPr="00E26DA2">
        <w:rPr>
          <w:rFonts w:ascii="Arial" w:hAnsi="Arial" w:cs="Arial"/>
          <w:shd w:val="clear" w:color="auto" w:fill="FFFFFF"/>
        </w:rPr>
        <w:t>zwischen 1991 und 20</w:t>
      </w:r>
      <w:r w:rsidR="00D34D4D" w:rsidRPr="00E26DA2">
        <w:rPr>
          <w:rFonts w:ascii="Arial" w:hAnsi="Arial" w:cs="Arial"/>
          <w:shd w:val="clear" w:color="auto" w:fill="FFFFFF"/>
        </w:rPr>
        <w:t>19</w:t>
      </w:r>
      <w:r w:rsidRPr="00E26DA2">
        <w:rPr>
          <w:rFonts w:ascii="Arial" w:hAnsi="Arial" w:cs="Arial"/>
          <w:shd w:val="clear" w:color="auto" w:fill="FFFFFF"/>
        </w:rPr>
        <w:t xml:space="preserve"> von 30,8 auf </w:t>
      </w:r>
      <w:r w:rsidR="00D34D4D" w:rsidRPr="00E26DA2">
        <w:rPr>
          <w:rFonts w:ascii="Arial" w:hAnsi="Arial" w:cs="Arial"/>
          <w:shd w:val="clear" w:color="auto" w:fill="FFFFFF"/>
        </w:rPr>
        <w:t xml:space="preserve">45,3 </w:t>
      </w:r>
      <w:r w:rsidRPr="00E26DA2">
        <w:rPr>
          <w:rFonts w:ascii="Arial" w:hAnsi="Arial" w:cs="Arial"/>
          <w:shd w:val="clear" w:color="auto" w:fill="FFFFFF"/>
        </w:rPr>
        <w:t>Prozent</w:t>
      </w:r>
      <w:r w:rsidR="00186198">
        <w:rPr>
          <w:rFonts w:ascii="Arial" w:hAnsi="Arial" w:cs="Arial"/>
          <w:shd w:val="clear" w:color="auto" w:fill="FFFFFF"/>
        </w:rPr>
        <w:t>, d</w:t>
      </w:r>
      <w:r w:rsidRPr="00E26DA2">
        <w:rPr>
          <w:rFonts w:ascii="Arial" w:hAnsi="Arial" w:cs="Arial"/>
          <w:shd w:val="clear" w:color="auto" w:fill="FFFFFF"/>
        </w:rPr>
        <w:t>eutschland</w:t>
      </w:r>
      <w:r w:rsidR="00EB3D63" w:rsidRPr="00E26DA2">
        <w:rPr>
          <w:rFonts w:ascii="Arial" w:hAnsi="Arial" w:cs="Arial"/>
          <w:shd w:val="clear" w:color="auto" w:fill="FFFFFF"/>
        </w:rPr>
        <w:t xml:space="preserve">weit </w:t>
      </w:r>
      <w:r w:rsidRPr="00E26DA2">
        <w:rPr>
          <w:rFonts w:ascii="Arial" w:hAnsi="Arial" w:cs="Arial"/>
          <w:shd w:val="clear" w:color="auto" w:fill="FFFFFF"/>
        </w:rPr>
        <w:t xml:space="preserve">von 33,6 auf </w:t>
      </w:r>
      <w:r w:rsidR="00EB3D63" w:rsidRPr="00E26DA2">
        <w:rPr>
          <w:rFonts w:ascii="Arial" w:hAnsi="Arial" w:cs="Arial"/>
          <w:shd w:val="clear" w:color="auto" w:fill="FFFFFF"/>
        </w:rPr>
        <w:t>42</w:t>
      </w:r>
      <w:r w:rsidRPr="00E26DA2">
        <w:rPr>
          <w:rFonts w:ascii="Arial" w:hAnsi="Arial" w:cs="Arial"/>
          <w:shd w:val="clear" w:color="auto" w:fill="FFFFFF"/>
        </w:rPr>
        <w:t>,</w:t>
      </w:r>
      <w:r w:rsidR="00EB3D63" w:rsidRPr="00E26DA2">
        <w:rPr>
          <w:rFonts w:ascii="Arial" w:hAnsi="Arial" w:cs="Arial"/>
          <w:shd w:val="clear" w:color="auto" w:fill="FFFFFF"/>
        </w:rPr>
        <w:t>3</w:t>
      </w:r>
      <w:r w:rsidRPr="00E26DA2">
        <w:rPr>
          <w:rFonts w:ascii="Arial" w:hAnsi="Arial" w:cs="Arial"/>
          <w:shd w:val="clear" w:color="auto" w:fill="FFFFFF"/>
        </w:rPr>
        <w:t xml:space="preserve"> Prozent.</w:t>
      </w:r>
    </w:p>
    <w:p w:rsidR="00E26DA2" w:rsidRPr="00E26DA2" w:rsidRDefault="00E26DA2" w:rsidP="00E26DA2">
      <w:pPr>
        <w:tabs>
          <w:tab w:val="left" w:pos="5529"/>
        </w:tabs>
        <w:rPr>
          <w:rFonts w:ascii="Arial" w:hAnsi="Arial" w:cs="Arial"/>
          <w:shd w:val="clear" w:color="auto" w:fill="FFFFFF"/>
        </w:rPr>
      </w:pPr>
    </w:p>
    <w:p w:rsidR="00A60CCF" w:rsidRPr="00E26DA2" w:rsidRDefault="009F7E75" w:rsidP="00A60CCF">
      <w:pPr>
        <w:tabs>
          <w:tab w:val="left" w:pos="5529"/>
        </w:tabs>
        <w:rPr>
          <w:rFonts w:ascii="Arial" w:hAnsi="Arial" w:cs="Arial"/>
          <w:shd w:val="clear" w:color="auto" w:fill="FFFFFF"/>
        </w:rPr>
      </w:pPr>
      <w:r w:rsidRPr="00E26DA2">
        <w:rPr>
          <w:rFonts w:ascii="Arial" w:hAnsi="Arial" w:cs="Arial"/>
          <w:shd w:val="clear" w:color="auto" w:fill="FFFFFF"/>
        </w:rPr>
        <w:t>Auf Länderebene war im Jahr 2019 in den Stadtstaaten der Anteil der E</w:t>
      </w:r>
      <w:r w:rsidR="000F6BBC" w:rsidRPr="00E26DA2">
        <w:rPr>
          <w:rFonts w:ascii="Arial" w:hAnsi="Arial" w:cs="Arial"/>
          <w:shd w:val="clear" w:color="auto" w:fill="FFFFFF"/>
        </w:rPr>
        <w:t xml:space="preserve">inpersonenhaushalte </w:t>
      </w:r>
      <w:r w:rsidRPr="00E26DA2">
        <w:rPr>
          <w:rFonts w:ascii="Arial" w:hAnsi="Arial" w:cs="Arial"/>
          <w:shd w:val="clear" w:color="auto" w:fill="FFFFFF"/>
        </w:rPr>
        <w:t>an allen Haushalten am höchsten</w:t>
      </w:r>
      <w:r w:rsidR="00D401FD">
        <w:rPr>
          <w:rFonts w:ascii="Arial" w:hAnsi="Arial" w:cs="Arial"/>
          <w:shd w:val="clear" w:color="auto" w:fill="FFFFFF"/>
        </w:rPr>
        <w:t>, also in</w:t>
      </w:r>
      <w:r w:rsidRPr="00E26DA2">
        <w:rPr>
          <w:rFonts w:ascii="Arial" w:hAnsi="Arial" w:cs="Arial"/>
          <w:shd w:val="clear" w:color="auto" w:fill="FFFFFF"/>
        </w:rPr>
        <w:t xml:space="preserve"> Berlin (53,0 Prozent), Bremen (52,0 Prozent) und </w:t>
      </w:r>
      <w:r w:rsidR="00D401FD">
        <w:rPr>
          <w:rFonts w:ascii="Arial" w:hAnsi="Arial" w:cs="Arial"/>
          <w:shd w:val="clear" w:color="auto" w:fill="FFFFFF"/>
        </w:rPr>
        <w:t xml:space="preserve">in </w:t>
      </w:r>
      <w:r w:rsidRPr="00E26DA2">
        <w:rPr>
          <w:rFonts w:ascii="Arial" w:hAnsi="Arial" w:cs="Arial"/>
          <w:shd w:val="clear" w:color="auto" w:fill="FFFFFF"/>
        </w:rPr>
        <w:t>Hamburg (49,3 Prozent).</w:t>
      </w:r>
      <w:r w:rsidR="00A60CCF" w:rsidRPr="00E26DA2">
        <w:rPr>
          <w:rFonts w:ascii="Arial" w:hAnsi="Arial" w:cs="Arial"/>
          <w:shd w:val="clear" w:color="auto" w:fill="FFFFFF"/>
        </w:rPr>
        <w:t xml:space="preserve"> Am niedrigsten war der Anteil der Einpersonenhaushalte im selben Jahr in Rheinland-Pfalz (37,9 Prozent), Brandenburg (40,0 Prozent) und Baden-Württemberg (40,1 Prozent). Bei einem Vergleich der Jahre 1991 und 2019 hat sich insbesondere in den ostdeutschen Flächenländern der Anteil der Einpersonenhaushalte erhöht. Während der Anteil deutschlandweit um 25,8 Prozent zunahm, stieg er in Mecklenburg-Vorpommern (plus 75,1 Prozent), Thüringen (plus 72,8 Prozent), Sachsen-Anhalt (plus 59,9 Prozent), Brandenburg (plus 54,3 Prozent) und Sachsen (plus 54,2 Prozent) überdurchschnittlich stark.</w:t>
      </w:r>
    </w:p>
    <w:p w:rsidR="00E26DA2" w:rsidRPr="00E26DA2" w:rsidRDefault="00E26DA2" w:rsidP="00A60CCF">
      <w:pPr>
        <w:tabs>
          <w:tab w:val="left" w:pos="5529"/>
        </w:tabs>
        <w:rPr>
          <w:rFonts w:ascii="Arial" w:hAnsi="Arial" w:cs="Arial"/>
          <w:shd w:val="clear" w:color="auto" w:fill="FFFFFF"/>
        </w:rPr>
      </w:pPr>
    </w:p>
    <w:p w:rsidR="00670B9F" w:rsidRPr="00E26DA2" w:rsidRDefault="00E070E9" w:rsidP="00672B62">
      <w:pPr>
        <w:tabs>
          <w:tab w:val="left" w:pos="5529"/>
        </w:tabs>
        <w:rPr>
          <w:rFonts w:ascii="Arial" w:hAnsi="Arial" w:cs="Arial"/>
          <w:shd w:val="clear" w:color="auto" w:fill="FFFFFF"/>
        </w:rPr>
      </w:pPr>
      <w:r w:rsidRPr="00E26DA2">
        <w:rPr>
          <w:rFonts w:ascii="Arial" w:hAnsi="Arial" w:cs="Arial"/>
          <w:shd w:val="clear" w:color="auto" w:fill="FFFFFF"/>
        </w:rPr>
        <w:t xml:space="preserve">Nach Ergebnissen der Haushaltsvorausberechnung 2020 des Statistischen Bundesamtes wird sich der Trend zu kleineren Haushalten in Zukunft in allen Flächenländern weiter fortsetzen: Zwischen 2018 und </w:t>
      </w:r>
      <w:r w:rsidR="000F6BBC" w:rsidRPr="00E26DA2">
        <w:rPr>
          <w:rFonts w:ascii="Arial" w:hAnsi="Arial" w:cs="Arial"/>
          <w:shd w:val="clear" w:color="auto" w:fill="FFFFFF"/>
        </w:rPr>
        <w:t>20</w:t>
      </w:r>
      <w:r w:rsidRPr="00E26DA2">
        <w:rPr>
          <w:rFonts w:ascii="Arial" w:hAnsi="Arial" w:cs="Arial"/>
          <w:shd w:val="clear" w:color="auto" w:fill="FFFFFF"/>
        </w:rPr>
        <w:t>4</w:t>
      </w:r>
      <w:r w:rsidR="000F6BBC" w:rsidRPr="00E26DA2">
        <w:rPr>
          <w:rFonts w:ascii="Arial" w:hAnsi="Arial" w:cs="Arial"/>
          <w:shd w:val="clear" w:color="auto" w:fill="FFFFFF"/>
        </w:rPr>
        <w:t xml:space="preserve">0 wird </w:t>
      </w:r>
      <w:r w:rsidR="00F20194" w:rsidRPr="00E26DA2">
        <w:rPr>
          <w:rFonts w:ascii="Arial" w:hAnsi="Arial" w:cs="Arial"/>
          <w:shd w:val="clear" w:color="auto" w:fill="FFFFFF"/>
        </w:rPr>
        <w:t xml:space="preserve">bei den west- bzw. ostdeutschen </w:t>
      </w:r>
      <w:r w:rsidR="000F6BBC" w:rsidRPr="00E26DA2">
        <w:rPr>
          <w:rFonts w:ascii="Arial" w:hAnsi="Arial" w:cs="Arial"/>
          <w:shd w:val="clear" w:color="auto" w:fill="FFFFFF"/>
        </w:rPr>
        <w:t xml:space="preserve">Flächenländern </w:t>
      </w:r>
      <w:r w:rsidRPr="00E26DA2">
        <w:rPr>
          <w:rFonts w:ascii="Arial" w:hAnsi="Arial" w:cs="Arial"/>
          <w:shd w:val="clear" w:color="auto" w:fill="FFFFFF"/>
        </w:rPr>
        <w:t>der Anteil der Einpersonenhaushalte an allen Haushalten von 40,8 auf 44,4</w:t>
      </w:r>
      <w:r w:rsidR="000F6BBC" w:rsidRPr="00E26DA2">
        <w:rPr>
          <w:rFonts w:ascii="Arial" w:hAnsi="Arial" w:cs="Arial"/>
          <w:shd w:val="clear" w:color="auto" w:fill="FFFFFF"/>
        </w:rPr>
        <w:t xml:space="preserve"> Prozent </w:t>
      </w:r>
      <w:r w:rsidRPr="00E26DA2">
        <w:rPr>
          <w:rFonts w:ascii="Arial" w:hAnsi="Arial" w:cs="Arial"/>
          <w:shd w:val="clear" w:color="auto" w:fill="FFFFFF"/>
        </w:rPr>
        <w:t xml:space="preserve">bzw. </w:t>
      </w:r>
      <w:r w:rsidR="00F20194" w:rsidRPr="00E26DA2">
        <w:rPr>
          <w:rFonts w:ascii="Arial" w:hAnsi="Arial" w:cs="Arial"/>
          <w:shd w:val="clear" w:color="auto" w:fill="FFFFFF"/>
        </w:rPr>
        <w:t xml:space="preserve">von </w:t>
      </w:r>
      <w:r w:rsidRPr="00E26DA2">
        <w:rPr>
          <w:rFonts w:ascii="Arial" w:hAnsi="Arial" w:cs="Arial"/>
          <w:shd w:val="clear" w:color="auto" w:fill="FFFFFF"/>
        </w:rPr>
        <w:t>42,0 auf 46,4 Prozent steigen</w:t>
      </w:r>
      <w:r w:rsidR="000F6BBC" w:rsidRPr="00E26DA2">
        <w:rPr>
          <w:rFonts w:ascii="Arial" w:hAnsi="Arial" w:cs="Arial"/>
          <w:shd w:val="clear" w:color="auto" w:fill="FFFFFF"/>
        </w:rPr>
        <w:t>.</w:t>
      </w:r>
      <w:r w:rsidR="000071C4" w:rsidRPr="00E26DA2">
        <w:rPr>
          <w:rFonts w:ascii="Arial" w:hAnsi="Arial" w:cs="Arial"/>
          <w:shd w:val="clear" w:color="auto" w:fill="FFFFFF"/>
        </w:rPr>
        <w:t xml:space="preserve"> Hingegen wird sich nach den Vorausberechnungen der Anteil der Einpersonenhaushalte in den Stadtstaaten </w:t>
      </w:r>
      <w:r w:rsidR="000F6BBC" w:rsidRPr="00E26DA2">
        <w:rPr>
          <w:rFonts w:ascii="Arial" w:hAnsi="Arial" w:cs="Arial"/>
          <w:shd w:val="clear" w:color="auto" w:fill="FFFFFF"/>
        </w:rPr>
        <w:t xml:space="preserve">auf </w:t>
      </w:r>
      <w:r w:rsidR="000071C4" w:rsidRPr="00E26DA2">
        <w:rPr>
          <w:rFonts w:ascii="Arial" w:hAnsi="Arial" w:cs="Arial"/>
          <w:shd w:val="clear" w:color="auto" w:fill="FFFFFF"/>
        </w:rPr>
        <w:t xml:space="preserve">hohem Niveau stabilisieren (2040: 51,8 </w:t>
      </w:r>
      <w:r w:rsidR="000F6BBC" w:rsidRPr="00E26DA2">
        <w:rPr>
          <w:rFonts w:ascii="Arial" w:hAnsi="Arial" w:cs="Arial"/>
          <w:shd w:val="clear" w:color="auto" w:fill="FFFFFF"/>
        </w:rPr>
        <w:t>Prozent</w:t>
      </w:r>
      <w:r w:rsidR="000071C4" w:rsidRPr="00E26DA2">
        <w:rPr>
          <w:rFonts w:ascii="Arial" w:hAnsi="Arial" w:cs="Arial"/>
          <w:shd w:val="clear" w:color="auto" w:fill="FFFFFF"/>
        </w:rPr>
        <w:t>)</w:t>
      </w:r>
      <w:r w:rsidR="000F6BBC" w:rsidRPr="00E26DA2">
        <w:rPr>
          <w:rFonts w:ascii="Arial" w:hAnsi="Arial" w:cs="Arial"/>
          <w:shd w:val="clear" w:color="auto" w:fill="FFFFFF"/>
        </w:rPr>
        <w:t>.</w:t>
      </w:r>
    </w:p>
    <w:p w:rsidR="00E26DA2" w:rsidRPr="00E26DA2" w:rsidRDefault="00E26DA2" w:rsidP="00672B62">
      <w:pPr>
        <w:tabs>
          <w:tab w:val="left" w:pos="5529"/>
        </w:tabs>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670B9F" w:rsidRDefault="00130C1E" w:rsidP="000F6BBC">
      <w:pPr>
        <w:tabs>
          <w:tab w:val="left" w:pos="5529"/>
        </w:tabs>
        <w:rPr>
          <w:rFonts w:ascii="Arial" w:hAnsi="Arial" w:cs="Arial"/>
          <w:shd w:val="clear" w:color="auto" w:fill="FFFFFF"/>
        </w:rPr>
      </w:pPr>
    </w:p>
    <w:p w:rsidR="000F6BBC" w:rsidRDefault="000F6BBC" w:rsidP="000F6BBC">
      <w:pPr>
        <w:tabs>
          <w:tab w:val="left" w:pos="5529"/>
        </w:tabs>
        <w:rPr>
          <w:rFonts w:ascii="Arial" w:hAnsi="Arial" w:cs="Arial"/>
          <w:shd w:val="clear" w:color="auto" w:fill="FFFFFF"/>
        </w:rPr>
      </w:pPr>
      <w:r w:rsidRPr="000F6BBC">
        <w:rPr>
          <w:rFonts w:ascii="Arial" w:hAnsi="Arial" w:cs="Arial"/>
          <w:shd w:val="clear" w:color="auto" w:fill="FFFFFF"/>
        </w:rPr>
        <w:t>Statistisches Bundesamt: Mikrozensus, Entwicklung der Privathaushalte bis 2040, Annahmen und Ergebnisse der 14. koordiniert</w:t>
      </w:r>
      <w:r w:rsidR="00353706">
        <w:rPr>
          <w:rFonts w:ascii="Arial" w:hAnsi="Arial" w:cs="Arial"/>
          <w:shd w:val="clear" w:color="auto" w:fill="FFFFFF"/>
        </w:rPr>
        <w:t>en Bevölkerungsvorausberechnung</w:t>
      </w:r>
    </w:p>
    <w:p w:rsidR="000F6BBC" w:rsidRPr="00AA1F71" w:rsidRDefault="000F6BBC" w:rsidP="000F6BBC">
      <w:pPr>
        <w:tabs>
          <w:tab w:val="left" w:pos="5529"/>
        </w:tabs>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555E63" w:rsidRDefault="00130C1E" w:rsidP="00E26DA2">
      <w:pPr>
        <w:tabs>
          <w:tab w:val="left" w:pos="5529"/>
        </w:tabs>
        <w:rPr>
          <w:rFonts w:ascii="Arial" w:hAnsi="Arial" w:cs="Arial"/>
          <w:shd w:val="clear" w:color="auto" w:fill="FFFFFF"/>
        </w:rPr>
      </w:pPr>
    </w:p>
    <w:p w:rsidR="000F6BBC" w:rsidRPr="00555E63" w:rsidRDefault="00AC50EB" w:rsidP="000F6BBC">
      <w:pPr>
        <w:tabs>
          <w:tab w:val="left" w:pos="5529"/>
        </w:tabs>
        <w:rPr>
          <w:rFonts w:ascii="Arial" w:hAnsi="Arial" w:cs="Arial"/>
          <w:shd w:val="clear" w:color="auto" w:fill="FFFFFF"/>
        </w:rPr>
      </w:pPr>
      <w:r w:rsidRPr="00555E63">
        <w:rPr>
          <w:rFonts w:ascii="Arial" w:hAnsi="Arial" w:cs="Arial"/>
          <w:b/>
          <w:shd w:val="clear" w:color="auto" w:fill="FFFFFF"/>
        </w:rPr>
        <w:t>Kinder</w:t>
      </w:r>
      <w:r w:rsidRPr="00555E63">
        <w:rPr>
          <w:rFonts w:ascii="Arial" w:hAnsi="Arial" w:cs="Arial"/>
          <w:shd w:val="clear" w:color="auto" w:fill="FFFFFF"/>
        </w:rPr>
        <w:t> sind hier ledige Personen ohne Lebenspartner bzw. Lebenspartnerin und ohne eigene Kinder im Haushalt, die mit mindestens einem Elternteil in einer Familie zusammenleben. Als Kinder gelten im Mikrozensus – neben leiblichen Kindern – auch Stief-, Adoptiv- und Pflegekinder, sofern die zuvor genannten Voraussetzungen vorliegen. Eine Altersbegrenzung für die Zählung als Kind besteht prinzipiell nicht.</w:t>
      </w:r>
      <w:r w:rsidRPr="00555E63">
        <w:rPr>
          <w:rFonts w:ascii="Arial" w:hAnsi="Arial" w:cs="Arial"/>
          <w:shd w:val="clear" w:color="auto" w:fill="FFFFFF"/>
        </w:rPr>
        <w:br/>
      </w:r>
    </w:p>
    <w:p w:rsidR="007D25DA" w:rsidRPr="00555E63" w:rsidRDefault="007D25DA" w:rsidP="007D25DA">
      <w:pPr>
        <w:tabs>
          <w:tab w:val="left" w:pos="5529"/>
        </w:tabs>
        <w:rPr>
          <w:rFonts w:ascii="Arial" w:hAnsi="Arial" w:cs="Arial"/>
          <w:shd w:val="clear" w:color="auto" w:fill="FFFFFF"/>
        </w:rPr>
      </w:pPr>
      <w:r w:rsidRPr="00555E63">
        <w:rPr>
          <w:rFonts w:ascii="Arial" w:hAnsi="Arial" w:cs="Arial"/>
          <w:b/>
          <w:shd w:val="clear" w:color="auto" w:fill="FFFFFF"/>
        </w:rPr>
        <w:t>Bevölkerung in Privathaushalten:</w:t>
      </w:r>
      <w:r w:rsidRPr="00555E63">
        <w:rPr>
          <w:rFonts w:ascii="Arial" w:hAnsi="Arial" w:cs="Arial"/>
          <w:shd w:val="clear" w:color="auto" w:fill="FFFFFF"/>
        </w:rPr>
        <w:t xml:space="preserve"> Für die Darstellung der Haushalte und ihrer Struktur wird die Bevölkerung in Privathaushalten zugrunde gelegt. Hierzu zählen alle Personen, die am Haupt- oder Nebenwohnsitz allein (Einpersonenhaushalt) oder zusammen mit anderen Personen (Mehrpersonenhaushalt) eine wirtschaftliche Einheit (Privathaushalt) bilden. Sie werden auch als Haushaltsmitglieder bezeichnet. Die Bevölkerung in Gemeinschaftsunterkünften (zum Beispiel in Altenheimen) wird nicht berücksichtigt. Da eine Person in mehreren Privathaushalten wohnberechtigt sein kann, sind entsprechend Mehrfachzählungen möglich. So ist zum Beispiel der abwesende Haupteinkommensbezieher des Haushalts, der in einer anderen Gemeinde arbeitet und dort als Untermieter eine zweite Wohnung hat, Angehöriger von zwei Haushalten. Einmal zählt er zum Haushalt seiner Familie, zum anderen bildet er als Untermieter einen weiteren Haushalt. Da an jedem Wohnsitz Wohnraum und Infrastruktureinrichtungen in Anspruch genommen werden, wird üblicherweise nicht nach Haupt- und Nebenwohnsitz unterschieden. Jedoch sollten je nach Fragestellung ausschließlich Haushalte am Hauptwohnsitz betrachtet werden, um Mehrfachzählungen zu vermeiden. </w:t>
      </w:r>
    </w:p>
    <w:p w:rsidR="007D25DA" w:rsidRPr="00555E63" w:rsidRDefault="007D25DA" w:rsidP="007D25DA">
      <w:pPr>
        <w:tabs>
          <w:tab w:val="left" w:pos="5529"/>
        </w:tabs>
        <w:rPr>
          <w:rFonts w:ascii="Arial" w:hAnsi="Arial" w:cs="Arial"/>
          <w:shd w:val="clear" w:color="auto" w:fill="FFFFFF"/>
        </w:rPr>
      </w:pPr>
    </w:p>
    <w:p w:rsidR="007D25DA" w:rsidRPr="00555E63" w:rsidRDefault="007D25DA" w:rsidP="007D25DA">
      <w:pPr>
        <w:tabs>
          <w:tab w:val="left" w:pos="5529"/>
        </w:tabs>
        <w:rPr>
          <w:rFonts w:ascii="Arial" w:hAnsi="Arial" w:cs="Arial"/>
          <w:shd w:val="clear" w:color="auto" w:fill="FFFFFF"/>
        </w:rPr>
      </w:pPr>
      <w:r w:rsidRPr="00555E63">
        <w:rPr>
          <w:rFonts w:ascii="Arial" w:hAnsi="Arial" w:cs="Arial"/>
          <w:shd w:val="clear" w:color="auto" w:fill="FFFFFF"/>
        </w:rPr>
        <w:t xml:space="preserve">Für die künftige </w:t>
      </w:r>
      <w:r w:rsidRPr="00555E63">
        <w:rPr>
          <w:rFonts w:ascii="Arial" w:hAnsi="Arial" w:cs="Arial"/>
          <w:b/>
          <w:shd w:val="clear" w:color="auto" w:fill="FFFFFF"/>
        </w:rPr>
        <w:t>Entwicklung der Privathaushalte</w:t>
      </w:r>
      <w:r w:rsidRPr="00555E63">
        <w:rPr>
          <w:rFonts w:ascii="Arial" w:hAnsi="Arial" w:cs="Arial"/>
          <w:shd w:val="clear" w:color="auto" w:fill="FFFFFF"/>
        </w:rPr>
        <w:t xml:space="preserve"> ist die Alters- und Geschlechtsstruktur der Haushaltsmitglieder in den Jahren </w:t>
      </w:r>
      <w:r w:rsidRPr="00555E63">
        <w:rPr>
          <w:rFonts w:ascii="Arial" w:hAnsi="Arial" w:cs="Arial"/>
          <w:b/>
          <w:shd w:val="clear" w:color="auto" w:fill="FFFFFF"/>
        </w:rPr>
        <w:t>2019 bis 2040</w:t>
      </w:r>
      <w:r w:rsidRPr="00555E63">
        <w:rPr>
          <w:rFonts w:ascii="Arial" w:hAnsi="Arial" w:cs="Arial"/>
          <w:shd w:val="clear" w:color="auto" w:fill="FFFFFF"/>
        </w:rPr>
        <w:t xml:space="preserve"> maßgeblich. Dieser liegen die Annahmen bzw. Ergebnisse der Variante 2 der 14. koordinierten Bevölkerungsvorausberechnung zugrunde: Moderate Entwicklung der Geburtenhäufigkeit, der Lebenserwartung und der (Zu-)Wanderung (Variante 2 / G2-L2-W2). Bei der sogenannten und hier abgebildeten </w:t>
      </w:r>
      <w:r w:rsidRPr="00555E63">
        <w:rPr>
          <w:rFonts w:ascii="Arial" w:hAnsi="Arial" w:cs="Arial"/>
          <w:b/>
          <w:shd w:val="clear" w:color="auto" w:fill="FFFFFF"/>
        </w:rPr>
        <w:t>Trendvariante</w:t>
      </w:r>
      <w:r w:rsidRPr="00555E63">
        <w:rPr>
          <w:rFonts w:ascii="Arial" w:hAnsi="Arial" w:cs="Arial"/>
          <w:shd w:val="clear" w:color="auto" w:fill="FFFFFF"/>
        </w:rPr>
        <w:t xml:space="preserve"> der </w:t>
      </w:r>
      <w:r w:rsidRPr="00555E63">
        <w:rPr>
          <w:rFonts w:ascii="Arial" w:hAnsi="Arial" w:cs="Arial"/>
          <w:b/>
          <w:shd w:val="clear" w:color="auto" w:fill="FFFFFF"/>
        </w:rPr>
        <w:t>Haushaltsvorausberechnung</w:t>
      </w:r>
      <w:r w:rsidRPr="00555E63">
        <w:rPr>
          <w:rFonts w:ascii="Arial" w:hAnsi="Arial" w:cs="Arial"/>
          <w:shd w:val="clear" w:color="auto" w:fill="FFFFFF"/>
        </w:rPr>
        <w:t xml:space="preserve"> wird davon ausgegangen, dass sich das Haushaltsbildungsverhalten entlang bisher beobachteter Trends entwickelt. Gleichzeitig werden Verhaltensänderungen – wie zum Beispiel die seit einigen Jahren zu beobachtende Zunahme der Eheschließungen und Geburten – berücksichtigt.</w:t>
      </w:r>
    </w:p>
    <w:p w:rsidR="007D25DA" w:rsidRPr="00555E63" w:rsidRDefault="007D25DA" w:rsidP="007D25DA">
      <w:pPr>
        <w:tabs>
          <w:tab w:val="left" w:pos="5529"/>
        </w:tabs>
        <w:rPr>
          <w:rFonts w:ascii="Arial" w:hAnsi="Arial" w:cs="Arial"/>
          <w:shd w:val="clear" w:color="auto" w:fill="FFFFFF"/>
        </w:rPr>
      </w:pPr>
    </w:p>
    <w:p w:rsidR="007D25DA" w:rsidRDefault="007D25DA" w:rsidP="007D25DA">
      <w:pPr>
        <w:tabs>
          <w:tab w:val="left" w:pos="5529"/>
        </w:tabs>
        <w:rPr>
          <w:rFonts w:ascii="Arial" w:hAnsi="Arial" w:cs="Arial"/>
          <w:shd w:val="clear" w:color="auto" w:fill="FFFFFF"/>
        </w:rPr>
      </w:pPr>
      <w:r w:rsidRPr="00555E63">
        <w:rPr>
          <w:rFonts w:ascii="Arial" w:hAnsi="Arial" w:cs="Arial"/>
          <w:b/>
          <w:shd w:val="clear" w:color="auto" w:fill="FFFFFF"/>
        </w:rPr>
        <w:t>Hinweis:</w:t>
      </w:r>
      <w:r w:rsidRPr="00555E63">
        <w:rPr>
          <w:rFonts w:ascii="Arial" w:hAnsi="Arial" w:cs="Arial"/>
          <w:shd w:val="clear" w:color="auto" w:fill="FFFFFF"/>
        </w:rPr>
        <w:t xml:space="preserve"> Die langfristigen </w:t>
      </w:r>
      <w:r w:rsidRPr="00555E63">
        <w:rPr>
          <w:rFonts w:ascii="Arial" w:hAnsi="Arial" w:cs="Arial"/>
          <w:b/>
          <w:shd w:val="clear" w:color="auto" w:fill="FFFFFF"/>
        </w:rPr>
        <w:t>Bevölkerungsvorausberechnungen</w:t>
      </w:r>
      <w:r w:rsidRPr="00555E63">
        <w:rPr>
          <w:rFonts w:ascii="Arial" w:hAnsi="Arial" w:cs="Arial"/>
          <w:shd w:val="clear" w:color="auto" w:fill="FFFFFF"/>
        </w:rPr>
        <w:t> sind keine Prognosen, sondern liefern "Wenn-Dann-Aussagen". Sie gehen vom gegenwärtigen Altersaufbau aus und setzen die jeweils beschriebenen Annahmen um.</w:t>
      </w:r>
      <w:r w:rsidRPr="00555E63">
        <w:rPr>
          <w:rFonts w:ascii="Arial" w:hAnsi="Arial" w:cs="Arial"/>
          <w:shd w:val="clear" w:color="auto" w:fill="FFFFFF"/>
        </w:rPr>
        <w:br/>
      </w:r>
      <w:r w:rsidRPr="00555E63">
        <w:rPr>
          <w:rFonts w:ascii="Arial" w:hAnsi="Arial" w:cs="Arial"/>
          <w:shd w:val="clear" w:color="auto" w:fill="FFFFFF"/>
        </w:rPr>
        <w:br/>
      </w:r>
      <w:r w:rsidRPr="00555E63">
        <w:rPr>
          <w:rFonts w:ascii="Arial" w:hAnsi="Arial" w:cs="Arial"/>
          <w:b/>
          <w:shd w:val="clear" w:color="auto" w:fill="FFFFFF"/>
        </w:rPr>
        <w:t>Weitere Informationen zur Bevölkerungsvorausberechnungen</w:t>
      </w:r>
      <w:r w:rsidRPr="00555E63">
        <w:rPr>
          <w:rFonts w:ascii="Arial" w:hAnsi="Arial" w:cs="Arial"/>
          <w:shd w:val="clear" w:color="auto" w:fill="FFFFFF"/>
        </w:rPr>
        <w:t xml:space="preserve"> finden Sie hier: </w:t>
      </w:r>
      <w:hyperlink r:id="rId5" w:history="1">
        <w:r w:rsidRPr="00DB74C7">
          <w:rPr>
            <w:rStyle w:val="Hyperlink"/>
            <w:rFonts w:ascii="Arial" w:hAnsi="Arial" w:cs="Arial"/>
            <w:shd w:val="clear" w:color="auto" w:fill="FFFFFF"/>
          </w:rPr>
          <w:t>https://www.bpb.de/61541</w:t>
        </w:r>
      </w:hyperlink>
    </w:p>
    <w:p w:rsidR="00670B9F" w:rsidRPr="00555E63" w:rsidRDefault="00670B9F" w:rsidP="00E26DA2">
      <w:pPr>
        <w:tabs>
          <w:tab w:val="left" w:pos="5529"/>
        </w:tabs>
        <w:rPr>
          <w:rFonts w:ascii="Arial" w:hAnsi="Arial" w:cs="Arial"/>
          <w:shd w:val="clear" w:color="auto" w:fill="FFFFFF"/>
        </w:rPr>
      </w:pPr>
    </w:p>
    <w:p w:rsidR="001B7D15" w:rsidRPr="00555E63" w:rsidRDefault="001B7D15" w:rsidP="001B7D15">
      <w:pPr>
        <w:rPr>
          <w:rFonts w:ascii="Arial" w:hAnsi="Arial" w:cs="Arial"/>
          <w:sz w:val="20"/>
          <w:szCs w:val="20"/>
        </w:rPr>
      </w:pPr>
      <w:r w:rsidRPr="00555E63">
        <w:rPr>
          <w:rFonts w:ascii="Arial" w:hAnsi="Arial" w:cs="Arial"/>
          <w:sz w:val="20"/>
          <w:szCs w:val="20"/>
        </w:rPr>
        <w:t xml:space="preserve">Dieser Text ist unter der Creative Commons Lizenz </w:t>
      </w:r>
      <w:hyperlink r:id="rId6" w:tgtFrame="extern" w:history="1">
        <w:r w:rsidRPr="00555E63">
          <w:rPr>
            <w:rFonts w:ascii="Arial" w:hAnsi="Arial" w:cs="Arial"/>
            <w:sz w:val="20"/>
            <w:szCs w:val="20"/>
          </w:rPr>
          <w:t>by-nc-nd/3.0/de/</w:t>
        </w:r>
      </w:hyperlink>
      <w:r w:rsidRPr="00555E63">
        <w:rPr>
          <w:rFonts w:ascii="Arial" w:hAnsi="Arial" w:cs="Arial"/>
          <w:sz w:val="20"/>
          <w:szCs w:val="20"/>
        </w:rPr>
        <w:t xml:space="preserve"> veröffentlicht. </w:t>
      </w:r>
    </w:p>
    <w:p w:rsidR="001B7D15" w:rsidRPr="00555E63" w:rsidRDefault="001B7D15">
      <w:pPr>
        <w:rPr>
          <w:rFonts w:ascii="Arial" w:hAnsi="Arial" w:cs="Arial"/>
          <w:i/>
        </w:rPr>
      </w:pPr>
      <w:r w:rsidRPr="00555E63">
        <w:rPr>
          <w:rFonts w:ascii="Arial" w:hAnsi="Arial" w:cs="Arial"/>
          <w:sz w:val="20"/>
          <w:szCs w:val="20"/>
        </w:rPr>
        <w:t>Bundeszentrale für politische Bildung 20</w:t>
      </w:r>
      <w:r w:rsidR="00BD5C4D" w:rsidRPr="00555E63">
        <w:rPr>
          <w:rFonts w:ascii="Arial" w:hAnsi="Arial" w:cs="Arial"/>
          <w:sz w:val="20"/>
          <w:szCs w:val="20"/>
        </w:rPr>
        <w:t>2</w:t>
      </w:r>
      <w:r w:rsidR="003862FB">
        <w:rPr>
          <w:rFonts w:ascii="Arial" w:hAnsi="Arial" w:cs="Arial"/>
          <w:sz w:val="20"/>
          <w:szCs w:val="20"/>
        </w:rPr>
        <w:t>1</w:t>
      </w:r>
      <w:bookmarkStart w:id="0" w:name="_GoBack"/>
      <w:bookmarkEnd w:id="0"/>
      <w:r w:rsidRPr="00555E63">
        <w:rPr>
          <w:rFonts w:ascii="Arial" w:hAnsi="Arial" w:cs="Arial"/>
          <w:sz w:val="20"/>
          <w:szCs w:val="20"/>
        </w:rPr>
        <w:t xml:space="preserve"> | </w:t>
      </w:r>
      <w:hyperlink r:id="rId7" w:history="1">
        <w:r w:rsidRPr="00555E63">
          <w:rPr>
            <w:rFonts w:ascii="Arial" w:hAnsi="Arial" w:cs="Arial"/>
            <w:sz w:val="20"/>
            <w:szCs w:val="20"/>
          </w:rPr>
          <w:t>www.bpb.de</w:t>
        </w:r>
      </w:hyperlink>
    </w:p>
    <w:sectPr w:rsidR="001B7D15" w:rsidRPr="00555E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071C4"/>
    <w:rsid w:val="00015AD9"/>
    <w:rsid w:val="000238CC"/>
    <w:rsid w:val="0003626A"/>
    <w:rsid w:val="0005792D"/>
    <w:rsid w:val="00070D8B"/>
    <w:rsid w:val="00076264"/>
    <w:rsid w:val="0009167D"/>
    <w:rsid w:val="000A06C1"/>
    <w:rsid w:val="000A20AA"/>
    <w:rsid w:val="000A7F9D"/>
    <w:rsid w:val="000C730A"/>
    <w:rsid w:val="000E2813"/>
    <w:rsid w:val="000F5548"/>
    <w:rsid w:val="000F55F6"/>
    <w:rsid w:val="000F6BBC"/>
    <w:rsid w:val="00101A74"/>
    <w:rsid w:val="00104423"/>
    <w:rsid w:val="00111F49"/>
    <w:rsid w:val="001200F4"/>
    <w:rsid w:val="001221A4"/>
    <w:rsid w:val="001269EF"/>
    <w:rsid w:val="00130C1E"/>
    <w:rsid w:val="00163721"/>
    <w:rsid w:val="001662E8"/>
    <w:rsid w:val="001713B1"/>
    <w:rsid w:val="001715AF"/>
    <w:rsid w:val="00171D83"/>
    <w:rsid w:val="0017448A"/>
    <w:rsid w:val="00174B87"/>
    <w:rsid w:val="00183A44"/>
    <w:rsid w:val="00186198"/>
    <w:rsid w:val="001863C2"/>
    <w:rsid w:val="00186DC5"/>
    <w:rsid w:val="001B606B"/>
    <w:rsid w:val="001B735C"/>
    <w:rsid w:val="001B7D15"/>
    <w:rsid w:val="001D198C"/>
    <w:rsid w:val="001D7E07"/>
    <w:rsid w:val="001E5E13"/>
    <w:rsid w:val="001F0077"/>
    <w:rsid w:val="001F7F43"/>
    <w:rsid w:val="00212FA5"/>
    <w:rsid w:val="0021766E"/>
    <w:rsid w:val="00236386"/>
    <w:rsid w:val="00244199"/>
    <w:rsid w:val="00244394"/>
    <w:rsid w:val="00245DE2"/>
    <w:rsid w:val="00260769"/>
    <w:rsid w:val="00266714"/>
    <w:rsid w:val="002676AC"/>
    <w:rsid w:val="002766B9"/>
    <w:rsid w:val="0028024F"/>
    <w:rsid w:val="002B5C93"/>
    <w:rsid w:val="002C242C"/>
    <w:rsid w:val="002D3ED7"/>
    <w:rsid w:val="002E7D46"/>
    <w:rsid w:val="00353706"/>
    <w:rsid w:val="00363D8E"/>
    <w:rsid w:val="003657B1"/>
    <w:rsid w:val="0038111C"/>
    <w:rsid w:val="003862FB"/>
    <w:rsid w:val="003946BD"/>
    <w:rsid w:val="003A6FDC"/>
    <w:rsid w:val="003B1043"/>
    <w:rsid w:val="003B2FF1"/>
    <w:rsid w:val="003B5A46"/>
    <w:rsid w:val="003C1F2C"/>
    <w:rsid w:val="003D3ABC"/>
    <w:rsid w:val="003E0426"/>
    <w:rsid w:val="003E0C4A"/>
    <w:rsid w:val="003E25B4"/>
    <w:rsid w:val="003F711C"/>
    <w:rsid w:val="00402B2C"/>
    <w:rsid w:val="004210B3"/>
    <w:rsid w:val="004242F8"/>
    <w:rsid w:val="004250EE"/>
    <w:rsid w:val="00425117"/>
    <w:rsid w:val="004554C0"/>
    <w:rsid w:val="00455ECF"/>
    <w:rsid w:val="00460C51"/>
    <w:rsid w:val="00464F29"/>
    <w:rsid w:val="0046791C"/>
    <w:rsid w:val="004715C5"/>
    <w:rsid w:val="004731E5"/>
    <w:rsid w:val="00473F5D"/>
    <w:rsid w:val="00475AB8"/>
    <w:rsid w:val="0047765A"/>
    <w:rsid w:val="00477EBE"/>
    <w:rsid w:val="00485344"/>
    <w:rsid w:val="00494DF9"/>
    <w:rsid w:val="004A2795"/>
    <w:rsid w:val="004A6A0F"/>
    <w:rsid w:val="004D59F0"/>
    <w:rsid w:val="004E6618"/>
    <w:rsid w:val="004F0DF6"/>
    <w:rsid w:val="004F2EB9"/>
    <w:rsid w:val="004F5774"/>
    <w:rsid w:val="0051310F"/>
    <w:rsid w:val="00514A82"/>
    <w:rsid w:val="005234DF"/>
    <w:rsid w:val="005442B2"/>
    <w:rsid w:val="005533BA"/>
    <w:rsid w:val="005557C5"/>
    <w:rsid w:val="00555E63"/>
    <w:rsid w:val="00563462"/>
    <w:rsid w:val="00577775"/>
    <w:rsid w:val="00594628"/>
    <w:rsid w:val="005B4D9E"/>
    <w:rsid w:val="005C7778"/>
    <w:rsid w:val="005E2E4B"/>
    <w:rsid w:val="005E5C94"/>
    <w:rsid w:val="005E5FDE"/>
    <w:rsid w:val="005F59DD"/>
    <w:rsid w:val="005F7382"/>
    <w:rsid w:val="0060238D"/>
    <w:rsid w:val="00607EB3"/>
    <w:rsid w:val="00617540"/>
    <w:rsid w:val="00625C9B"/>
    <w:rsid w:val="00652ACF"/>
    <w:rsid w:val="00652DD2"/>
    <w:rsid w:val="006556F0"/>
    <w:rsid w:val="00670B9F"/>
    <w:rsid w:val="00672B62"/>
    <w:rsid w:val="0068567A"/>
    <w:rsid w:val="00694F21"/>
    <w:rsid w:val="006952E5"/>
    <w:rsid w:val="006A3317"/>
    <w:rsid w:val="006B1677"/>
    <w:rsid w:val="006B2F04"/>
    <w:rsid w:val="0070122C"/>
    <w:rsid w:val="00722C39"/>
    <w:rsid w:val="00740C0E"/>
    <w:rsid w:val="00743840"/>
    <w:rsid w:val="007443B1"/>
    <w:rsid w:val="00746BFB"/>
    <w:rsid w:val="00756A6D"/>
    <w:rsid w:val="00766238"/>
    <w:rsid w:val="007764D5"/>
    <w:rsid w:val="00793840"/>
    <w:rsid w:val="007B4AD0"/>
    <w:rsid w:val="007C2C5E"/>
    <w:rsid w:val="007C3EFF"/>
    <w:rsid w:val="007C516A"/>
    <w:rsid w:val="007D25DA"/>
    <w:rsid w:val="007D3B72"/>
    <w:rsid w:val="007E347B"/>
    <w:rsid w:val="007E4236"/>
    <w:rsid w:val="007E4C5C"/>
    <w:rsid w:val="007E7424"/>
    <w:rsid w:val="007F4155"/>
    <w:rsid w:val="00812651"/>
    <w:rsid w:val="0082696E"/>
    <w:rsid w:val="00833813"/>
    <w:rsid w:val="00833EB8"/>
    <w:rsid w:val="00835E1B"/>
    <w:rsid w:val="00841E79"/>
    <w:rsid w:val="00841ECF"/>
    <w:rsid w:val="00843264"/>
    <w:rsid w:val="00846E3F"/>
    <w:rsid w:val="0085672F"/>
    <w:rsid w:val="008579A4"/>
    <w:rsid w:val="008600EC"/>
    <w:rsid w:val="0086092F"/>
    <w:rsid w:val="00864E6C"/>
    <w:rsid w:val="0088239F"/>
    <w:rsid w:val="00892026"/>
    <w:rsid w:val="008A292E"/>
    <w:rsid w:val="008B2910"/>
    <w:rsid w:val="008C59DD"/>
    <w:rsid w:val="008D0676"/>
    <w:rsid w:val="008D0CEB"/>
    <w:rsid w:val="008E0F4F"/>
    <w:rsid w:val="008E550C"/>
    <w:rsid w:val="009135B0"/>
    <w:rsid w:val="009219CE"/>
    <w:rsid w:val="00922D13"/>
    <w:rsid w:val="00932EC5"/>
    <w:rsid w:val="009375C5"/>
    <w:rsid w:val="009418DE"/>
    <w:rsid w:val="00950462"/>
    <w:rsid w:val="0095097C"/>
    <w:rsid w:val="00957E65"/>
    <w:rsid w:val="009635A6"/>
    <w:rsid w:val="00986482"/>
    <w:rsid w:val="00993D3E"/>
    <w:rsid w:val="0099599B"/>
    <w:rsid w:val="009A01C9"/>
    <w:rsid w:val="009A39DD"/>
    <w:rsid w:val="009B34B6"/>
    <w:rsid w:val="009C7AE9"/>
    <w:rsid w:val="009D7A63"/>
    <w:rsid w:val="009E0BFE"/>
    <w:rsid w:val="009E3A9C"/>
    <w:rsid w:val="009E5785"/>
    <w:rsid w:val="009F15BD"/>
    <w:rsid w:val="009F1743"/>
    <w:rsid w:val="009F7E75"/>
    <w:rsid w:val="00A14D4F"/>
    <w:rsid w:val="00A20379"/>
    <w:rsid w:val="00A2274F"/>
    <w:rsid w:val="00A30C39"/>
    <w:rsid w:val="00A3520F"/>
    <w:rsid w:val="00A36099"/>
    <w:rsid w:val="00A37E7C"/>
    <w:rsid w:val="00A563F5"/>
    <w:rsid w:val="00A60CCF"/>
    <w:rsid w:val="00A665D1"/>
    <w:rsid w:val="00A81B94"/>
    <w:rsid w:val="00A853E6"/>
    <w:rsid w:val="00A86D33"/>
    <w:rsid w:val="00AA1895"/>
    <w:rsid w:val="00AC50EB"/>
    <w:rsid w:val="00AC61BA"/>
    <w:rsid w:val="00AD308A"/>
    <w:rsid w:val="00AD5A2B"/>
    <w:rsid w:val="00AD7565"/>
    <w:rsid w:val="00AE73D2"/>
    <w:rsid w:val="00B046F9"/>
    <w:rsid w:val="00B15B38"/>
    <w:rsid w:val="00B26333"/>
    <w:rsid w:val="00B32082"/>
    <w:rsid w:val="00B330D7"/>
    <w:rsid w:val="00B33419"/>
    <w:rsid w:val="00B37938"/>
    <w:rsid w:val="00B6099E"/>
    <w:rsid w:val="00B73F14"/>
    <w:rsid w:val="00B74018"/>
    <w:rsid w:val="00B812AB"/>
    <w:rsid w:val="00B96BD8"/>
    <w:rsid w:val="00BA27C4"/>
    <w:rsid w:val="00BA37F8"/>
    <w:rsid w:val="00BC5FEF"/>
    <w:rsid w:val="00BC60BC"/>
    <w:rsid w:val="00BD32D9"/>
    <w:rsid w:val="00BD5C4D"/>
    <w:rsid w:val="00BF2D38"/>
    <w:rsid w:val="00BF5551"/>
    <w:rsid w:val="00C07FE1"/>
    <w:rsid w:val="00C23848"/>
    <w:rsid w:val="00C32A40"/>
    <w:rsid w:val="00C33977"/>
    <w:rsid w:val="00C46A1D"/>
    <w:rsid w:val="00C5712E"/>
    <w:rsid w:val="00C7374E"/>
    <w:rsid w:val="00C832FB"/>
    <w:rsid w:val="00C83F01"/>
    <w:rsid w:val="00C878A1"/>
    <w:rsid w:val="00CA5D69"/>
    <w:rsid w:val="00CC5C8D"/>
    <w:rsid w:val="00CC7933"/>
    <w:rsid w:val="00CD4881"/>
    <w:rsid w:val="00CE6004"/>
    <w:rsid w:val="00CF2201"/>
    <w:rsid w:val="00CF3BF7"/>
    <w:rsid w:val="00D10100"/>
    <w:rsid w:val="00D17469"/>
    <w:rsid w:val="00D239C1"/>
    <w:rsid w:val="00D34D4D"/>
    <w:rsid w:val="00D37B09"/>
    <w:rsid w:val="00D401FD"/>
    <w:rsid w:val="00D4298E"/>
    <w:rsid w:val="00D50139"/>
    <w:rsid w:val="00D6551E"/>
    <w:rsid w:val="00D67563"/>
    <w:rsid w:val="00D701D7"/>
    <w:rsid w:val="00D90271"/>
    <w:rsid w:val="00DA0F72"/>
    <w:rsid w:val="00DB1472"/>
    <w:rsid w:val="00DC1022"/>
    <w:rsid w:val="00DE45D7"/>
    <w:rsid w:val="00DF3043"/>
    <w:rsid w:val="00DF4935"/>
    <w:rsid w:val="00E070E9"/>
    <w:rsid w:val="00E120DD"/>
    <w:rsid w:val="00E17263"/>
    <w:rsid w:val="00E26DA2"/>
    <w:rsid w:val="00E6022F"/>
    <w:rsid w:val="00E66F2E"/>
    <w:rsid w:val="00E771E2"/>
    <w:rsid w:val="00E87B35"/>
    <w:rsid w:val="00EA4813"/>
    <w:rsid w:val="00EB0E7B"/>
    <w:rsid w:val="00EB3D63"/>
    <w:rsid w:val="00ED0C9F"/>
    <w:rsid w:val="00ED7BBC"/>
    <w:rsid w:val="00EE5A3C"/>
    <w:rsid w:val="00EF2F99"/>
    <w:rsid w:val="00F02304"/>
    <w:rsid w:val="00F0757C"/>
    <w:rsid w:val="00F14B2A"/>
    <w:rsid w:val="00F20194"/>
    <w:rsid w:val="00F20B03"/>
    <w:rsid w:val="00F23DFF"/>
    <w:rsid w:val="00F33357"/>
    <w:rsid w:val="00F33CB6"/>
    <w:rsid w:val="00F35780"/>
    <w:rsid w:val="00F56CBA"/>
    <w:rsid w:val="00F62A17"/>
    <w:rsid w:val="00F71E76"/>
    <w:rsid w:val="00F7758A"/>
    <w:rsid w:val="00F833D1"/>
    <w:rsid w:val="00F86A3C"/>
    <w:rsid w:val="00FA4969"/>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reativecommons.org/licenses/by-nc-nd/3.0/de/" TargetMode="External"/><Relationship Id="rId5" Type="http://schemas.openxmlformats.org/officeDocument/2006/relationships/hyperlink" Target="https://www.bpb.de/6154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5478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dcterms:created xsi:type="dcterms:W3CDTF">2021-03-02T16:01:00Z</dcterms:created>
  <dcterms:modified xsi:type="dcterms:W3CDTF">2021-03-02T20:18:00Z</dcterms:modified>
</cp:coreProperties>
</file>