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B10" w:rsidRPr="001A3B10" w:rsidRDefault="001A3B10" w:rsidP="001A3B10">
      <w:pPr>
        <w:rPr>
          <w:rFonts w:ascii="Arial" w:hAnsi="Arial" w:cs="Arial"/>
          <w:b/>
          <w:bCs/>
          <w:i/>
          <w:shd w:val="clear" w:color="auto" w:fill="FFFFFF"/>
        </w:rPr>
      </w:pPr>
      <w:r w:rsidRPr="001A3B10">
        <w:rPr>
          <w:rFonts w:ascii="Arial" w:hAnsi="Arial" w:cs="Arial"/>
          <w:b/>
          <w:shd w:val="clear" w:color="auto" w:fill="FFFFFF"/>
        </w:rPr>
        <w:t xml:space="preserve">Zwischen 2000 und 2019 haben sich die Ausgaben für Forschung und Entwicklung (FuE) in Deutschland deutlich mehr als verdoppelt. Auch ihr Anteil am Bruttoinlandsprodukt ist in dieser Zeit von 2,44 auf 3,19 Prozent gestiegen. Den größten Anteil an den FuE-Aufwendungen haben die Unternehmen – </w:t>
      </w:r>
      <w:r>
        <w:rPr>
          <w:rFonts w:ascii="Arial" w:hAnsi="Arial" w:cs="Arial"/>
          <w:b/>
          <w:shd w:val="clear" w:color="auto" w:fill="FFFFFF"/>
        </w:rPr>
        <w:t xml:space="preserve">ihr Anteil liegt </w:t>
      </w:r>
      <w:r w:rsidRPr="001A3B10">
        <w:rPr>
          <w:rFonts w:ascii="Arial" w:hAnsi="Arial" w:cs="Arial"/>
          <w:b/>
          <w:shd w:val="clear" w:color="auto" w:fill="FFFFFF"/>
        </w:rPr>
        <w:t xml:space="preserve">seit Jahren </w:t>
      </w:r>
      <w:r>
        <w:rPr>
          <w:rFonts w:ascii="Arial" w:hAnsi="Arial" w:cs="Arial"/>
          <w:b/>
          <w:shd w:val="clear" w:color="auto" w:fill="FFFFFF"/>
        </w:rPr>
        <w:t xml:space="preserve">bei </w:t>
      </w:r>
      <w:r w:rsidRPr="001A3B10">
        <w:rPr>
          <w:rFonts w:ascii="Arial" w:hAnsi="Arial" w:cs="Arial"/>
          <w:b/>
          <w:shd w:val="clear" w:color="auto" w:fill="FFFFFF"/>
        </w:rPr>
        <w:t>gut zwei Drittel</w:t>
      </w:r>
      <w:r>
        <w:rPr>
          <w:rFonts w:ascii="Arial" w:hAnsi="Arial" w:cs="Arial"/>
          <w:b/>
          <w:shd w:val="clear" w:color="auto" w:fill="FFFFFF"/>
        </w:rPr>
        <w:t>n. Allerdings gilt dies nicht für alle Bundesländer.</w:t>
      </w:r>
    </w:p>
    <w:p w:rsidR="00EF5FDE" w:rsidRDefault="00EF5FDE" w:rsidP="007443B1">
      <w:pPr>
        <w:rPr>
          <w:rFonts w:ascii="Arial" w:hAnsi="Arial" w:cs="Arial"/>
          <w:b/>
          <w:bCs/>
          <w:i/>
          <w:shd w:val="clear" w:color="auto" w:fill="FFFFFF"/>
        </w:rPr>
      </w:pPr>
    </w:p>
    <w:p w:rsidR="00CA5D69" w:rsidRDefault="00CA5D69" w:rsidP="00CA5D69">
      <w:pPr>
        <w:rPr>
          <w:rFonts w:ascii="Arial" w:hAnsi="Arial"/>
          <w:color w:val="FF0000"/>
        </w:rPr>
      </w:pPr>
      <w:r>
        <w:rPr>
          <w:rFonts w:ascii="Arial" w:hAnsi="Arial"/>
          <w:color w:val="FF0000"/>
        </w:rPr>
        <w:t>Fakten</w:t>
      </w:r>
    </w:p>
    <w:p w:rsidR="00CA5D69" w:rsidRPr="004C202E" w:rsidRDefault="00CA5D69" w:rsidP="00CA5D69">
      <w:pPr>
        <w:rPr>
          <w:rFonts w:ascii="Arial" w:hAnsi="Arial" w:cs="Arial"/>
          <w:shd w:val="clear" w:color="auto" w:fill="FFFFFF"/>
        </w:rPr>
      </w:pPr>
    </w:p>
    <w:p w:rsidR="004C202E" w:rsidRDefault="009E5B9B" w:rsidP="00CA5D69">
      <w:pPr>
        <w:rPr>
          <w:rFonts w:ascii="Arial" w:hAnsi="Arial" w:cs="Arial"/>
          <w:shd w:val="clear" w:color="auto" w:fill="FFFFFF"/>
        </w:rPr>
      </w:pPr>
      <w:r w:rsidRPr="004C202E">
        <w:rPr>
          <w:rFonts w:ascii="Arial" w:hAnsi="Arial" w:cs="Arial"/>
          <w:shd w:val="clear" w:color="auto" w:fill="FFFFFF"/>
        </w:rPr>
        <w:t xml:space="preserve">Zwischen </w:t>
      </w:r>
      <w:r w:rsidR="004C202E" w:rsidRPr="004C202E">
        <w:rPr>
          <w:rFonts w:ascii="Arial" w:hAnsi="Arial" w:cs="Arial"/>
          <w:shd w:val="clear" w:color="auto" w:fill="FFFFFF"/>
        </w:rPr>
        <w:t>200</w:t>
      </w:r>
      <w:r w:rsidR="007D47AB">
        <w:rPr>
          <w:rFonts w:ascii="Arial" w:hAnsi="Arial" w:cs="Arial"/>
          <w:shd w:val="clear" w:color="auto" w:fill="FFFFFF"/>
        </w:rPr>
        <w:t>0</w:t>
      </w:r>
      <w:r w:rsidRPr="004C202E">
        <w:rPr>
          <w:rFonts w:ascii="Arial" w:hAnsi="Arial" w:cs="Arial"/>
          <w:shd w:val="clear" w:color="auto" w:fill="FFFFFF"/>
        </w:rPr>
        <w:t xml:space="preserve"> und 201</w:t>
      </w:r>
      <w:r w:rsidR="004C202E" w:rsidRPr="004C202E">
        <w:rPr>
          <w:rFonts w:ascii="Arial" w:hAnsi="Arial" w:cs="Arial"/>
          <w:shd w:val="clear" w:color="auto" w:fill="FFFFFF"/>
        </w:rPr>
        <w:t>9</w:t>
      </w:r>
      <w:r w:rsidRPr="004C202E">
        <w:rPr>
          <w:rFonts w:ascii="Arial" w:hAnsi="Arial" w:cs="Arial"/>
          <w:shd w:val="clear" w:color="auto" w:fill="FFFFFF"/>
        </w:rPr>
        <w:t xml:space="preserve"> haben sich die Ausgaben für Forschung und Entwicklung (FuE) in Deutschland </w:t>
      </w:r>
      <w:r w:rsidR="007D47AB">
        <w:rPr>
          <w:rFonts w:ascii="Arial" w:hAnsi="Arial" w:cs="Arial"/>
          <w:shd w:val="clear" w:color="auto" w:fill="FFFFFF"/>
        </w:rPr>
        <w:t xml:space="preserve">deutlich </w:t>
      </w:r>
      <w:r w:rsidR="004C202E" w:rsidRPr="004C202E">
        <w:rPr>
          <w:rFonts w:ascii="Arial" w:hAnsi="Arial" w:cs="Arial"/>
          <w:shd w:val="clear" w:color="auto" w:fill="FFFFFF"/>
        </w:rPr>
        <w:t xml:space="preserve">mehr als </w:t>
      </w:r>
      <w:r w:rsidRPr="004C202E">
        <w:rPr>
          <w:rFonts w:ascii="Arial" w:hAnsi="Arial" w:cs="Arial"/>
          <w:shd w:val="clear" w:color="auto" w:fill="FFFFFF"/>
        </w:rPr>
        <w:t xml:space="preserve">verdoppelt. Sie stiegen von </w:t>
      </w:r>
      <w:r w:rsidR="004C202E" w:rsidRPr="004C202E">
        <w:rPr>
          <w:rFonts w:ascii="Arial" w:hAnsi="Arial" w:cs="Arial"/>
          <w:shd w:val="clear" w:color="auto" w:fill="FFFFFF"/>
        </w:rPr>
        <w:t>5</w:t>
      </w:r>
      <w:r w:rsidR="007D47AB">
        <w:rPr>
          <w:rFonts w:ascii="Arial" w:hAnsi="Arial" w:cs="Arial"/>
          <w:shd w:val="clear" w:color="auto" w:fill="FFFFFF"/>
        </w:rPr>
        <w:t>0</w:t>
      </w:r>
      <w:r w:rsidRPr="004C202E">
        <w:rPr>
          <w:rFonts w:ascii="Arial" w:hAnsi="Arial" w:cs="Arial"/>
          <w:shd w:val="clear" w:color="auto" w:fill="FFFFFF"/>
        </w:rPr>
        <w:t>,</w:t>
      </w:r>
      <w:r w:rsidR="007D47AB">
        <w:rPr>
          <w:rFonts w:ascii="Arial" w:hAnsi="Arial" w:cs="Arial"/>
          <w:shd w:val="clear" w:color="auto" w:fill="FFFFFF"/>
        </w:rPr>
        <w:t>8</w:t>
      </w:r>
      <w:r w:rsidRPr="004C202E">
        <w:rPr>
          <w:rFonts w:ascii="Arial" w:hAnsi="Arial" w:cs="Arial"/>
          <w:shd w:val="clear" w:color="auto" w:fill="FFFFFF"/>
        </w:rPr>
        <w:t xml:space="preserve"> auf </w:t>
      </w:r>
      <w:r w:rsidR="004C202E" w:rsidRPr="004C202E">
        <w:rPr>
          <w:rFonts w:ascii="Arial" w:hAnsi="Arial" w:cs="Arial"/>
          <w:shd w:val="clear" w:color="auto" w:fill="FFFFFF"/>
        </w:rPr>
        <w:t>1</w:t>
      </w:r>
      <w:r w:rsidR="004748C6">
        <w:rPr>
          <w:rFonts w:ascii="Arial" w:hAnsi="Arial" w:cs="Arial"/>
          <w:shd w:val="clear" w:color="auto" w:fill="FFFFFF"/>
        </w:rPr>
        <w:t>10</w:t>
      </w:r>
      <w:r w:rsidRPr="004C202E">
        <w:rPr>
          <w:rFonts w:ascii="Arial" w:hAnsi="Arial" w:cs="Arial"/>
          <w:shd w:val="clear" w:color="auto" w:fill="FFFFFF"/>
        </w:rPr>
        <w:t>,</w:t>
      </w:r>
      <w:r w:rsidR="004748C6">
        <w:rPr>
          <w:rFonts w:ascii="Arial" w:hAnsi="Arial" w:cs="Arial"/>
          <w:shd w:val="clear" w:color="auto" w:fill="FFFFFF"/>
        </w:rPr>
        <w:t>0</w:t>
      </w:r>
      <w:r w:rsidRPr="004C202E">
        <w:rPr>
          <w:rFonts w:ascii="Arial" w:hAnsi="Arial" w:cs="Arial"/>
          <w:shd w:val="clear" w:color="auto" w:fill="FFFFFF"/>
        </w:rPr>
        <w:t xml:space="preserve"> Milliarden Euro (plus </w:t>
      </w:r>
      <w:r w:rsidR="004C202E" w:rsidRPr="004C202E">
        <w:rPr>
          <w:rFonts w:ascii="Arial" w:hAnsi="Arial" w:cs="Arial"/>
          <w:shd w:val="clear" w:color="auto" w:fill="FFFFFF"/>
        </w:rPr>
        <w:t>1</w:t>
      </w:r>
      <w:r w:rsidR="007D47AB">
        <w:rPr>
          <w:rFonts w:ascii="Arial" w:hAnsi="Arial" w:cs="Arial"/>
          <w:shd w:val="clear" w:color="auto" w:fill="FFFFFF"/>
        </w:rPr>
        <w:t>16</w:t>
      </w:r>
      <w:r w:rsidRPr="004C202E">
        <w:rPr>
          <w:rFonts w:ascii="Arial" w:hAnsi="Arial" w:cs="Arial"/>
          <w:shd w:val="clear" w:color="auto" w:fill="FFFFFF"/>
        </w:rPr>
        <w:t>,</w:t>
      </w:r>
      <w:r w:rsidR="004748C6">
        <w:rPr>
          <w:rFonts w:ascii="Arial" w:hAnsi="Arial" w:cs="Arial"/>
          <w:shd w:val="clear" w:color="auto" w:fill="FFFFFF"/>
        </w:rPr>
        <w:t>5</w:t>
      </w:r>
      <w:r w:rsidRPr="004C202E">
        <w:rPr>
          <w:rFonts w:ascii="Arial" w:hAnsi="Arial" w:cs="Arial"/>
          <w:shd w:val="clear" w:color="auto" w:fill="FFFFFF"/>
        </w:rPr>
        <w:t xml:space="preserve"> Prozent). Der Anteil des Unternehmenssektors an den FuE-Ausgaben lag dabei im Mittel bei 68,</w:t>
      </w:r>
      <w:r w:rsidR="007D47AB">
        <w:rPr>
          <w:rFonts w:ascii="Arial" w:hAnsi="Arial" w:cs="Arial"/>
          <w:shd w:val="clear" w:color="auto" w:fill="FFFFFF"/>
        </w:rPr>
        <w:t>7</w:t>
      </w:r>
      <w:r w:rsidRPr="004C202E">
        <w:rPr>
          <w:rFonts w:ascii="Arial" w:hAnsi="Arial" w:cs="Arial"/>
          <w:shd w:val="clear" w:color="auto" w:fill="FFFFFF"/>
        </w:rPr>
        <w:t xml:space="preserve"> Prozent und schwankte in diesem Zeitraum nur leicht um diesen Wert. Im Jahr 201</w:t>
      </w:r>
      <w:r w:rsidR="004C202E" w:rsidRPr="004C202E">
        <w:rPr>
          <w:rFonts w:ascii="Arial" w:hAnsi="Arial" w:cs="Arial"/>
          <w:shd w:val="clear" w:color="auto" w:fill="FFFFFF"/>
        </w:rPr>
        <w:t>9</w:t>
      </w:r>
      <w:r w:rsidRPr="004C202E">
        <w:rPr>
          <w:rFonts w:ascii="Arial" w:hAnsi="Arial" w:cs="Arial"/>
          <w:shd w:val="clear" w:color="auto" w:fill="FFFFFF"/>
        </w:rPr>
        <w:t xml:space="preserve"> gab die Wirtschaft</w:t>
      </w:r>
      <w:r w:rsidR="002A6DCF">
        <w:rPr>
          <w:rFonts w:ascii="Arial" w:hAnsi="Arial" w:cs="Arial"/>
          <w:shd w:val="clear" w:color="auto" w:fill="FFFFFF"/>
        </w:rPr>
        <w:t xml:space="preserve"> </w:t>
      </w:r>
      <w:r w:rsidR="004C202E" w:rsidRPr="004C202E">
        <w:rPr>
          <w:rFonts w:ascii="Arial" w:hAnsi="Arial" w:cs="Arial"/>
          <w:shd w:val="clear" w:color="auto" w:fill="FFFFFF"/>
        </w:rPr>
        <w:t>75</w:t>
      </w:r>
      <w:r w:rsidRPr="004C202E">
        <w:rPr>
          <w:rFonts w:ascii="Arial" w:hAnsi="Arial" w:cs="Arial"/>
          <w:shd w:val="clear" w:color="auto" w:fill="FFFFFF"/>
        </w:rPr>
        <w:t>,</w:t>
      </w:r>
      <w:r w:rsidR="004748C6">
        <w:rPr>
          <w:rFonts w:ascii="Arial" w:hAnsi="Arial" w:cs="Arial"/>
          <w:shd w:val="clear" w:color="auto" w:fill="FFFFFF"/>
        </w:rPr>
        <w:t>8</w:t>
      </w:r>
      <w:r w:rsidRPr="004C202E">
        <w:rPr>
          <w:rFonts w:ascii="Arial" w:hAnsi="Arial" w:cs="Arial"/>
          <w:shd w:val="clear" w:color="auto" w:fill="FFFFFF"/>
        </w:rPr>
        <w:t xml:space="preserve"> Milliarden Euro für FuE aus – das entsprach einem Anteil von </w:t>
      </w:r>
      <w:r w:rsidR="004C202E" w:rsidRPr="004C202E">
        <w:rPr>
          <w:rFonts w:ascii="Arial" w:hAnsi="Arial" w:cs="Arial"/>
          <w:shd w:val="clear" w:color="auto" w:fill="FFFFFF"/>
        </w:rPr>
        <w:t>6</w:t>
      </w:r>
      <w:r w:rsidR="004748C6">
        <w:rPr>
          <w:rFonts w:ascii="Arial" w:hAnsi="Arial" w:cs="Arial"/>
          <w:shd w:val="clear" w:color="auto" w:fill="FFFFFF"/>
        </w:rPr>
        <w:t>8</w:t>
      </w:r>
      <w:r w:rsidRPr="004C202E">
        <w:rPr>
          <w:rFonts w:ascii="Arial" w:hAnsi="Arial" w:cs="Arial"/>
          <w:shd w:val="clear" w:color="auto" w:fill="FFFFFF"/>
        </w:rPr>
        <w:t>,</w:t>
      </w:r>
      <w:r w:rsidR="004748C6">
        <w:rPr>
          <w:rFonts w:ascii="Arial" w:hAnsi="Arial" w:cs="Arial"/>
          <w:shd w:val="clear" w:color="auto" w:fill="FFFFFF"/>
        </w:rPr>
        <w:t>9</w:t>
      </w:r>
      <w:r w:rsidRPr="004C202E">
        <w:rPr>
          <w:rFonts w:ascii="Arial" w:hAnsi="Arial" w:cs="Arial"/>
          <w:shd w:val="clear" w:color="auto" w:fill="FFFFFF"/>
        </w:rPr>
        <w:t xml:space="preserve"> Prozent an den gesamten FuE-Ausgaben. Die FuE-Ausgaben der Hochschulen beliefen sich im selben Jahr auf </w:t>
      </w:r>
      <w:r w:rsidR="004C202E" w:rsidRPr="004C202E">
        <w:rPr>
          <w:rFonts w:ascii="Arial" w:hAnsi="Arial" w:cs="Arial"/>
          <w:shd w:val="clear" w:color="auto" w:fill="FFFFFF"/>
        </w:rPr>
        <w:t>19</w:t>
      </w:r>
      <w:r w:rsidRPr="004C202E">
        <w:rPr>
          <w:rFonts w:ascii="Arial" w:hAnsi="Arial" w:cs="Arial"/>
          <w:shd w:val="clear" w:color="auto" w:fill="FFFFFF"/>
        </w:rPr>
        <w:t>,</w:t>
      </w:r>
      <w:r w:rsidR="004748C6">
        <w:rPr>
          <w:rFonts w:ascii="Arial" w:hAnsi="Arial" w:cs="Arial"/>
          <w:shd w:val="clear" w:color="auto" w:fill="FFFFFF"/>
        </w:rPr>
        <w:t>2</w:t>
      </w:r>
      <w:r w:rsidRPr="004C202E">
        <w:rPr>
          <w:rFonts w:ascii="Arial" w:hAnsi="Arial" w:cs="Arial"/>
          <w:shd w:val="clear" w:color="auto" w:fill="FFFFFF"/>
        </w:rPr>
        <w:t xml:space="preserve"> Milliarden Euro (17,</w:t>
      </w:r>
      <w:r w:rsidR="004748C6">
        <w:rPr>
          <w:rFonts w:ascii="Arial" w:hAnsi="Arial" w:cs="Arial"/>
          <w:shd w:val="clear" w:color="auto" w:fill="FFFFFF"/>
        </w:rPr>
        <w:t>4</w:t>
      </w:r>
      <w:r w:rsidRPr="004C202E">
        <w:rPr>
          <w:rFonts w:ascii="Arial" w:hAnsi="Arial" w:cs="Arial"/>
          <w:shd w:val="clear" w:color="auto" w:fill="FFFFFF"/>
        </w:rPr>
        <w:t xml:space="preserve"> Prozent). Im Bereich des Staates und der privaten Institutionen ohne Erwerbszweck lagen die FuE-Ausgaben im Jahr 201</w:t>
      </w:r>
      <w:r w:rsidR="004C202E" w:rsidRPr="004C202E">
        <w:rPr>
          <w:rFonts w:ascii="Arial" w:hAnsi="Arial" w:cs="Arial"/>
          <w:shd w:val="clear" w:color="auto" w:fill="FFFFFF"/>
        </w:rPr>
        <w:t>9</w:t>
      </w:r>
      <w:r w:rsidRPr="004C202E">
        <w:rPr>
          <w:rFonts w:ascii="Arial" w:hAnsi="Arial" w:cs="Arial"/>
          <w:shd w:val="clear" w:color="auto" w:fill="FFFFFF"/>
        </w:rPr>
        <w:t xml:space="preserve"> bei 1</w:t>
      </w:r>
      <w:r w:rsidR="004C202E" w:rsidRPr="004C202E">
        <w:rPr>
          <w:rFonts w:ascii="Arial" w:hAnsi="Arial" w:cs="Arial"/>
          <w:shd w:val="clear" w:color="auto" w:fill="FFFFFF"/>
        </w:rPr>
        <w:t>5</w:t>
      </w:r>
      <w:r w:rsidRPr="004C202E">
        <w:rPr>
          <w:rFonts w:ascii="Arial" w:hAnsi="Arial" w:cs="Arial"/>
          <w:shd w:val="clear" w:color="auto" w:fill="FFFFFF"/>
        </w:rPr>
        <w:t>,</w:t>
      </w:r>
      <w:r w:rsidR="004C202E" w:rsidRPr="004C202E">
        <w:rPr>
          <w:rFonts w:ascii="Arial" w:hAnsi="Arial" w:cs="Arial"/>
          <w:shd w:val="clear" w:color="auto" w:fill="FFFFFF"/>
        </w:rPr>
        <w:t>0</w:t>
      </w:r>
      <w:r w:rsidRPr="004C202E">
        <w:rPr>
          <w:rFonts w:ascii="Arial" w:hAnsi="Arial" w:cs="Arial"/>
          <w:shd w:val="clear" w:color="auto" w:fill="FFFFFF"/>
        </w:rPr>
        <w:t xml:space="preserve"> Milliarden Euro (1</w:t>
      </w:r>
      <w:r w:rsidR="004C202E" w:rsidRPr="004C202E">
        <w:rPr>
          <w:rFonts w:ascii="Arial" w:hAnsi="Arial" w:cs="Arial"/>
          <w:shd w:val="clear" w:color="auto" w:fill="FFFFFF"/>
        </w:rPr>
        <w:t>3</w:t>
      </w:r>
      <w:r w:rsidRPr="004C202E">
        <w:rPr>
          <w:rFonts w:ascii="Arial" w:hAnsi="Arial" w:cs="Arial"/>
          <w:shd w:val="clear" w:color="auto" w:fill="FFFFFF"/>
        </w:rPr>
        <w:t>,</w:t>
      </w:r>
      <w:r w:rsidR="004C202E" w:rsidRPr="004C202E">
        <w:rPr>
          <w:rFonts w:ascii="Arial" w:hAnsi="Arial" w:cs="Arial"/>
          <w:shd w:val="clear" w:color="auto" w:fill="FFFFFF"/>
        </w:rPr>
        <w:t>7</w:t>
      </w:r>
      <w:r w:rsidRPr="004C202E">
        <w:rPr>
          <w:rFonts w:ascii="Arial" w:hAnsi="Arial" w:cs="Arial"/>
          <w:shd w:val="clear" w:color="auto" w:fill="FFFFFF"/>
        </w:rPr>
        <w:t xml:space="preserve"> Prozent).</w:t>
      </w:r>
    </w:p>
    <w:p w:rsidR="00C10154" w:rsidRDefault="00C10154" w:rsidP="00CA5D69">
      <w:pPr>
        <w:rPr>
          <w:rFonts w:ascii="Arial" w:hAnsi="Arial" w:cs="Arial"/>
          <w:shd w:val="clear" w:color="auto" w:fill="FFFFFF"/>
        </w:rPr>
      </w:pPr>
    </w:p>
    <w:p w:rsidR="00C10154" w:rsidRPr="009A6174" w:rsidRDefault="009E5B9B" w:rsidP="00C10154">
      <w:pPr>
        <w:rPr>
          <w:rFonts w:ascii="Arial" w:hAnsi="Arial" w:cs="Arial"/>
          <w:color w:val="363636"/>
          <w:shd w:val="clear" w:color="auto" w:fill="FFFFFF"/>
        </w:rPr>
      </w:pPr>
      <w:r w:rsidRPr="00665C7E">
        <w:rPr>
          <w:rFonts w:ascii="Arial" w:hAnsi="Arial" w:cs="Arial"/>
          <w:shd w:val="clear" w:color="auto" w:fill="FFFFFF"/>
        </w:rPr>
        <w:t>Im Verhältnis zum Bruttoinlandsprodukt (BIP) reduzierten sich die FuE-Ausgaben</w:t>
      </w:r>
      <w:r w:rsidR="006412F8" w:rsidRPr="00665C7E">
        <w:rPr>
          <w:rFonts w:ascii="Arial" w:hAnsi="Arial" w:cs="Arial"/>
          <w:shd w:val="clear" w:color="auto" w:fill="FFFFFF"/>
        </w:rPr>
        <w:t xml:space="preserve"> von Anfang bis Mitte der 1990er-Jahre. Erst im Jahr 2000 </w:t>
      </w:r>
      <w:r w:rsidRPr="00665C7E">
        <w:rPr>
          <w:rFonts w:ascii="Arial" w:hAnsi="Arial" w:cs="Arial"/>
          <w:shd w:val="clear" w:color="auto" w:fill="FFFFFF"/>
        </w:rPr>
        <w:t>erreichten die FuE-Ausgaben wieder das Niveau von 1991</w:t>
      </w:r>
      <w:r w:rsidR="006412F8" w:rsidRPr="00665C7E">
        <w:rPr>
          <w:rFonts w:ascii="Arial" w:hAnsi="Arial" w:cs="Arial"/>
          <w:shd w:val="clear" w:color="auto" w:fill="FFFFFF"/>
        </w:rPr>
        <w:t>.</w:t>
      </w:r>
      <w:r w:rsidR="00C10154">
        <w:rPr>
          <w:rFonts w:ascii="Arial" w:hAnsi="Arial" w:cs="Arial"/>
          <w:shd w:val="clear" w:color="auto" w:fill="FFFFFF"/>
        </w:rPr>
        <w:t xml:space="preserve"> Z</w:t>
      </w:r>
      <w:r w:rsidR="006412F8" w:rsidRPr="00665C7E">
        <w:rPr>
          <w:rFonts w:ascii="Arial" w:hAnsi="Arial" w:cs="Arial"/>
          <w:shd w:val="clear" w:color="auto" w:fill="FFFFFF"/>
        </w:rPr>
        <w:t>wischen 2005 und 2019 stieg der Anteil der FuE-Ausgaben am BIP von 2,4</w:t>
      </w:r>
      <w:r w:rsidR="004858B7">
        <w:rPr>
          <w:rFonts w:ascii="Arial" w:hAnsi="Arial" w:cs="Arial"/>
          <w:shd w:val="clear" w:color="auto" w:fill="FFFFFF"/>
        </w:rPr>
        <w:t>4</w:t>
      </w:r>
      <w:r w:rsidR="006412F8" w:rsidRPr="00665C7E">
        <w:rPr>
          <w:rFonts w:ascii="Arial" w:hAnsi="Arial" w:cs="Arial"/>
          <w:shd w:val="clear" w:color="auto" w:fill="FFFFFF"/>
        </w:rPr>
        <w:t xml:space="preserve"> auf 3,1</w:t>
      </w:r>
      <w:r w:rsidR="004858B7">
        <w:rPr>
          <w:rFonts w:ascii="Arial" w:hAnsi="Arial" w:cs="Arial"/>
          <w:shd w:val="clear" w:color="auto" w:fill="FFFFFF"/>
        </w:rPr>
        <w:t>9</w:t>
      </w:r>
      <w:r w:rsidR="006412F8" w:rsidRPr="00665C7E">
        <w:rPr>
          <w:rFonts w:ascii="Arial" w:hAnsi="Arial" w:cs="Arial"/>
          <w:shd w:val="clear" w:color="auto" w:fill="FFFFFF"/>
        </w:rPr>
        <w:t xml:space="preserve"> Prozent.</w:t>
      </w:r>
      <w:r w:rsidR="00C10154">
        <w:rPr>
          <w:rFonts w:ascii="Arial" w:hAnsi="Arial" w:cs="Arial"/>
          <w:shd w:val="clear" w:color="auto" w:fill="FFFFFF"/>
        </w:rPr>
        <w:t xml:space="preserve"> </w:t>
      </w:r>
      <w:r w:rsidRPr="009C746E">
        <w:rPr>
          <w:rFonts w:ascii="Arial" w:hAnsi="Arial" w:cs="Arial"/>
          <w:shd w:val="clear" w:color="auto" w:fill="FFFFFF"/>
        </w:rPr>
        <w:t>Bei den FuE-Ausgaben in Relation zum BIP bestehen sehr große Unterschi</w:t>
      </w:r>
      <w:r w:rsidR="009A6174">
        <w:rPr>
          <w:rFonts w:ascii="Arial" w:hAnsi="Arial" w:cs="Arial"/>
          <w:shd w:val="clear" w:color="auto" w:fill="FFFFFF"/>
        </w:rPr>
        <w:t>ede zwischen den Bundesländern</w:t>
      </w:r>
      <w:r w:rsidR="00FB40DD">
        <w:rPr>
          <w:rFonts w:ascii="Arial" w:hAnsi="Arial" w:cs="Arial"/>
          <w:shd w:val="clear" w:color="auto" w:fill="FFFFFF"/>
        </w:rPr>
        <w:t>:</w:t>
      </w:r>
      <w:r w:rsidR="009A6174">
        <w:rPr>
          <w:rFonts w:ascii="Arial" w:hAnsi="Arial" w:cs="Arial"/>
          <w:shd w:val="clear" w:color="auto" w:fill="FFFFFF"/>
        </w:rPr>
        <w:t xml:space="preserve"> </w:t>
      </w:r>
      <w:r w:rsidRPr="009C746E">
        <w:rPr>
          <w:rFonts w:ascii="Arial" w:hAnsi="Arial" w:cs="Arial"/>
          <w:shd w:val="clear" w:color="auto" w:fill="FFFFFF"/>
        </w:rPr>
        <w:t>Baden-Württemberg stand im Jahr 201</w:t>
      </w:r>
      <w:r w:rsidR="009C746E" w:rsidRPr="009C746E">
        <w:rPr>
          <w:rFonts w:ascii="Arial" w:hAnsi="Arial" w:cs="Arial"/>
          <w:shd w:val="clear" w:color="auto" w:fill="FFFFFF"/>
        </w:rPr>
        <w:t>9</w:t>
      </w:r>
      <w:r w:rsidRPr="009C746E">
        <w:rPr>
          <w:rFonts w:ascii="Arial" w:hAnsi="Arial" w:cs="Arial"/>
          <w:shd w:val="clear" w:color="auto" w:fill="FFFFFF"/>
        </w:rPr>
        <w:t xml:space="preserve"> mit FuE-Ausgaben in Höhe von 5,</w:t>
      </w:r>
      <w:r w:rsidR="009C746E" w:rsidRPr="009C746E">
        <w:rPr>
          <w:rFonts w:ascii="Arial" w:hAnsi="Arial" w:cs="Arial"/>
          <w:shd w:val="clear" w:color="auto" w:fill="FFFFFF"/>
        </w:rPr>
        <w:t>79</w:t>
      </w:r>
      <w:r w:rsidRPr="009C746E">
        <w:rPr>
          <w:rFonts w:ascii="Arial" w:hAnsi="Arial" w:cs="Arial"/>
          <w:shd w:val="clear" w:color="auto" w:fill="FFFFFF"/>
        </w:rPr>
        <w:t xml:space="preserve"> Prozent des BIP </w:t>
      </w:r>
      <w:r w:rsidR="009C746E" w:rsidRPr="009C746E">
        <w:rPr>
          <w:rFonts w:ascii="Arial" w:hAnsi="Arial" w:cs="Arial"/>
          <w:shd w:val="clear" w:color="auto" w:fill="FFFFFF"/>
        </w:rPr>
        <w:t xml:space="preserve">– wie in den Vorjahren – </w:t>
      </w:r>
      <w:r w:rsidRPr="009C746E">
        <w:rPr>
          <w:rFonts w:ascii="Arial" w:hAnsi="Arial" w:cs="Arial"/>
          <w:shd w:val="clear" w:color="auto" w:fill="FFFFFF"/>
        </w:rPr>
        <w:t xml:space="preserve">mit großem Abstand an der Spitze. </w:t>
      </w:r>
      <w:r w:rsidR="009C746E" w:rsidRPr="009C746E">
        <w:rPr>
          <w:rFonts w:ascii="Arial" w:hAnsi="Arial" w:cs="Arial"/>
          <w:shd w:val="clear" w:color="auto" w:fill="FFFFFF"/>
        </w:rPr>
        <w:t xml:space="preserve">Mit Bayern </w:t>
      </w:r>
      <w:r w:rsidRPr="009C746E">
        <w:rPr>
          <w:rFonts w:ascii="Arial" w:hAnsi="Arial" w:cs="Arial"/>
          <w:shd w:val="clear" w:color="auto" w:fill="FFFFFF"/>
        </w:rPr>
        <w:t>(3,</w:t>
      </w:r>
      <w:r w:rsidR="009C746E" w:rsidRPr="009C746E">
        <w:rPr>
          <w:rFonts w:ascii="Arial" w:hAnsi="Arial" w:cs="Arial"/>
          <w:shd w:val="clear" w:color="auto" w:fill="FFFFFF"/>
        </w:rPr>
        <w:t>41</w:t>
      </w:r>
      <w:r w:rsidRPr="009C746E">
        <w:rPr>
          <w:rFonts w:ascii="Arial" w:hAnsi="Arial" w:cs="Arial"/>
          <w:shd w:val="clear" w:color="auto" w:fill="FFFFFF"/>
        </w:rPr>
        <w:t xml:space="preserve"> Prozent)</w:t>
      </w:r>
      <w:r w:rsidR="009C746E" w:rsidRPr="009C746E">
        <w:rPr>
          <w:rFonts w:ascii="Arial" w:hAnsi="Arial" w:cs="Arial"/>
          <w:shd w:val="clear" w:color="auto" w:fill="FFFFFF"/>
        </w:rPr>
        <w:t xml:space="preserve"> und</w:t>
      </w:r>
      <w:r w:rsidRPr="009C746E">
        <w:rPr>
          <w:rFonts w:ascii="Arial" w:hAnsi="Arial" w:cs="Arial"/>
          <w:shd w:val="clear" w:color="auto" w:fill="FFFFFF"/>
        </w:rPr>
        <w:t xml:space="preserve"> </w:t>
      </w:r>
      <w:r w:rsidR="009C746E" w:rsidRPr="009C746E">
        <w:rPr>
          <w:rFonts w:ascii="Arial" w:hAnsi="Arial" w:cs="Arial"/>
          <w:shd w:val="clear" w:color="auto" w:fill="FFFFFF"/>
        </w:rPr>
        <w:t xml:space="preserve">Berlin </w:t>
      </w:r>
      <w:r w:rsidRPr="009C746E">
        <w:rPr>
          <w:rFonts w:ascii="Arial" w:hAnsi="Arial" w:cs="Arial"/>
          <w:shd w:val="clear" w:color="auto" w:fill="FFFFFF"/>
        </w:rPr>
        <w:t>(3,</w:t>
      </w:r>
      <w:r w:rsidR="009C746E" w:rsidRPr="009C746E">
        <w:rPr>
          <w:rFonts w:ascii="Arial" w:hAnsi="Arial" w:cs="Arial"/>
          <w:shd w:val="clear" w:color="auto" w:fill="FFFFFF"/>
        </w:rPr>
        <w:t>34</w:t>
      </w:r>
      <w:r w:rsidRPr="009C746E">
        <w:rPr>
          <w:rFonts w:ascii="Arial" w:hAnsi="Arial" w:cs="Arial"/>
          <w:shd w:val="clear" w:color="auto" w:fill="FFFFFF"/>
        </w:rPr>
        <w:t xml:space="preserve"> Prozent)</w:t>
      </w:r>
      <w:r w:rsidR="009C746E" w:rsidRPr="009C746E">
        <w:rPr>
          <w:rFonts w:ascii="Arial" w:hAnsi="Arial" w:cs="Arial"/>
          <w:shd w:val="clear" w:color="auto" w:fill="FFFFFF"/>
        </w:rPr>
        <w:t xml:space="preserve"> </w:t>
      </w:r>
      <w:r w:rsidRPr="009C746E">
        <w:rPr>
          <w:rFonts w:ascii="Arial" w:hAnsi="Arial" w:cs="Arial"/>
          <w:shd w:val="clear" w:color="auto" w:fill="FFFFFF"/>
        </w:rPr>
        <w:t xml:space="preserve">lagen </w:t>
      </w:r>
      <w:r w:rsidR="009C746E" w:rsidRPr="009C746E">
        <w:rPr>
          <w:rFonts w:ascii="Arial" w:hAnsi="Arial" w:cs="Arial"/>
          <w:shd w:val="clear" w:color="auto" w:fill="FFFFFF"/>
        </w:rPr>
        <w:t xml:space="preserve">lediglich zwei weitere Bundesländer </w:t>
      </w:r>
      <w:r w:rsidRPr="009C746E">
        <w:rPr>
          <w:rFonts w:ascii="Arial" w:hAnsi="Arial" w:cs="Arial"/>
          <w:shd w:val="clear" w:color="auto" w:fill="FFFFFF"/>
        </w:rPr>
        <w:t>über dem Bundesdurchschnitt</w:t>
      </w:r>
      <w:r w:rsidR="009C746E" w:rsidRPr="009C746E">
        <w:rPr>
          <w:rFonts w:ascii="Arial" w:hAnsi="Arial" w:cs="Arial"/>
          <w:shd w:val="clear" w:color="auto" w:fill="FFFFFF"/>
        </w:rPr>
        <w:t xml:space="preserve"> </w:t>
      </w:r>
      <w:r w:rsidR="00C96F8E">
        <w:rPr>
          <w:rFonts w:ascii="Arial" w:hAnsi="Arial" w:cs="Arial"/>
          <w:shd w:val="clear" w:color="auto" w:fill="FFFFFF"/>
        </w:rPr>
        <w:t xml:space="preserve">von </w:t>
      </w:r>
      <w:r w:rsidR="009C746E" w:rsidRPr="009C746E">
        <w:rPr>
          <w:rFonts w:ascii="Arial" w:hAnsi="Arial" w:cs="Arial"/>
          <w:shd w:val="clear" w:color="auto" w:fill="FFFFFF"/>
        </w:rPr>
        <w:t>3,1</w:t>
      </w:r>
      <w:r w:rsidR="001A7B6A">
        <w:rPr>
          <w:rFonts w:ascii="Arial" w:hAnsi="Arial" w:cs="Arial"/>
          <w:shd w:val="clear" w:color="auto" w:fill="FFFFFF"/>
        </w:rPr>
        <w:t>9</w:t>
      </w:r>
      <w:r w:rsidR="00C96F8E">
        <w:rPr>
          <w:rFonts w:ascii="Arial" w:hAnsi="Arial" w:cs="Arial"/>
          <w:shd w:val="clear" w:color="auto" w:fill="FFFFFF"/>
        </w:rPr>
        <w:t xml:space="preserve"> P</w:t>
      </w:r>
      <w:r w:rsidR="009C746E" w:rsidRPr="009C746E">
        <w:rPr>
          <w:rFonts w:ascii="Arial" w:hAnsi="Arial" w:cs="Arial"/>
          <w:shd w:val="clear" w:color="auto" w:fill="FFFFFF"/>
        </w:rPr>
        <w:t>rozent</w:t>
      </w:r>
      <w:r w:rsidRPr="009C746E">
        <w:rPr>
          <w:rFonts w:ascii="Arial" w:hAnsi="Arial" w:cs="Arial"/>
          <w:shd w:val="clear" w:color="auto" w:fill="FFFFFF"/>
        </w:rPr>
        <w:t>.</w:t>
      </w:r>
      <w:r w:rsidR="00C96F8E">
        <w:rPr>
          <w:rFonts w:ascii="Arial" w:hAnsi="Arial" w:cs="Arial"/>
          <w:shd w:val="clear" w:color="auto" w:fill="FFFFFF"/>
        </w:rPr>
        <w:t xml:space="preserve"> In </w:t>
      </w:r>
      <w:r w:rsidR="00C96F8E" w:rsidRPr="00C96F8E">
        <w:rPr>
          <w:rFonts w:ascii="Arial" w:hAnsi="Arial" w:cs="Arial"/>
          <w:shd w:val="clear" w:color="auto" w:fill="FFFFFF"/>
        </w:rPr>
        <w:t>Niedersachsen, Hessen, Bremen und Sachsen</w:t>
      </w:r>
      <w:r w:rsidR="00C96F8E">
        <w:rPr>
          <w:rFonts w:ascii="Arial" w:hAnsi="Arial" w:cs="Arial"/>
          <w:shd w:val="clear" w:color="auto" w:fill="FFFFFF"/>
        </w:rPr>
        <w:t xml:space="preserve"> lagen die FuE-Ausgaben bei drei oder mehr Prozent. </w:t>
      </w:r>
      <w:r w:rsidRPr="00C96F8E">
        <w:rPr>
          <w:rFonts w:ascii="Arial" w:hAnsi="Arial" w:cs="Arial"/>
          <w:shd w:val="clear" w:color="auto" w:fill="FFFFFF"/>
        </w:rPr>
        <w:t xml:space="preserve">Hingegen wurde in </w:t>
      </w:r>
      <w:r w:rsidR="00C96F8E" w:rsidRPr="00C96F8E">
        <w:rPr>
          <w:rFonts w:ascii="Arial" w:hAnsi="Arial" w:cs="Arial"/>
          <w:shd w:val="clear" w:color="auto" w:fill="FFFFFF"/>
        </w:rPr>
        <w:t>Sachsen-Anhalt (1,54 Prozent des BIP), Schleswig-Holstein (1,68 Prozent), Mecklenburg-Vorpommern (1,81 Prozent), Brandenburg (1,82 Prozent) und dem Saarland (1,91 Prozent)</w:t>
      </w:r>
      <w:r w:rsidRPr="00C96F8E">
        <w:rPr>
          <w:rFonts w:ascii="Arial" w:hAnsi="Arial" w:cs="Arial"/>
          <w:shd w:val="clear" w:color="auto" w:fill="FFFFFF"/>
        </w:rPr>
        <w:t xml:space="preserve"> relativ am wenigsten im Bereich FuE investiert.</w:t>
      </w:r>
    </w:p>
    <w:p w:rsidR="00C10154" w:rsidRDefault="00C10154" w:rsidP="00C10154">
      <w:pPr>
        <w:rPr>
          <w:rFonts w:ascii="Arial" w:hAnsi="Arial" w:cs="Arial"/>
          <w:shd w:val="clear" w:color="auto" w:fill="FFFFFF"/>
        </w:rPr>
      </w:pPr>
    </w:p>
    <w:p w:rsidR="00C10154" w:rsidRDefault="009E5B9B" w:rsidP="009B2D49">
      <w:pPr>
        <w:rPr>
          <w:rFonts w:ascii="Arial" w:hAnsi="Arial" w:cs="Arial"/>
          <w:shd w:val="clear" w:color="auto" w:fill="FFFFFF"/>
        </w:rPr>
      </w:pPr>
      <w:r w:rsidRPr="004C40EE">
        <w:rPr>
          <w:rFonts w:ascii="Arial" w:hAnsi="Arial" w:cs="Arial"/>
          <w:shd w:val="clear" w:color="auto" w:fill="FFFFFF"/>
        </w:rPr>
        <w:t>Deutliche Unterschiede zeigen sich auch bei de</w:t>
      </w:r>
      <w:r w:rsidR="000916A4">
        <w:rPr>
          <w:rFonts w:ascii="Arial" w:hAnsi="Arial" w:cs="Arial"/>
          <w:shd w:val="clear" w:color="auto" w:fill="FFFFFF"/>
        </w:rPr>
        <w:t xml:space="preserve">r Bedeutung der </w:t>
      </w:r>
      <w:r w:rsidRPr="004C40EE">
        <w:rPr>
          <w:rFonts w:ascii="Arial" w:hAnsi="Arial" w:cs="Arial"/>
          <w:shd w:val="clear" w:color="auto" w:fill="FFFFFF"/>
        </w:rPr>
        <w:t>einzelnen Sektoren</w:t>
      </w:r>
      <w:r w:rsidR="000916A4">
        <w:rPr>
          <w:rFonts w:ascii="Arial" w:hAnsi="Arial" w:cs="Arial"/>
          <w:shd w:val="clear" w:color="auto" w:fill="FFFFFF"/>
        </w:rPr>
        <w:t xml:space="preserve"> in den Bundesländern</w:t>
      </w:r>
      <w:r w:rsidRPr="004C40EE">
        <w:rPr>
          <w:rFonts w:ascii="Arial" w:hAnsi="Arial" w:cs="Arial"/>
          <w:shd w:val="clear" w:color="auto" w:fill="FFFFFF"/>
        </w:rPr>
        <w:t xml:space="preserve">: In </w:t>
      </w:r>
      <w:r w:rsidR="004E49C5" w:rsidRPr="004C40EE">
        <w:rPr>
          <w:rFonts w:ascii="Arial" w:hAnsi="Arial" w:cs="Arial"/>
          <w:shd w:val="clear" w:color="auto" w:fill="FFFFFF"/>
        </w:rPr>
        <w:t>Baden-Württemberg, Bayern und Rheinland-Pfalz lag der Anteil de</w:t>
      </w:r>
      <w:r w:rsidR="000916A4">
        <w:rPr>
          <w:rFonts w:ascii="Arial" w:hAnsi="Arial" w:cs="Arial"/>
          <w:shd w:val="clear" w:color="auto" w:fill="FFFFFF"/>
        </w:rPr>
        <w:t xml:space="preserve">r Wirtschaft </w:t>
      </w:r>
      <w:r w:rsidRPr="004C40EE">
        <w:rPr>
          <w:rFonts w:ascii="Arial" w:hAnsi="Arial" w:cs="Arial"/>
          <w:shd w:val="clear" w:color="auto" w:fill="FFFFFF"/>
        </w:rPr>
        <w:t>an den gesamten FuE-Ausgaben im Jahr 201</w:t>
      </w:r>
      <w:r w:rsidR="000B312A" w:rsidRPr="004C40EE">
        <w:rPr>
          <w:rFonts w:ascii="Arial" w:hAnsi="Arial" w:cs="Arial"/>
          <w:shd w:val="clear" w:color="auto" w:fill="FFFFFF"/>
        </w:rPr>
        <w:t>9</w:t>
      </w:r>
      <w:r w:rsidR="004C40EE" w:rsidRPr="004C40EE">
        <w:rPr>
          <w:rFonts w:ascii="Arial" w:hAnsi="Arial" w:cs="Arial"/>
          <w:shd w:val="clear" w:color="auto" w:fill="FFFFFF"/>
        </w:rPr>
        <w:t xml:space="preserve"> zwischen 83,5 und 75,1 Prozent</w:t>
      </w:r>
      <w:r w:rsidRPr="004C40EE">
        <w:rPr>
          <w:rFonts w:ascii="Arial" w:hAnsi="Arial" w:cs="Arial"/>
          <w:shd w:val="clear" w:color="auto" w:fill="FFFFFF"/>
        </w:rPr>
        <w:t xml:space="preserve">. </w:t>
      </w:r>
      <w:r w:rsidR="004E49C5" w:rsidRPr="004C40EE">
        <w:rPr>
          <w:rFonts w:ascii="Arial" w:hAnsi="Arial" w:cs="Arial"/>
          <w:shd w:val="clear" w:color="auto" w:fill="FFFFFF"/>
        </w:rPr>
        <w:t xml:space="preserve">In Sachsen-Anhalt und Mecklenburg-Vorpommern </w:t>
      </w:r>
      <w:r w:rsidR="000916A4">
        <w:rPr>
          <w:rFonts w:ascii="Arial" w:hAnsi="Arial" w:cs="Arial"/>
          <w:shd w:val="clear" w:color="auto" w:fill="FFFFFF"/>
        </w:rPr>
        <w:t xml:space="preserve">sind die </w:t>
      </w:r>
      <w:r w:rsidR="000916A4" w:rsidRPr="004C40EE">
        <w:rPr>
          <w:rFonts w:ascii="Arial" w:hAnsi="Arial" w:cs="Arial"/>
          <w:shd w:val="clear" w:color="auto" w:fill="FFFFFF"/>
        </w:rPr>
        <w:t xml:space="preserve">FuE-Ausgaben </w:t>
      </w:r>
      <w:r w:rsidR="004E49C5" w:rsidRPr="004C40EE">
        <w:rPr>
          <w:rFonts w:ascii="Arial" w:hAnsi="Arial" w:cs="Arial"/>
          <w:shd w:val="clear" w:color="auto" w:fill="FFFFFF"/>
        </w:rPr>
        <w:t xml:space="preserve">der Hochschulen </w:t>
      </w:r>
      <w:r w:rsidR="000916A4">
        <w:rPr>
          <w:rFonts w:ascii="Arial" w:hAnsi="Arial" w:cs="Arial"/>
          <w:shd w:val="clear" w:color="auto" w:fill="FFFFFF"/>
        </w:rPr>
        <w:t xml:space="preserve">überdurchschnittlich hoch – der Anteil lag 2019 bei </w:t>
      </w:r>
      <w:r w:rsidR="009B2D49">
        <w:rPr>
          <w:rFonts w:ascii="Arial" w:hAnsi="Arial" w:cs="Arial"/>
          <w:shd w:val="clear" w:color="auto" w:fill="FFFFFF"/>
        </w:rPr>
        <w:t xml:space="preserve">deutlich </w:t>
      </w:r>
      <w:r w:rsidR="004E49C5" w:rsidRPr="004C40EE">
        <w:rPr>
          <w:rFonts w:ascii="Arial" w:hAnsi="Arial" w:cs="Arial"/>
          <w:shd w:val="clear" w:color="auto" w:fill="FFFFFF"/>
        </w:rPr>
        <w:t>mehr als einem Drittel</w:t>
      </w:r>
      <w:r w:rsidR="009B2D49">
        <w:rPr>
          <w:rFonts w:ascii="Arial" w:hAnsi="Arial" w:cs="Arial"/>
          <w:shd w:val="clear" w:color="auto" w:fill="FFFFFF"/>
        </w:rPr>
        <w:t xml:space="preserve">. Schließlich war </w:t>
      </w:r>
      <w:r w:rsidR="004E49C5" w:rsidRPr="004C40EE">
        <w:rPr>
          <w:rFonts w:ascii="Arial" w:hAnsi="Arial" w:cs="Arial"/>
          <w:shd w:val="clear" w:color="auto" w:fill="FFFFFF"/>
        </w:rPr>
        <w:t>in Brandenburg und Br</w:t>
      </w:r>
      <w:r w:rsidR="009B2D49">
        <w:rPr>
          <w:rFonts w:ascii="Arial" w:hAnsi="Arial" w:cs="Arial"/>
          <w:shd w:val="clear" w:color="auto" w:fill="FFFFFF"/>
        </w:rPr>
        <w:t>emen</w:t>
      </w:r>
      <w:r w:rsidR="004E49C5" w:rsidRPr="004C40EE">
        <w:rPr>
          <w:rFonts w:ascii="Arial" w:hAnsi="Arial" w:cs="Arial"/>
          <w:shd w:val="clear" w:color="auto" w:fill="FFFFFF"/>
        </w:rPr>
        <w:t xml:space="preserve"> der Anteil </w:t>
      </w:r>
      <w:r w:rsidRPr="004C40EE">
        <w:rPr>
          <w:rFonts w:ascii="Arial" w:hAnsi="Arial" w:cs="Arial"/>
          <w:shd w:val="clear" w:color="auto" w:fill="FFFFFF"/>
        </w:rPr>
        <w:t xml:space="preserve">des Staates und der privaten Institutionen ohne Erwerbszweck </w:t>
      </w:r>
      <w:r w:rsidR="009B2D49">
        <w:rPr>
          <w:rFonts w:ascii="Arial" w:hAnsi="Arial" w:cs="Arial"/>
          <w:shd w:val="clear" w:color="auto" w:fill="FFFFFF"/>
        </w:rPr>
        <w:t xml:space="preserve">mit 42,8 bzw. 40,8 Prozent </w:t>
      </w:r>
      <w:r w:rsidR="004E49C5" w:rsidRPr="004C40EE">
        <w:rPr>
          <w:rFonts w:ascii="Arial" w:hAnsi="Arial" w:cs="Arial"/>
          <w:shd w:val="clear" w:color="auto" w:fill="FFFFFF"/>
        </w:rPr>
        <w:t>am höchsten</w:t>
      </w:r>
      <w:r w:rsidRPr="004C40EE">
        <w:rPr>
          <w:rFonts w:ascii="Arial" w:hAnsi="Arial" w:cs="Arial"/>
          <w:shd w:val="clear" w:color="auto" w:fill="FFFFFF"/>
        </w:rPr>
        <w:t>.</w:t>
      </w:r>
    </w:p>
    <w:p w:rsidR="00C10154" w:rsidRDefault="00C10154" w:rsidP="009B2D49">
      <w:pPr>
        <w:rPr>
          <w:rFonts w:ascii="Arial" w:hAnsi="Arial" w:cs="Arial"/>
          <w:shd w:val="clear" w:color="auto" w:fill="FFFFFF"/>
        </w:rPr>
      </w:pPr>
    </w:p>
    <w:p w:rsidR="00854677" w:rsidRDefault="009E5B9B" w:rsidP="002A6DCF">
      <w:pPr>
        <w:rPr>
          <w:rFonts w:ascii="Arial" w:hAnsi="Arial" w:cs="Arial"/>
          <w:shd w:val="clear" w:color="auto" w:fill="FFFFFF"/>
        </w:rPr>
      </w:pPr>
      <w:r w:rsidRPr="00207FC1">
        <w:rPr>
          <w:rFonts w:ascii="Arial" w:hAnsi="Arial" w:cs="Arial"/>
          <w:shd w:val="clear" w:color="auto" w:fill="FFFFFF"/>
        </w:rPr>
        <w:t>Im Jahr 201</w:t>
      </w:r>
      <w:r w:rsidR="00B804A0" w:rsidRPr="00207FC1">
        <w:rPr>
          <w:rFonts w:ascii="Arial" w:hAnsi="Arial" w:cs="Arial"/>
          <w:shd w:val="clear" w:color="auto" w:fill="FFFFFF"/>
        </w:rPr>
        <w:t>9</w:t>
      </w:r>
      <w:r w:rsidRPr="00207FC1">
        <w:rPr>
          <w:rFonts w:ascii="Arial" w:hAnsi="Arial" w:cs="Arial"/>
          <w:shd w:val="clear" w:color="auto" w:fill="FFFFFF"/>
        </w:rPr>
        <w:t xml:space="preserve"> waren </w:t>
      </w:r>
      <w:r w:rsidR="004858B7">
        <w:rPr>
          <w:rFonts w:ascii="Arial" w:hAnsi="Arial" w:cs="Arial"/>
          <w:shd w:val="clear" w:color="auto" w:fill="FFFFFF"/>
        </w:rPr>
        <w:t xml:space="preserve">nach Angaben des </w:t>
      </w:r>
      <w:r w:rsidR="00EA4825">
        <w:rPr>
          <w:rFonts w:ascii="Arial" w:hAnsi="Arial" w:cs="Arial"/>
          <w:color w:val="363636"/>
          <w:shd w:val="clear" w:color="auto" w:fill="FFFFFF"/>
        </w:rPr>
        <w:t xml:space="preserve">Stifterverbands für die Deutsche Wissenschaft </w:t>
      </w:r>
      <w:r w:rsidR="004858B7">
        <w:rPr>
          <w:rFonts w:ascii="Arial" w:hAnsi="Arial" w:cs="Arial"/>
          <w:shd w:val="clear" w:color="auto" w:fill="FFFFFF"/>
        </w:rPr>
        <w:t>i</w:t>
      </w:r>
      <w:r w:rsidRPr="00207FC1">
        <w:rPr>
          <w:rFonts w:ascii="Arial" w:hAnsi="Arial" w:cs="Arial"/>
          <w:shd w:val="clear" w:color="auto" w:fill="FFFFFF"/>
        </w:rPr>
        <w:t>nsgesamt 7</w:t>
      </w:r>
      <w:r w:rsidR="00207FC1" w:rsidRPr="00207FC1">
        <w:rPr>
          <w:rFonts w:ascii="Arial" w:hAnsi="Arial" w:cs="Arial"/>
          <w:shd w:val="clear" w:color="auto" w:fill="FFFFFF"/>
        </w:rPr>
        <w:t>3</w:t>
      </w:r>
      <w:r w:rsidR="004858B7">
        <w:rPr>
          <w:rFonts w:ascii="Arial" w:hAnsi="Arial" w:cs="Arial"/>
          <w:shd w:val="clear" w:color="auto" w:fill="FFFFFF"/>
        </w:rPr>
        <w:t>4</w:t>
      </w:r>
      <w:r w:rsidRPr="00207FC1">
        <w:rPr>
          <w:rFonts w:ascii="Arial" w:hAnsi="Arial" w:cs="Arial"/>
          <w:shd w:val="clear" w:color="auto" w:fill="FFFFFF"/>
        </w:rPr>
        <w:t>.</w:t>
      </w:r>
      <w:r w:rsidR="004858B7">
        <w:rPr>
          <w:rFonts w:ascii="Arial" w:hAnsi="Arial" w:cs="Arial"/>
          <w:shd w:val="clear" w:color="auto" w:fill="FFFFFF"/>
        </w:rPr>
        <w:t>200</w:t>
      </w:r>
      <w:r w:rsidRPr="00207FC1">
        <w:rPr>
          <w:rFonts w:ascii="Arial" w:hAnsi="Arial" w:cs="Arial"/>
          <w:shd w:val="clear" w:color="auto" w:fill="FFFFFF"/>
        </w:rPr>
        <w:t xml:space="preserve"> Personen (Vollzeitäquivalente) im Bereich Forschung und Entwicklung tätig –</w:t>
      </w:r>
      <w:r w:rsidR="00207FC1" w:rsidRPr="00207FC1">
        <w:rPr>
          <w:rFonts w:ascii="Arial" w:hAnsi="Arial" w:cs="Arial"/>
          <w:shd w:val="clear" w:color="auto" w:fill="FFFFFF"/>
        </w:rPr>
        <w:t xml:space="preserve"> </w:t>
      </w:r>
      <w:r w:rsidR="004858B7">
        <w:rPr>
          <w:rFonts w:ascii="Arial" w:hAnsi="Arial" w:cs="Arial"/>
          <w:shd w:val="clear" w:color="auto" w:fill="FFFFFF"/>
        </w:rPr>
        <w:t xml:space="preserve">rund </w:t>
      </w:r>
      <w:r w:rsidR="00207FC1" w:rsidRPr="00207FC1">
        <w:rPr>
          <w:rFonts w:ascii="Arial" w:hAnsi="Arial" w:cs="Arial"/>
          <w:shd w:val="clear" w:color="auto" w:fill="FFFFFF"/>
        </w:rPr>
        <w:t>200.000 mehr als zehn Jahr</w:t>
      </w:r>
      <w:r w:rsidR="00EA4825">
        <w:rPr>
          <w:rFonts w:ascii="Arial" w:hAnsi="Arial" w:cs="Arial"/>
          <w:shd w:val="clear" w:color="auto" w:fill="FFFFFF"/>
        </w:rPr>
        <w:t>e</w:t>
      </w:r>
      <w:r w:rsidR="00207FC1" w:rsidRPr="00207FC1">
        <w:rPr>
          <w:rFonts w:ascii="Arial" w:hAnsi="Arial" w:cs="Arial"/>
          <w:shd w:val="clear" w:color="auto" w:fill="FFFFFF"/>
        </w:rPr>
        <w:t xml:space="preserve"> zuvor. Von den FuE-Beschäftigten entfielen 64</w:t>
      </w:r>
      <w:r w:rsidRPr="00207FC1">
        <w:rPr>
          <w:rFonts w:ascii="Arial" w:hAnsi="Arial" w:cs="Arial"/>
          <w:shd w:val="clear" w:color="auto" w:fill="FFFFFF"/>
        </w:rPr>
        <w:t>,</w:t>
      </w:r>
      <w:r w:rsidR="004858B7">
        <w:rPr>
          <w:rFonts w:ascii="Arial" w:hAnsi="Arial" w:cs="Arial"/>
          <w:shd w:val="clear" w:color="auto" w:fill="FFFFFF"/>
        </w:rPr>
        <w:t>3</w:t>
      </w:r>
      <w:r w:rsidRPr="00207FC1">
        <w:rPr>
          <w:rFonts w:ascii="Arial" w:hAnsi="Arial" w:cs="Arial"/>
          <w:shd w:val="clear" w:color="auto" w:fill="FFFFFF"/>
        </w:rPr>
        <w:t xml:space="preserve"> Prozent </w:t>
      </w:r>
      <w:r w:rsidR="00207FC1" w:rsidRPr="00207FC1">
        <w:rPr>
          <w:rFonts w:ascii="Arial" w:hAnsi="Arial" w:cs="Arial"/>
          <w:shd w:val="clear" w:color="auto" w:fill="FFFFFF"/>
        </w:rPr>
        <w:t xml:space="preserve">auf die </w:t>
      </w:r>
      <w:r w:rsidRPr="00207FC1">
        <w:rPr>
          <w:rFonts w:ascii="Arial" w:hAnsi="Arial" w:cs="Arial"/>
          <w:shd w:val="clear" w:color="auto" w:fill="FFFFFF"/>
        </w:rPr>
        <w:t>Wirtschaft, 2</w:t>
      </w:r>
      <w:r w:rsidR="00207FC1" w:rsidRPr="00207FC1">
        <w:rPr>
          <w:rFonts w:ascii="Arial" w:hAnsi="Arial" w:cs="Arial"/>
          <w:shd w:val="clear" w:color="auto" w:fill="FFFFFF"/>
        </w:rPr>
        <w:t>0</w:t>
      </w:r>
      <w:r w:rsidRPr="00207FC1">
        <w:rPr>
          <w:rFonts w:ascii="Arial" w:hAnsi="Arial" w:cs="Arial"/>
          <w:shd w:val="clear" w:color="auto" w:fill="FFFFFF"/>
        </w:rPr>
        <w:t>,</w:t>
      </w:r>
      <w:r w:rsidR="004858B7">
        <w:rPr>
          <w:rFonts w:ascii="Arial" w:hAnsi="Arial" w:cs="Arial"/>
          <w:shd w:val="clear" w:color="auto" w:fill="FFFFFF"/>
        </w:rPr>
        <w:t>4</w:t>
      </w:r>
      <w:r w:rsidRPr="00207FC1">
        <w:rPr>
          <w:rFonts w:ascii="Arial" w:hAnsi="Arial" w:cs="Arial"/>
          <w:shd w:val="clear" w:color="auto" w:fill="FFFFFF"/>
        </w:rPr>
        <w:t xml:space="preserve"> Prozent </w:t>
      </w:r>
      <w:r w:rsidR="00207FC1" w:rsidRPr="00207FC1">
        <w:rPr>
          <w:rFonts w:ascii="Arial" w:hAnsi="Arial" w:cs="Arial"/>
          <w:shd w:val="clear" w:color="auto" w:fill="FFFFFF"/>
        </w:rPr>
        <w:t xml:space="preserve">auf die </w:t>
      </w:r>
      <w:r w:rsidRPr="00207FC1">
        <w:rPr>
          <w:rFonts w:ascii="Arial" w:hAnsi="Arial" w:cs="Arial"/>
          <w:shd w:val="clear" w:color="auto" w:fill="FFFFFF"/>
        </w:rPr>
        <w:t>Hochschulen sowie 1</w:t>
      </w:r>
      <w:r w:rsidR="00207FC1" w:rsidRPr="00207FC1">
        <w:rPr>
          <w:rFonts w:ascii="Arial" w:hAnsi="Arial" w:cs="Arial"/>
          <w:shd w:val="clear" w:color="auto" w:fill="FFFFFF"/>
        </w:rPr>
        <w:t>5</w:t>
      </w:r>
      <w:r w:rsidRPr="00207FC1">
        <w:rPr>
          <w:rFonts w:ascii="Arial" w:hAnsi="Arial" w:cs="Arial"/>
          <w:shd w:val="clear" w:color="auto" w:fill="FFFFFF"/>
        </w:rPr>
        <w:t>,</w:t>
      </w:r>
      <w:r w:rsidR="004858B7">
        <w:rPr>
          <w:rFonts w:ascii="Arial" w:hAnsi="Arial" w:cs="Arial"/>
          <w:shd w:val="clear" w:color="auto" w:fill="FFFFFF"/>
        </w:rPr>
        <w:t>2</w:t>
      </w:r>
      <w:r w:rsidRPr="00207FC1">
        <w:rPr>
          <w:rFonts w:ascii="Arial" w:hAnsi="Arial" w:cs="Arial"/>
          <w:shd w:val="clear" w:color="auto" w:fill="FFFFFF"/>
        </w:rPr>
        <w:t xml:space="preserve"> Prozent </w:t>
      </w:r>
      <w:r w:rsidR="00207FC1" w:rsidRPr="00207FC1">
        <w:rPr>
          <w:rFonts w:ascii="Arial" w:hAnsi="Arial" w:cs="Arial"/>
          <w:shd w:val="clear" w:color="auto" w:fill="FFFFFF"/>
        </w:rPr>
        <w:t xml:space="preserve">auf den </w:t>
      </w:r>
      <w:r w:rsidRPr="00207FC1">
        <w:rPr>
          <w:rFonts w:ascii="Arial" w:hAnsi="Arial" w:cs="Arial"/>
          <w:shd w:val="clear" w:color="auto" w:fill="FFFFFF"/>
        </w:rPr>
        <w:t xml:space="preserve">Staat </w:t>
      </w:r>
      <w:r w:rsidR="00207FC1" w:rsidRPr="00207FC1">
        <w:rPr>
          <w:rFonts w:ascii="Arial" w:hAnsi="Arial" w:cs="Arial"/>
          <w:shd w:val="clear" w:color="auto" w:fill="FFFFFF"/>
        </w:rPr>
        <w:t xml:space="preserve">und </w:t>
      </w:r>
      <w:r w:rsidRPr="00207FC1">
        <w:rPr>
          <w:rFonts w:ascii="Arial" w:hAnsi="Arial" w:cs="Arial"/>
          <w:shd w:val="clear" w:color="auto" w:fill="FFFFFF"/>
        </w:rPr>
        <w:t>private</w:t>
      </w:r>
      <w:r w:rsidR="00207FC1" w:rsidRPr="00207FC1">
        <w:rPr>
          <w:rFonts w:ascii="Arial" w:hAnsi="Arial" w:cs="Arial"/>
          <w:shd w:val="clear" w:color="auto" w:fill="FFFFFF"/>
        </w:rPr>
        <w:t xml:space="preserve"> </w:t>
      </w:r>
      <w:r w:rsidRPr="00207FC1">
        <w:rPr>
          <w:rFonts w:ascii="Arial" w:hAnsi="Arial" w:cs="Arial"/>
          <w:shd w:val="clear" w:color="auto" w:fill="FFFFFF"/>
        </w:rPr>
        <w:t>I</w:t>
      </w:r>
      <w:r w:rsidR="00854677">
        <w:rPr>
          <w:rFonts w:ascii="Arial" w:hAnsi="Arial" w:cs="Arial"/>
          <w:shd w:val="clear" w:color="auto" w:fill="FFFFFF"/>
        </w:rPr>
        <w:t>nstitutionen ohne Erwerbszweck.</w:t>
      </w:r>
    </w:p>
    <w:p w:rsidR="00854677" w:rsidRDefault="00854677" w:rsidP="002A6DCF">
      <w:pPr>
        <w:rPr>
          <w:rFonts w:ascii="Arial" w:hAnsi="Arial" w:cs="Arial"/>
          <w:shd w:val="clear" w:color="auto" w:fill="FFFFFF"/>
        </w:rPr>
      </w:pPr>
    </w:p>
    <w:p w:rsidR="002A6DCF" w:rsidRDefault="009E5B9B" w:rsidP="002A6DCF">
      <w:pPr>
        <w:rPr>
          <w:rFonts w:ascii="Arial" w:hAnsi="Arial" w:cs="Arial"/>
          <w:shd w:val="clear" w:color="auto" w:fill="FFFFFF"/>
        </w:rPr>
      </w:pPr>
      <w:r w:rsidRPr="001A3D0B">
        <w:rPr>
          <w:rFonts w:ascii="Arial" w:hAnsi="Arial" w:cs="Arial"/>
          <w:shd w:val="clear" w:color="auto" w:fill="FFFFFF"/>
        </w:rPr>
        <w:lastRenderedPageBreak/>
        <w:t xml:space="preserve">Von den </w:t>
      </w:r>
      <w:r w:rsidR="00207FC1" w:rsidRPr="001A3D0B">
        <w:rPr>
          <w:rFonts w:ascii="Arial" w:hAnsi="Arial" w:cs="Arial"/>
          <w:shd w:val="clear" w:color="auto" w:fill="FFFFFF"/>
        </w:rPr>
        <w:t xml:space="preserve">475.676 </w:t>
      </w:r>
      <w:r w:rsidRPr="001A3D0B">
        <w:rPr>
          <w:rFonts w:ascii="Arial" w:hAnsi="Arial" w:cs="Arial"/>
          <w:shd w:val="clear" w:color="auto" w:fill="FFFFFF"/>
        </w:rPr>
        <w:t>FuE-Beschäftigten in Unternehmen</w:t>
      </w:r>
      <w:r w:rsidR="001A3D0B" w:rsidRPr="00207FC1">
        <w:rPr>
          <w:rFonts w:ascii="Arial" w:hAnsi="Arial" w:cs="Arial"/>
          <w:shd w:val="clear" w:color="auto" w:fill="FFFFFF"/>
        </w:rPr>
        <w:t xml:space="preserve"> (Vollzeitäquivalente)</w:t>
      </w:r>
      <w:r w:rsidRPr="001A3D0B">
        <w:rPr>
          <w:rFonts w:ascii="Arial" w:hAnsi="Arial" w:cs="Arial"/>
          <w:shd w:val="clear" w:color="auto" w:fill="FFFFFF"/>
        </w:rPr>
        <w:t xml:space="preserve"> arbeitete</w:t>
      </w:r>
      <w:r w:rsidR="001A3D0B" w:rsidRPr="001A3D0B">
        <w:rPr>
          <w:rFonts w:ascii="Arial" w:hAnsi="Arial" w:cs="Arial"/>
          <w:shd w:val="clear" w:color="auto" w:fill="FFFFFF"/>
        </w:rPr>
        <w:t>n</w:t>
      </w:r>
      <w:r w:rsidRPr="001A3D0B">
        <w:rPr>
          <w:rFonts w:ascii="Arial" w:hAnsi="Arial" w:cs="Arial"/>
          <w:shd w:val="clear" w:color="auto" w:fill="FFFFFF"/>
        </w:rPr>
        <w:t xml:space="preserve"> </w:t>
      </w:r>
      <w:r w:rsidR="001A3D0B" w:rsidRPr="001A3D0B">
        <w:rPr>
          <w:rFonts w:ascii="Arial" w:hAnsi="Arial" w:cs="Arial"/>
          <w:shd w:val="clear" w:color="auto" w:fill="FFFFFF"/>
        </w:rPr>
        <w:t>29</w:t>
      </w:r>
      <w:r w:rsidRPr="001A3D0B">
        <w:rPr>
          <w:rFonts w:ascii="Arial" w:hAnsi="Arial" w:cs="Arial"/>
          <w:shd w:val="clear" w:color="auto" w:fill="FFFFFF"/>
        </w:rPr>
        <w:t>,</w:t>
      </w:r>
      <w:r w:rsidR="001A3D0B" w:rsidRPr="001A3D0B">
        <w:rPr>
          <w:rFonts w:ascii="Arial" w:hAnsi="Arial" w:cs="Arial"/>
          <w:shd w:val="clear" w:color="auto" w:fill="FFFFFF"/>
        </w:rPr>
        <w:t>3</w:t>
      </w:r>
      <w:r w:rsidRPr="001A3D0B">
        <w:rPr>
          <w:rFonts w:ascii="Arial" w:hAnsi="Arial" w:cs="Arial"/>
          <w:shd w:val="clear" w:color="auto" w:fill="FFFFFF"/>
        </w:rPr>
        <w:t xml:space="preserve"> Prozent</w:t>
      </w:r>
      <w:r w:rsidR="001A3D0B" w:rsidRPr="001A3D0B">
        <w:rPr>
          <w:rFonts w:ascii="Arial" w:hAnsi="Arial" w:cs="Arial"/>
          <w:shd w:val="clear" w:color="auto" w:fill="FFFFFF"/>
        </w:rPr>
        <w:t xml:space="preserve"> </w:t>
      </w:r>
      <w:r w:rsidRPr="001A3D0B">
        <w:rPr>
          <w:rFonts w:ascii="Arial" w:hAnsi="Arial" w:cs="Arial"/>
          <w:shd w:val="clear" w:color="auto" w:fill="FFFFFF"/>
        </w:rPr>
        <w:t xml:space="preserve">im Bereich "Kraftwagen und Kraftwagenteile", </w:t>
      </w:r>
      <w:r w:rsidR="001A3D0B" w:rsidRPr="001A3D0B">
        <w:rPr>
          <w:rFonts w:ascii="Arial" w:hAnsi="Arial" w:cs="Arial"/>
          <w:shd w:val="clear" w:color="auto" w:fill="FFFFFF"/>
        </w:rPr>
        <w:t>12</w:t>
      </w:r>
      <w:r w:rsidRPr="001A3D0B">
        <w:rPr>
          <w:rFonts w:ascii="Arial" w:hAnsi="Arial" w:cs="Arial"/>
          <w:shd w:val="clear" w:color="auto" w:fill="FFFFFF"/>
        </w:rPr>
        <w:t>,</w:t>
      </w:r>
      <w:r w:rsidR="001A3D0B" w:rsidRPr="001A3D0B">
        <w:rPr>
          <w:rFonts w:ascii="Arial" w:hAnsi="Arial" w:cs="Arial"/>
          <w:shd w:val="clear" w:color="auto" w:fill="FFFFFF"/>
        </w:rPr>
        <w:t>6</w:t>
      </w:r>
      <w:r w:rsidRPr="001A3D0B">
        <w:rPr>
          <w:rFonts w:ascii="Arial" w:hAnsi="Arial" w:cs="Arial"/>
          <w:shd w:val="clear" w:color="auto" w:fill="FFFFFF"/>
        </w:rPr>
        <w:t xml:space="preserve"> Prozent entfielen auf den Bereich "Datenverarbeitungsgeräte, elektronische und optische Erzeugnisse" und jeder Neunte war im Bereich "Maschinenbau" beschäftigt (11,</w:t>
      </w:r>
      <w:r w:rsidR="001A3D0B" w:rsidRPr="001A3D0B">
        <w:rPr>
          <w:rFonts w:ascii="Arial" w:hAnsi="Arial" w:cs="Arial"/>
          <w:shd w:val="clear" w:color="auto" w:fill="FFFFFF"/>
        </w:rPr>
        <w:t>1</w:t>
      </w:r>
      <w:r w:rsidRPr="001A3D0B">
        <w:rPr>
          <w:rFonts w:ascii="Arial" w:hAnsi="Arial" w:cs="Arial"/>
          <w:shd w:val="clear" w:color="auto" w:fill="FFFFFF"/>
        </w:rPr>
        <w:t xml:space="preserve"> Prozent).</w:t>
      </w:r>
      <w:r w:rsidR="00C10154">
        <w:rPr>
          <w:rFonts w:ascii="Arial" w:hAnsi="Arial" w:cs="Arial"/>
          <w:shd w:val="clear" w:color="auto" w:fill="FFFFFF"/>
        </w:rPr>
        <w:t xml:space="preserve"> A</w:t>
      </w:r>
      <w:r w:rsidRPr="00367D4B">
        <w:rPr>
          <w:rFonts w:ascii="Arial" w:hAnsi="Arial" w:cs="Arial"/>
          <w:shd w:val="clear" w:color="auto" w:fill="FFFFFF"/>
        </w:rPr>
        <w:t>uch an den FuE-Ausgaben der Unternehmen hatten diese drei Bereiche mit 3</w:t>
      </w:r>
      <w:r w:rsidR="00367D4B" w:rsidRPr="00367D4B">
        <w:rPr>
          <w:rFonts w:ascii="Arial" w:hAnsi="Arial" w:cs="Arial"/>
          <w:shd w:val="clear" w:color="auto" w:fill="FFFFFF"/>
        </w:rPr>
        <w:t>7</w:t>
      </w:r>
      <w:r w:rsidRPr="00367D4B">
        <w:rPr>
          <w:rFonts w:ascii="Arial" w:hAnsi="Arial" w:cs="Arial"/>
          <w:shd w:val="clear" w:color="auto" w:fill="FFFFFF"/>
        </w:rPr>
        <w:t>,</w:t>
      </w:r>
      <w:r w:rsidR="00367D4B" w:rsidRPr="00367D4B">
        <w:rPr>
          <w:rFonts w:ascii="Arial" w:hAnsi="Arial" w:cs="Arial"/>
          <w:shd w:val="clear" w:color="auto" w:fill="FFFFFF"/>
        </w:rPr>
        <w:t>3</w:t>
      </w:r>
      <w:r w:rsidRPr="00367D4B">
        <w:rPr>
          <w:rFonts w:ascii="Arial" w:hAnsi="Arial" w:cs="Arial"/>
          <w:shd w:val="clear" w:color="auto" w:fill="FFFFFF"/>
        </w:rPr>
        <w:t xml:space="preserve"> Prozent, </w:t>
      </w:r>
      <w:r w:rsidR="00367D4B" w:rsidRPr="00367D4B">
        <w:rPr>
          <w:rFonts w:ascii="Arial" w:hAnsi="Arial" w:cs="Arial"/>
          <w:shd w:val="clear" w:color="auto" w:fill="FFFFFF"/>
        </w:rPr>
        <w:t>11</w:t>
      </w:r>
      <w:r w:rsidRPr="00367D4B">
        <w:rPr>
          <w:rFonts w:ascii="Arial" w:hAnsi="Arial" w:cs="Arial"/>
          <w:shd w:val="clear" w:color="auto" w:fill="FFFFFF"/>
        </w:rPr>
        <w:t>,</w:t>
      </w:r>
      <w:r w:rsidR="00367D4B" w:rsidRPr="00367D4B">
        <w:rPr>
          <w:rFonts w:ascii="Arial" w:hAnsi="Arial" w:cs="Arial"/>
          <w:shd w:val="clear" w:color="auto" w:fill="FFFFFF"/>
        </w:rPr>
        <w:t>5</w:t>
      </w:r>
      <w:r w:rsidRPr="00367D4B">
        <w:rPr>
          <w:rFonts w:ascii="Arial" w:hAnsi="Arial" w:cs="Arial"/>
          <w:shd w:val="clear" w:color="auto" w:fill="FFFFFF"/>
        </w:rPr>
        <w:t xml:space="preserve"> Prozent und 9,</w:t>
      </w:r>
      <w:r w:rsidR="00367D4B" w:rsidRPr="00367D4B">
        <w:rPr>
          <w:rFonts w:ascii="Arial" w:hAnsi="Arial" w:cs="Arial"/>
          <w:shd w:val="clear" w:color="auto" w:fill="FFFFFF"/>
        </w:rPr>
        <w:t>8</w:t>
      </w:r>
      <w:r w:rsidRPr="00367D4B">
        <w:rPr>
          <w:rFonts w:ascii="Arial" w:hAnsi="Arial" w:cs="Arial"/>
          <w:shd w:val="clear" w:color="auto" w:fill="FFFFFF"/>
        </w:rPr>
        <w:t xml:space="preserve"> Prozent die höchsten Anteile.</w:t>
      </w:r>
      <w:r w:rsidR="00C10154">
        <w:rPr>
          <w:rFonts w:ascii="Arial" w:hAnsi="Arial" w:cs="Arial"/>
          <w:shd w:val="clear" w:color="auto" w:fill="FFFFFF"/>
        </w:rPr>
        <w:t xml:space="preserve"> </w:t>
      </w:r>
      <w:r w:rsidR="00854677">
        <w:rPr>
          <w:rFonts w:ascii="Arial" w:hAnsi="Arial" w:cs="Arial"/>
          <w:shd w:val="clear" w:color="auto" w:fill="FFFFFF"/>
        </w:rPr>
        <w:t xml:space="preserve">Gefolgt von den </w:t>
      </w:r>
      <w:r w:rsidR="00B71018">
        <w:rPr>
          <w:rFonts w:ascii="Arial" w:hAnsi="Arial" w:cs="Arial"/>
          <w:shd w:val="clear" w:color="auto" w:fill="FFFFFF"/>
        </w:rPr>
        <w:t>Bereiche</w:t>
      </w:r>
      <w:r w:rsidR="00854677">
        <w:rPr>
          <w:rFonts w:ascii="Arial" w:hAnsi="Arial" w:cs="Arial"/>
          <w:shd w:val="clear" w:color="auto" w:fill="FFFFFF"/>
        </w:rPr>
        <w:t>n</w:t>
      </w:r>
      <w:r w:rsidR="00B71018">
        <w:rPr>
          <w:rFonts w:ascii="Arial" w:hAnsi="Arial" w:cs="Arial"/>
          <w:shd w:val="clear" w:color="auto" w:fill="FFFFFF"/>
        </w:rPr>
        <w:t xml:space="preserve"> </w:t>
      </w:r>
      <w:r w:rsidR="00367D4B" w:rsidRPr="001A3D0B">
        <w:rPr>
          <w:rFonts w:ascii="Arial" w:hAnsi="Arial" w:cs="Arial"/>
          <w:shd w:val="clear" w:color="auto" w:fill="FFFFFF"/>
        </w:rPr>
        <w:t>"</w:t>
      </w:r>
      <w:r w:rsidR="00367D4B">
        <w:rPr>
          <w:rFonts w:ascii="Arial" w:hAnsi="Arial" w:cs="Arial"/>
          <w:shd w:val="clear" w:color="auto" w:fill="FFFFFF"/>
        </w:rPr>
        <w:t>P</w:t>
      </w:r>
      <w:r w:rsidR="00367D4B" w:rsidRPr="00367D4B">
        <w:rPr>
          <w:rFonts w:ascii="Arial" w:hAnsi="Arial" w:cs="Arial"/>
          <w:shd w:val="clear" w:color="auto" w:fill="FFFFFF"/>
        </w:rPr>
        <w:t>harmazeutische Erzeugnisse</w:t>
      </w:r>
      <w:r w:rsidR="00367D4B" w:rsidRPr="001A3D0B">
        <w:rPr>
          <w:rFonts w:ascii="Arial" w:hAnsi="Arial" w:cs="Arial"/>
          <w:shd w:val="clear" w:color="auto" w:fill="FFFFFF"/>
        </w:rPr>
        <w:t>"</w:t>
      </w:r>
      <w:r w:rsidR="00367D4B" w:rsidRPr="00367D4B">
        <w:rPr>
          <w:rFonts w:ascii="Arial" w:hAnsi="Arial" w:cs="Arial"/>
          <w:shd w:val="clear" w:color="auto" w:fill="FFFFFF"/>
        </w:rPr>
        <w:t xml:space="preserve"> und </w:t>
      </w:r>
      <w:r w:rsidR="00367D4B" w:rsidRPr="001A3D0B">
        <w:rPr>
          <w:rFonts w:ascii="Arial" w:hAnsi="Arial" w:cs="Arial"/>
          <w:shd w:val="clear" w:color="auto" w:fill="FFFFFF"/>
        </w:rPr>
        <w:t>"</w:t>
      </w:r>
      <w:r w:rsidR="00367D4B">
        <w:rPr>
          <w:rFonts w:ascii="Arial" w:hAnsi="Arial" w:cs="Arial"/>
          <w:shd w:val="clear" w:color="auto" w:fill="FFFFFF"/>
        </w:rPr>
        <w:t>C</w:t>
      </w:r>
      <w:r w:rsidR="00367D4B" w:rsidRPr="00367D4B">
        <w:rPr>
          <w:rFonts w:ascii="Arial" w:hAnsi="Arial" w:cs="Arial"/>
          <w:shd w:val="clear" w:color="auto" w:fill="FFFFFF"/>
        </w:rPr>
        <w:t>hemische Erzeugnisse</w:t>
      </w:r>
      <w:r w:rsidR="00367D4B" w:rsidRPr="001A3D0B">
        <w:rPr>
          <w:rFonts w:ascii="Arial" w:hAnsi="Arial" w:cs="Arial"/>
          <w:shd w:val="clear" w:color="auto" w:fill="FFFFFF"/>
        </w:rPr>
        <w:t>"</w:t>
      </w:r>
      <w:r w:rsidR="002A6DCF" w:rsidRPr="001A3D0B">
        <w:rPr>
          <w:rFonts w:ascii="Arial" w:hAnsi="Arial" w:cs="Arial"/>
          <w:shd w:val="clear" w:color="auto" w:fill="FFFFFF"/>
        </w:rPr>
        <w:t>.</w:t>
      </w:r>
    </w:p>
    <w:p w:rsidR="00C10154" w:rsidRDefault="00C10154" w:rsidP="002A6DCF">
      <w:pPr>
        <w:rPr>
          <w:rFonts w:ascii="Arial" w:hAnsi="Arial" w:cs="Arial"/>
          <w:shd w:val="clear" w:color="auto" w:fill="FFFFFF"/>
        </w:rPr>
      </w:pPr>
    </w:p>
    <w:p w:rsidR="00C10154" w:rsidRDefault="009E5B9B" w:rsidP="007E4FDF">
      <w:pPr>
        <w:rPr>
          <w:rFonts w:ascii="Arial" w:hAnsi="Arial" w:cs="Arial"/>
          <w:shd w:val="clear" w:color="auto" w:fill="FFFFFF"/>
        </w:rPr>
      </w:pPr>
      <w:r w:rsidRPr="007E4FDF">
        <w:rPr>
          <w:rFonts w:ascii="Arial" w:hAnsi="Arial" w:cs="Arial"/>
          <w:shd w:val="clear" w:color="auto" w:fill="FFFFFF"/>
        </w:rPr>
        <w:t>Der weitaus größte Teil des FuE-Personals des Unternehmenssektors ist in großen Unternehmen beschäftigt. Auf die Unternehmen mit 500 und mehr Beschäftigten entfielen 201</w:t>
      </w:r>
      <w:r w:rsidR="007E4FDF" w:rsidRPr="007E4FDF">
        <w:rPr>
          <w:rFonts w:ascii="Arial" w:hAnsi="Arial" w:cs="Arial"/>
          <w:shd w:val="clear" w:color="auto" w:fill="FFFFFF"/>
        </w:rPr>
        <w:t>9</w:t>
      </w:r>
      <w:r w:rsidRPr="007E4FDF">
        <w:rPr>
          <w:rFonts w:ascii="Arial" w:hAnsi="Arial" w:cs="Arial"/>
          <w:shd w:val="clear" w:color="auto" w:fill="FFFFFF"/>
        </w:rPr>
        <w:t xml:space="preserve"> gut drei Viertel aller FuE-Beschäftigten (7</w:t>
      </w:r>
      <w:r w:rsidR="007E4FDF" w:rsidRPr="007E4FDF">
        <w:rPr>
          <w:rFonts w:ascii="Arial" w:hAnsi="Arial" w:cs="Arial"/>
          <w:shd w:val="clear" w:color="auto" w:fill="FFFFFF"/>
        </w:rPr>
        <w:t>6</w:t>
      </w:r>
      <w:r w:rsidRPr="007E4FDF">
        <w:rPr>
          <w:rFonts w:ascii="Arial" w:hAnsi="Arial" w:cs="Arial"/>
          <w:shd w:val="clear" w:color="auto" w:fill="FFFFFF"/>
        </w:rPr>
        <w:t>,</w:t>
      </w:r>
      <w:r w:rsidR="007E4FDF" w:rsidRPr="007E4FDF">
        <w:rPr>
          <w:rFonts w:ascii="Arial" w:hAnsi="Arial" w:cs="Arial"/>
          <w:shd w:val="clear" w:color="auto" w:fill="FFFFFF"/>
        </w:rPr>
        <w:t>9</w:t>
      </w:r>
      <w:r w:rsidRPr="007E4FDF">
        <w:rPr>
          <w:rFonts w:ascii="Arial" w:hAnsi="Arial" w:cs="Arial"/>
          <w:shd w:val="clear" w:color="auto" w:fill="FFFFFF"/>
        </w:rPr>
        <w:t xml:space="preserve"> Prozent</w:t>
      </w:r>
      <w:r w:rsidR="00EB54BE">
        <w:rPr>
          <w:rFonts w:ascii="Arial" w:hAnsi="Arial" w:cs="Arial"/>
          <w:shd w:val="clear" w:color="auto" w:fill="FFFFFF"/>
        </w:rPr>
        <w:t xml:space="preserve"> der Vollzeitäquivalente</w:t>
      </w:r>
      <w:r w:rsidRPr="007E4FDF">
        <w:rPr>
          <w:rFonts w:ascii="Arial" w:hAnsi="Arial" w:cs="Arial"/>
          <w:shd w:val="clear" w:color="auto" w:fill="FFFFFF"/>
        </w:rPr>
        <w:t>). Gleichzeitig tätigten diese Unternehmen 8</w:t>
      </w:r>
      <w:r w:rsidR="007E4FDF" w:rsidRPr="007E4FDF">
        <w:rPr>
          <w:rFonts w:ascii="Arial" w:hAnsi="Arial" w:cs="Arial"/>
          <w:shd w:val="clear" w:color="auto" w:fill="FFFFFF"/>
        </w:rPr>
        <w:t>6</w:t>
      </w:r>
      <w:r w:rsidRPr="007E4FDF">
        <w:rPr>
          <w:rFonts w:ascii="Arial" w:hAnsi="Arial" w:cs="Arial"/>
          <w:shd w:val="clear" w:color="auto" w:fill="FFFFFF"/>
        </w:rPr>
        <w:t>,</w:t>
      </w:r>
      <w:r w:rsidR="007E4FDF" w:rsidRPr="007E4FDF">
        <w:rPr>
          <w:rFonts w:ascii="Arial" w:hAnsi="Arial" w:cs="Arial"/>
          <w:shd w:val="clear" w:color="auto" w:fill="FFFFFF"/>
        </w:rPr>
        <w:t>7</w:t>
      </w:r>
      <w:r w:rsidRPr="007E4FDF">
        <w:rPr>
          <w:rFonts w:ascii="Arial" w:hAnsi="Arial" w:cs="Arial"/>
          <w:shd w:val="clear" w:color="auto" w:fill="FFFFFF"/>
        </w:rPr>
        <w:t xml:space="preserve"> Prozent der FuE-Ausgaben des Unternehmenssektors. In den Unternehmen mit weniger als 250 Beschäftigten arbeiteten 17,</w:t>
      </w:r>
      <w:r w:rsidR="007E4FDF" w:rsidRPr="007E4FDF">
        <w:rPr>
          <w:rFonts w:ascii="Arial" w:hAnsi="Arial" w:cs="Arial"/>
          <w:shd w:val="clear" w:color="auto" w:fill="FFFFFF"/>
        </w:rPr>
        <w:t>0</w:t>
      </w:r>
      <w:r w:rsidRPr="007E4FDF">
        <w:rPr>
          <w:rFonts w:ascii="Arial" w:hAnsi="Arial" w:cs="Arial"/>
          <w:shd w:val="clear" w:color="auto" w:fill="FFFFFF"/>
        </w:rPr>
        <w:t xml:space="preserve"> Prozent der FuE-Beschäftigten, der Anteil an den FuE-Ausgaben lag bei </w:t>
      </w:r>
      <w:r w:rsidR="007E4FDF" w:rsidRPr="007E4FDF">
        <w:rPr>
          <w:rFonts w:ascii="Arial" w:hAnsi="Arial" w:cs="Arial"/>
          <w:shd w:val="clear" w:color="auto" w:fill="FFFFFF"/>
        </w:rPr>
        <w:t>8,8</w:t>
      </w:r>
      <w:r w:rsidRPr="007E4FDF">
        <w:rPr>
          <w:rFonts w:ascii="Arial" w:hAnsi="Arial" w:cs="Arial"/>
          <w:shd w:val="clear" w:color="auto" w:fill="FFFFFF"/>
        </w:rPr>
        <w:t xml:space="preserve"> Prozent. Entsprechend hatten die Unternehmen mit 250 bis 499 Beschäftigten im Jahr 201</w:t>
      </w:r>
      <w:r w:rsidR="007E4FDF" w:rsidRPr="007E4FDF">
        <w:rPr>
          <w:rFonts w:ascii="Arial" w:hAnsi="Arial" w:cs="Arial"/>
          <w:shd w:val="clear" w:color="auto" w:fill="FFFFFF"/>
        </w:rPr>
        <w:t>9</w:t>
      </w:r>
      <w:r w:rsidRPr="007E4FDF">
        <w:rPr>
          <w:rFonts w:ascii="Arial" w:hAnsi="Arial" w:cs="Arial"/>
          <w:shd w:val="clear" w:color="auto" w:fill="FFFFFF"/>
        </w:rPr>
        <w:t xml:space="preserve"> einen Anteil von </w:t>
      </w:r>
      <w:r w:rsidR="007E4FDF" w:rsidRPr="007E4FDF">
        <w:rPr>
          <w:rFonts w:ascii="Arial" w:hAnsi="Arial" w:cs="Arial"/>
          <w:shd w:val="clear" w:color="auto" w:fill="FFFFFF"/>
        </w:rPr>
        <w:t>6,1</w:t>
      </w:r>
      <w:r w:rsidRPr="007E4FDF">
        <w:rPr>
          <w:rFonts w:ascii="Arial" w:hAnsi="Arial" w:cs="Arial"/>
          <w:shd w:val="clear" w:color="auto" w:fill="FFFFFF"/>
        </w:rPr>
        <w:t xml:space="preserve"> Prozent an den FuE-Beschäftigten und von </w:t>
      </w:r>
      <w:r w:rsidR="007E4FDF" w:rsidRPr="007E4FDF">
        <w:rPr>
          <w:rFonts w:ascii="Arial" w:hAnsi="Arial" w:cs="Arial"/>
          <w:shd w:val="clear" w:color="auto" w:fill="FFFFFF"/>
        </w:rPr>
        <w:t>4,4</w:t>
      </w:r>
      <w:r w:rsidRPr="007E4FDF">
        <w:rPr>
          <w:rFonts w:ascii="Arial" w:hAnsi="Arial" w:cs="Arial"/>
          <w:shd w:val="clear" w:color="auto" w:fill="FFFFFF"/>
        </w:rPr>
        <w:t xml:space="preserve"> Prozent an den FuE-Au</w:t>
      </w:r>
      <w:r w:rsidR="00EB54BE">
        <w:rPr>
          <w:rFonts w:ascii="Arial" w:hAnsi="Arial" w:cs="Arial"/>
          <w:shd w:val="clear" w:color="auto" w:fill="FFFFFF"/>
        </w:rPr>
        <w:t xml:space="preserve">fwendungen </w:t>
      </w:r>
      <w:r w:rsidRPr="007E4FDF">
        <w:rPr>
          <w:rFonts w:ascii="Arial" w:hAnsi="Arial" w:cs="Arial"/>
          <w:shd w:val="clear" w:color="auto" w:fill="FFFFFF"/>
        </w:rPr>
        <w:t>des Unternehmenssektors.</w:t>
      </w:r>
    </w:p>
    <w:p w:rsidR="00C10154" w:rsidRDefault="00C10154" w:rsidP="007E4FDF">
      <w:pPr>
        <w:rPr>
          <w:rFonts w:ascii="Arial" w:hAnsi="Arial" w:cs="Arial"/>
          <w:shd w:val="clear" w:color="auto" w:fill="FFFFFF"/>
        </w:rPr>
      </w:pPr>
    </w:p>
    <w:p w:rsidR="00C10154" w:rsidRDefault="000B0004" w:rsidP="00CA5D69">
      <w:pPr>
        <w:rPr>
          <w:rFonts w:ascii="Arial" w:hAnsi="Arial" w:cs="Arial"/>
          <w:shd w:val="clear" w:color="auto" w:fill="FFFFFF"/>
        </w:rPr>
      </w:pPr>
      <w:r>
        <w:rPr>
          <w:rFonts w:ascii="Arial" w:hAnsi="Arial" w:cs="Arial"/>
          <w:shd w:val="clear" w:color="auto" w:fill="FFFFFF"/>
        </w:rPr>
        <w:t>I</w:t>
      </w:r>
      <w:r w:rsidRPr="00D026D1">
        <w:rPr>
          <w:rFonts w:ascii="Arial" w:hAnsi="Arial" w:cs="Arial"/>
          <w:shd w:val="clear" w:color="auto" w:fill="FFFFFF"/>
        </w:rPr>
        <w:t xml:space="preserve">m Jahr 2019 </w:t>
      </w:r>
      <w:r>
        <w:rPr>
          <w:rFonts w:ascii="Arial" w:hAnsi="Arial" w:cs="Arial"/>
          <w:shd w:val="clear" w:color="auto" w:fill="FFFFFF"/>
        </w:rPr>
        <w:t xml:space="preserve">lagen die </w:t>
      </w:r>
      <w:r w:rsidRPr="007E7E5F">
        <w:rPr>
          <w:rFonts w:ascii="Arial" w:hAnsi="Arial" w:cs="Arial"/>
          <w:shd w:val="clear" w:color="auto" w:fill="FFFFFF"/>
        </w:rPr>
        <w:t>FuE-Ausgaben</w:t>
      </w:r>
      <w:r w:rsidR="007C7A52" w:rsidRPr="007C7A52">
        <w:rPr>
          <w:rFonts w:ascii="Arial" w:hAnsi="Arial" w:cs="Arial"/>
          <w:shd w:val="clear" w:color="auto" w:fill="FFFFFF"/>
        </w:rPr>
        <w:t xml:space="preserve"> </w:t>
      </w:r>
      <w:r w:rsidR="007C7A52" w:rsidRPr="004C202E">
        <w:rPr>
          <w:rFonts w:ascii="Arial" w:hAnsi="Arial" w:cs="Arial"/>
          <w:shd w:val="clear" w:color="auto" w:fill="FFFFFF"/>
        </w:rPr>
        <w:t>des Staates und der privaten Institutionen ohne Erwerbszweck</w:t>
      </w:r>
      <w:r>
        <w:rPr>
          <w:rFonts w:ascii="Arial" w:hAnsi="Arial" w:cs="Arial"/>
          <w:shd w:val="clear" w:color="auto" w:fill="FFFFFF"/>
        </w:rPr>
        <w:t xml:space="preserve"> bei 15,0 Milliarden Euro. </w:t>
      </w:r>
      <w:r w:rsidR="006D4C26">
        <w:rPr>
          <w:rFonts w:ascii="Arial" w:hAnsi="Arial" w:cs="Arial"/>
          <w:shd w:val="clear" w:color="auto" w:fill="FFFFFF"/>
        </w:rPr>
        <w:t xml:space="preserve">Davon </w:t>
      </w:r>
      <w:r w:rsidR="009E5B9B" w:rsidRPr="006D4C26">
        <w:rPr>
          <w:rFonts w:ascii="Arial" w:hAnsi="Arial" w:cs="Arial"/>
          <w:shd w:val="clear" w:color="auto" w:fill="FFFFFF"/>
        </w:rPr>
        <w:t xml:space="preserve">entfielen </w:t>
      </w:r>
      <w:r w:rsidRPr="006D4C26">
        <w:rPr>
          <w:rFonts w:ascii="Arial" w:hAnsi="Arial" w:cs="Arial"/>
          <w:shd w:val="clear" w:color="auto" w:fill="FFFFFF"/>
        </w:rPr>
        <w:t>11</w:t>
      </w:r>
      <w:r w:rsidR="009E5B9B" w:rsidRPr="006D4C26">
        <w:rPr>
          <w:rFonts w:ascii="Arial" w:hAnsi="Arial" w:cs="Arial"/>
          <w:shd w:val="clear" w:color="auto" w:fill="FFFFFF"/>
        </w:rPr>
        <w:t>,</w:t>
      </w:r>
      <w:r w:rsidRPr="006D4C26">
        <w:rPr>
          <w:rFonts w:ascii="Arial" w:hAnsi="Arial" w:cs="Arial"/>
          <w:shd w:val="clear" w:color="auto" w:fill="FFFFFF"/>
        </w:rPr>
        <w:t>2</w:t>
      </w:r>
      <w:r w:rsidR="000916A4">
        <w:rPr>
          <w:rFonts w:ascii="Arial" w:hAnsi="Arial" w:cs="Arial"/>
          <w:shd w:val="clear" w:color="auto" w:fill="FFFFFF"/>
        </w:rPr>
        <w:t xml:space="preserve"> Milliarden Euro </w:t>
      </w:r>
      <w:r w:rsidR="009E5B9B" w:rsidRPr="006D4C26">
        <w:rPr>
          <w:rFonts w:ascii="Arial" w:hAnsi="Arial" w:cs="Arial"/>
          <w:shd w:val="clear" w:color="auto" w:fill="FFFFFF"/>
        </w:rPr>
        <w:t>auf gemeinsam von Bund und Ländern geförderte Einrichtungen für Wissenschaft, Forschung und Entwicklung</w:t>
      </w:r>
      <w:r w:rsidR="006D4C26" w:rsidRPr="006D4C26">
        <w:rPr>
          <w:rFonts w:ascii="Arial" w:hAnsi="Arial" w:cs="Arial"/>
          <w:shd w:val="clear" w:color="auto" w:fill="FFFFFF"/>
        </w:rPr>
        <w:t xml:space="preserve">: Die </w:t>
      </w:r>
      <w:r w:rsidR="009E5B9B" w:rsidRPr="006D4C26">
        <w:rPr>
          <w:rFonts w:ascii="Arial" w:hAnsi="Arial" w:cs="Arial"/>
          <w:shd w:val="clear" w:color="auto" w:fill="FFFFFF"/>
        </w:rPr>
        <w:t>Helmholtz-Zentren (</w:t>
      </w:r>
      <w:r w:rsidR="006D4C26" w:rsidRPr="006D4C26">
        <w:rPr>
          <w:rFonts w:ascii="Arial" w:hAnsi="Arial" w:cs="Arial"/>
          <w:shd w:val="clear" w:color="auto" w:fill="FFFFFF"/>
        </w:rPr>
        <w:t>4,7</w:t>
      </w:r>
      <w:r w:rsidR="009E5B9B" w:rsidRPr="006D4C26">
        <w:rPr>
          <w:rFonts w:ascii="Arial" w:hAnsi="Arial" w:cs="Arial"/>
          <w:shd w:val="clear" w:color="auto" w:fill="FFFFFF"/>
        </w:rPr>
        <w:t xml:space="preserve"> Mrd. Euro), die Institute der Fraunhofer-Gesellschaft (</w:t>
      </w:r>
      <w:r w:rsidR="006D4C26" w:rsidRPr="006D4C26">
        <w:rPr>
          <w:rFonts w:ascii="Arial" w:hAnsi="Arial" w:cs="Arial"/>
          <w:shd w:val="clear" w:color="auto" w:fill="FFFFFF"/>
        </w:rPr>
        <w:t>2,7</w:t>
      </w:r>
      <w:r w:rsidR="009E5B9B" w:rsidRPr="006D4C26">
        <w:rPr>
          <w:rFonts w:ascii="Arial" w:hAnsi="Arial" w:cs="Arial"/>
          <w:shd w:val="clear" w:color="auto" w:fill="FFFFFF"/>
        </w:rPr>
        <w:t xml:space="preserve"> Mrd. Euro), die Institute der Max-Planck-Gesellschaft (</w:t>
      </w:r>
      <w:r w:rsidR="006D4C26" w:rsidRPr="006D4C26">
        <w:rPr>
          <w:rFonts w:ascii="Arial" w:hAnsi="Arial" w:cs="Arial"/>
          <w:shd w:val="clear" w:color="auto" w:fill="FFFFFF"/>
        </w:rPr>
        <w:t>2,1</w:t>
      </w:r>
      <w:r w:rsidR="009E5B9B" w:rsidRPr="006D4C26">
        <w:rPr>
          <w:rFonts w:ascii="Arial" w:hAnsi="Arial" w:cs="Arial"/>
          <w:shd w:val="clear" w:color="auto" w:fill="FFFFFF"/>
        </w:rPr>
        <w:t xml:space="preserve"> Mrd. Euro) sowie die Einrichtungen der Leibniz-Gemeinschaft (1,</w:t>
      </w:r>
      <w:r w:rsidR="006D4C26" w:rsidRPr="006D4C26">
        <w:rPr>
          <w:rFonts w:ascii="Arial" w:hAnsi="Arial" w:cs="Arial"/>
          <w:shd w:val="clear" w:color="auto" w:fill="FFFFFF"/>
        </w:rPr>
        <w:t>6</w:t>
      </w:r>
      <w:r w:rsidR="009E5B9B" w:rsidRPr="006D4C26">
        <w:rPr>
          <w:rFonts w:ascii="Arial" w:hAnsi="Arial" w:cs="Arial"/>
          <w:shd w:val="clear" w:color="auto" w:fill="FFFFFF"/>
        </w:rPr>
        <w:t xml:space="preserve"> Mrd. Euro). 1</w:t>
      </w:r>
      <w:r w:rsidR="009E5B9B" w:rsidRPr="001A0ACD">
        <w:rPr>
          <w:rFonts w:ascii="Arial" w:hAnsi="Arial" w:cs="Arial"/>
          <w:shd w:val="clear" w:color="auto" w:fill="FFFFFF"/>
        </w:rPr>
        <w:t>,</w:t>
      </w:r>
      <w:r w:rsidR="004A3D43" w:rsidRPr="001A0ACD">
        <w:rPr>
          <w:rFonts w:ascii="Arial" w:hAnsi="Arial" w:cs="Arial"/>
          <w:shd w:val="clear" w:color="auto" w:fill="FFFFFF"/>
        </w:rPr>
        <w:t xml:space="preserve">3 </w:t>
      </w:r>
      <w:r w:rsidR="009E5B9B" w:rsidRPr="001A0ACD">
        <w:rPr>
          <w:rFonts w:ascii="Arial" w:hAnsi="Arial" w:cs="Arial"/>
          <w:shd w:val="clear" w:color="auto" w:fill="FFFFFF"/>
        </w:rPr>
        <w:t xml:space="preserve">Milliarden Euro bzw. </w:t>
      </w:r>
      <w:r w:rsidR="004A3D43" w:rsidRPr="001A0ACD">
        <w:rPr>
          <w:rFonts w:ascii="Arial" w:hAnsi="Arial" w:cs="Arial"/>
          <w:shd w:val="clear" w:color="auto" w:fill="FFFFFF"/>
        </w:rPr>
        <w:t>8,5</w:t>
      </w:r>
      <w:r w:rsidR="009E5B9B" w:rsidRPr="001A0ACD">
        <w:rPr>
          <w:rFonts w:ascii="Arial" w:hAnsi="Arial" w:cs="Arial"/>
          <w:shd w:val="clear" w:color="auto" w:fill="FFFFFF"/>
        </w:rPr>
        <w:t xml:space="preserve"> Prozent der FuE-Ausgaben entfielen auf Bundesforschungseinrichtungen</w:t>
      </w:r>
      <w:r w:rsidR="000916A4">
        <w:rPr>
          <w:rFonts w:ascii="Arial" w:hAnsi="Arial" w:cs="Arial"/>
          <w:shd w:val="clear" w:color="auto" w:fill="FFFFFF"/>
        </w:rPr>
        <w:t>. W</w:t>
      </w:r>
      <w:r w:rsidR="009E5B9B" w:rsidRPr="001A0ACD">
        <w:rPr>
          <w:rFonts w:ascii="Arial" w:hAnsi="Arial" w:cs="Arial"/>
          <w:shd w:val="clear" w:color="auto" w:fill="FFFFFF"/>
        </w:rPr>
        <w:t>issenschaftliche Museen</w:t>
      </w:r>
      <w:r w:rsidR="004A3D43" w:rsidRPr="001A0ACD">
        <w:rPr>
          <w:rFonts w:ascii="Arial" w:hAnsi="Arial" w:cs="Arial"/>
          <w:shd w:val="clear" w:color="auto" w:fill="FFFFFF"/>
        </w:rPr>
        <w:t xml:space="preserve"> hatte</w:t>
      </w:r>
      <w:r w:rsidR="009E5B9B" w:rsidRPr="001A0ACD">
        <w:rPr>
          <w:rFonts w:ascii="Arial" w:hAnsi="Arial" w:cs="Arial"/>
          <w:shd w:val="clear" w:color="auto" w:fill="FFFFFF"/>
        </w:rPr>
        <w:t xml:space="preserve">n einen Anteil von </w:t>
      </w:r>
      <w:r w:rsidR="004A3D43" w:rsidRPr="001A0ACD">
        <w:rPr>
          <w:rFonts w:ascii="Arial" w:hAnsi="Arial" w:cs="Arial"/>
          <w:shd w:val="clear" w:color="auto" w:fill="FFFFFF"/>
        </w:rPr>
        <w:t>2,9</w:t>
      </w:r>
      <w:r w:rsidR="009E5B9B" w:rsidRPr="001A0ACD">
        <w:rPr>
          <w:rFonts w:ascii="Arial" w:hAnsi="Arial" w:cs="Arial"/>
          <w:shd w:val="clear" w:color="auto" w:fill="FFFFFF"/>
        </w:rPr>
        <w:t xml:space="preserve"> Prozent (4</w:t>
      </w:r>
      <w:r w:rsidR="004A3D43" w:rsidRPr="001A0ACD">
        <w:rPr>
          <w:rFonts w:ascii="Arial" w:hAnsi="Arial" w:cs="Arial"/>
          <w:shd w:val="clear" w:color="auto" w:fill="FFFFFF"/>
        </w:rPr>
        <w:t>42</w:t>
      </w:r>
      <w:r w:rsidR="009E5B9B" w:rsidRPr="001A0ACD">
        <w:rPr>
          <w:rFonts w:ascii="Arial" w:hAnsi="Arial" w:cs="Arial"/>
          <w:shd w:val="clear" w:color="auto" w:fill="FFFFFF"/>
        </w:rPr>
        <w:t xml:space="preserve"> </w:t>
      </w:r>
      <w:r w:rsidR="004A3D43" w:rsidRPr="001A0ACD">
        <w:rPr>
          <w:rFonts w:ascii="Arial" w:hAnsi="Arial" w:cs="Arial"/>
          <w:shd w:val="clear" w:color="auto" w:fill="FFFFFF"/>
        </w:rPr>
        <w:t>Mio. Euro)</w:t>
      </w:r>
      <w:r w:rsidR="009E5B9B" w:rsidRPr="001A0ACD">
        <w:rPr>
          <w:rFonts w:ascii="Arial" w:hAnsi="Arial" w:cs="Arial"/>
          <w:shd w:val="clear" w:color="auto" w:fill="FFFFFF"/>
        </w:rPr>
        <w:t>.</w:t>
      </w:r>
    </w:p>
    <w:p w:rsidR="00480248" w:rsidRDefault="00480248" w:rsidP="00CA5D69">
      <w:pPr>
        <w:rPr>
          <w:rFonts w:ascii="Arial" w:hAnsi="Arial" w:cs="Arial"/>
          <w:shd w:val="clear" w:color="auto" w:fill="FFFFFF"/>
        </w:rPr>
      </w:pPr>
    </w:p>
    <w:p w:rsidR="00D026D1" w:rsidRDefault="007C7A52" w:rsidP="00CA5D69">
      <w:pPr>
        <w:rPr>
          <w:rFonts w:ascii="Arial" w:hAnsi="Arial" w:cs="Arial"/>
          <w:shd w:val="clear" w:color="auto" w:fill="FFFFFF"/>
        </w:rPr>
      </w:pPr>
      <w:r>
        <w:rPr>
          <w:rFonts w:ascii="Arial" w:hAnsi="Arial" w:cs="Arial"/>
          <w:shd w:val="clear" w:color="auto" w:fill="FFFFFF"/>
        </w:rPr>
        <w:t xml:space="preserve">Wiederum bezogen auf die </w:t>
      </w:r>
      <w:r w:rsidRPr="007E7E5F">
        <w:rPr>
          <w:rFonts w:ascii="Arial" w:hAnsi="Arial" w:cs="Arial"/>
          <w:shd w:val="clear" w:color="auto" w:fill="FFFFFF"/>
        </w:rPr>
        <w:t xml:space="preserve">FuE-Ausgaben </w:t>
      </w:r>
      <w:r w:rsidRPr="000B0004">
        <w:rPr>
          <w:rFonts w:ascii="Arial" w:hAnsi="Arial" w:cs="Arial"/>
          <w:shd w:val="clear" w:color="auto" w:fill="FFFFFF"/>
        </w:rPr>
        <w:t>der öffentlichen und öffentlich geförderten Einrichtungen für Wissenschaft, Forschung und Entwicklung</w:t>
      </w:r>
      <w:r w:rsidR="00965A15" w:rsidRPr="007E7E5F">
        <w:rPr>
          <w:rFonts w:ascii="Arial" w:hAnsi="Arial" w:cs="Arial"/>
          <w:shd w:val="clear" w:color="auto" w:fill="FFFFFF"/>
        </w:rPr>
        <w:t xml:space="preserve"> </w:t>
      </w:r>
      <w:r w:rsidR="000B0004">
        <w:rPr>
          <w:rFonts w:ascii="Arial" w:hAnsi="Arial" w:cs="Arial"/>
          <w:shd w:val="clear" w:color="auto" w:fill="FFFFFF"/>
        </w:rPr>
        <w:t xml:space="preserve">in Höhe von </w:t>
      </w:r>
      <w:r w:rsidR="00271796">
        <w:rPr>
          <w:rFonts w:ascii="Arial" w:hAnsi="Arial" w:cs="Arial"/>
          <w:shd w:val="clear" w:color="auto" w:fill="FFFFFF"/>
        </w:rPr>
        <w:t>15,0 Milliarden Euro</w:t>
      </w:r>
      <w:r w:rsidR="000B0004">
        <w:rPr>
          <w:rFonts w:ascii="Arial" w:hAnsi="Arial" w:cs="Arial"/>
          <w:shd w:val="clear" w:color="auto" w:fill="FFFFFF"/>
        </w:rPr>
        <w:t xml:space="preserve"> </w:t>
      </w:r>
      <w:r>
        <w:rPr>
          <w:rFonts w:ascii="Arial" w:hAnsi="Arial" w:cs="Arial"/>
          <w:shd w:val="clear" w:color="auto" w:fill="FFFFFF"/>
        </w:rPr>
        <w:t xml:space="preserve">entfiel der größte Anteil auf </w:t>
      </w:r>
      <w:r w:rsidR="009E5B9B" w:rsidRPr="007E7E5F">
        <w:rPr>
          <w:rFonts w:ascii="Arial" w:hAnsi="Arial" w:cs="Arial"/>
          <w:shd w:val="clear" w:color="auto" w:fill="FFFFFF"/>
        </w:rPr>
        <w:t>die</w:t>
      </w:r>
      <w:r w:rsidR="00965A15" w:rsidRPr="007E7E5F">
        <w:rPr>
          <w:rFonts w:ascii="Arial" w:hAnsi="Arial" w:cs="Arial"/>
          <w:shd w:val="clear" w:color="auto" w:fill="FFFFFF"/>
        </w:rPr>
        <w:t xml:space="preserve"> Naturwissenschaften </w:t>
      </w:r>
      <w:r w:rsidR="009E5B9B" w:rsidRPr="007E7E5F">
        <w:rPr>
          <w:rFonts w:ascii="Arial" w:hAnsi="Arial" w:cs="Arial"/>
          <w:shd w:val="clear" w:color="auto" w:fill="FFFFFF"/>
        </w:rPr>
        <w:t xml:space="preserve">mit </w:t>
      </w:r>
      <w:r w:rsidR="003F6065" w:rsidRPr="007E7E5F">
        <w:rPr>
          <w:rFonts w:ascii="Arial" w:hAnsi="Arial" w:cs="Arial"/>
          <w:shd w:val="clear" w:color="auto" w:fill="FFFFFF"/>
        </w:rPr>
        <w:t>3</w:t>
      </w:r>
      <w:r w:rsidR="00965A15" w:rsidRPr="007E7E5F">
        <w:rPr>
          <w:rFonts w:ascii="Arial" w:hAnsi="Arial" w:cs="Arial"/>
          <w:shd w:val="clear" w:color="auto" w:fill="FFFFFF"/>
        </w:rPr>
        <w:t>5</w:t>
      </w:r>
      <w:r w:rsidR="009E5B9B" w:rsidRPr="007E7E5F">
        <w:rPr>
          <w:rFonts w:ascii="Arial" w:hAnsi="Arial" w:cs="Arial"/>
          <w:shd w:val="clear" w:color="auto" w:fill="FFFFFF"/>
        </w:rPr>
        <w:t>,</w:t>
      </w:r>
      <w:r w:rsidR="00965A15" w:rsidRPr="007E7E5F">
        <w:rPr>
          <w:rFonts w:ascii="Arial" w:hAnsi="Arial" w:cs="Arial"/>
          <w:shd w:val="clear" w:color="auto" w:fill="FFFFFF"/>
        </w:rPr>
        <w:t>6</w:t>
      </w:r>
      <w:r w:rsidR="009E5B9B" w:rsidRPr="007E7E5F">
        <w:rPr>
          <w:rFonts w:ascii="Arial" w:hAnsi="Arial" w:cs="Arial"/>
          <w:shd w:val="clear" w:color="auto" w:fill="FFFFFF"/>
        </w:rPr>
        <w:t xml:space="preserve"> Prozent</w:t>
      </w:r>
      <w:r>
        <w:rPr>
          <w:rFonts w:ascii="Arial" w:hAnsi="Arial" w:cs="Arial"/>
          <w:shd w:val="clear" w:color="auto" w:fill="FFFFFF"/>
        </w:rPr>
        <w:t xml:space="preserve"> </w:t>
      </w:r>
      <w:r w:rsidR="001C0339" w:rsidRPr="007E7E5F">
        <w:rPr>
          <w:rFonts w:ascii="Arial" w:hAnsi="Arial" w:cs="Arial"/>
          <w:shd w:val="clear" w:color="auto" w:fill="FFFFFF"/>
        </w:rPr>
        <w:t>– darunter Physik</w:t>
      </w:r>
      <w:r w:rsidR="007E7E5F">
        <w:rPr>
          <w:rFonts w:ascii="Arial" w:hAnsi="Arial" w:cs="Arial"/>
          <w:shd w:val="clear" w:color="auto" w:fill="FFFFFF"/>
        </w:rPr>
        <w:t>/A</w:t>
      </w:r>
      <w:r w:rsidR="001C0339" w:rsidRPr="007E7E5F">
        <w:rPr>
          <w:rFonts w:ascii="Arial" w:hAnsi="Arial" w:cs="Arial"/>
          <w:shd w:val="clear" w:color="auto" w:fill="FFFFFF"/>
        </w:rPr>
        <w:t>stronomie mit 17,4 Prozent, Biologie mit 8,8 Prozent und Chemie mit 5,1 Prozent.</w:t>
      </w:r>
      <w:r w:rsidR="00D026D1">
        <w:rPr>
          <w:rFonts w:ascii="Arial" w:hAnsi="Arial" w:cs="Arial"/>
          <w:shd w:val="clear" w:color="auto" w:fill="FFFFFF"/>
        </w:rPr>
        <w:t xml:space="preserve"> </w:t>
      </w:r>
      <w:r w:rsidR="00271796">
        <w:rPr>
          <w:rFonts w:ascii="Arial" w:hAnsi="Arial" w:cs="Arial"/>
          <w:shd w:val="clear" w:color="auto" w:fill="FFFFFF"/>
        </w:rPr>
        <w:t xml:space="preserve">An zweiter Stelle standen die </w:t>
      </w:r>
      <w:r w:rsidR="00965A15" w:rsidRPr="00D026D1">
        <w:rPr>
          <w:rFonts w:ascii="Arial" w:hAnsi="Arial" w:cs="Arial"/>
          <w:shd w:val="clear" w:color="auto" w:fill="FFFFFF"/>
        </w:rPr>
        <w:t xml:space="preserve">Ingenieurwissenschaften </w:t>
      </w:r>
      <w:r w:rsidR="00271796">
        <w:rPr>
          <w:rFonts w:ascii="Arial" w:hAnsi="Arial" w:cs="Arial"/>
          <w:shd w:val="clear" w:color="auto" w:fill="FFFFFF"/>
        </w:rPr>
        <w:t xml:space="preserve">mit </w:t>
      </w:r>
      <w:r w:rsidR="00D026D1" w:rsidRPr="00D026D1">
        <w:rPr>
          <w:rFonts w:ascii="Arial" w:hAnsi="Arial" w:cs="Arial"/>
          <w:shd w:val="clear" w:color="auto" w:fill="FFFFFF"/>
        </w:rPr>
        <w:t xml:space="preserve">25,1 Prozent </w:t>
      </w:r>
      <w:r w:rsidR="00965A15" w:rsidRPr="00D026D1">
        <w:rPr>
          <w:rFonts w:ascii="Arial" w:hAnsi="Arial" w:cs="Arial"/>
          <w:shd w:val="clear" w:color="auto" w:fill="FFFFFF"/>
        </w:rPr>
        <w:t>– darunter Elektrotechnik und Informatik mit jeweils 4,9 Prozent</w:t>
      </w:r>
      <w:r w:rsidR="009E5B9B" w:rsidRPr="00D026D1">
        <w:rPr>
          <w:rFonts w:ascii="Arial" w:hAnsi="Arial" w:cs="Arial"/>
          <w:shd w:val="clear" w:color="auto" w:fill="FFFFFF"/>
        </w:rPr>
        <w:t xml:space="preserve">. </w:t>
      </w:r>
      <w:r w:rsidR="00271796">
        <w:rPr>
          <w:rFonts w:ascii="Arial" w:hAnsi="Arial" w:cs="Arial"/>
          <w:shd w:val="clear" w:color="auto" w:fill="FFFFFF"/>
        </w:rPr>
        <w:t xml:space="preserve">Es folgten die </w:t>
      </w:r>
      <w:r w:rsidR="00271796" w:rsidRPr="00271796">
        <w:rPr>
          <w:rFonts w:ascii="Arial" w:hAnsi="Arial" w:cs="Arial"/>
          <w:shd w:val="clear" w:color="auto" w:fill="FFFFFF"/>
        </w:rPr>
        <w:t>Wissenschaftszweige</w:t>
      </w:r>
      <w:r w:rsidR="00271796">
        <w:rPr>
          <w:rFonts w:ascii="Arial" w:hAnsi="Arial" w:cs="Arial"/>
          <w:shd w:val="clear" w:color="auto" w:fill="FFFFFF"/>
        </w:rPr>
        <w:t xml:space="preserve"> </w:t>
      </w:r>
      <w:r w:rsidR="00271796" w:rsidRPr="00271796">
        <w:rPr>
          <w:rFonts w:ascii="Arial" w:hAnsi="Arial" w:cs="Arial"/>
          <w:shd w:val="clear" w:color="auto" w:fill="FFFFFF"/>
        </w:rPr>
        <w:t>Humanmedizin</w:t>
      </w:r>
      <w:r w:rsidR="004408D4">
        <w:rPr>
          <w:rFonts w:ascii="Arial" w:hAnsi="Arial" w:cs="Arial"/>
          <w:shd w:val="clear" w:color="auto" w:fill="FFFFFF"/>
        </w:rPr>
        <w:t xml:space="preserve"> und </w:t>
      </w:r>
      <w:r w:rsidR="00271796" w:rsidRPr="00271796">
        <w:rPr>
          <w:rFonts w:ascii="Arial" w:hAnsi="Arial" w:cs="Arial"/>
          <w:shd w:val="clear" w:color="auto" w:fill="FFFFFF"/>
        </w:rPr>
        <w:t>Gesundheitswissenschaften</w:t>
      </w:r>
      <w:r w:rsidR="00271796">
        <w:rPr>
          <w:rFonts w:ascii="Arial" w:hAnsi="Arial" w:cs="Arial"/>
          <w:shd w:val="clear" w:color="auto" w:fill="FFFFFF"/>
        </w:rPr>
        <w:t xml:space="preserve"> mit 8,6 Prozent </w:t>
      </w:r>
      <w:r w:rsidR="004408D4">
        <w:rPr>
          <w:rFonts w:ascii="Arial" w:hAnsi="Arial" w:cs="Arial"/>
          <w:shd w:val="clear" w:color="auto" w:fill="FFFFFF"/>
        </w:rPr>
        <w:t>sowie</w:t>
      </w:r>
      <w:r w:rsidR="00271796">
        <w:rPr>
          <w:rFonts w:ascii="Arial" w:hAnsi="Arial" w:cs="Arial"/>
          <w:shd w:val="clear" w:color="auto" w:fill="FFFFFF"/>
        </w:rPr>
        <w:t xml:space="preserve"> </w:t>
      </w:r>
      <w:r w:rsidR="00271796" w:rsidRPr="00271796">
        <w:rPr>
          <w:rFonts w:ascii="Arial" w:hAnsi="Arial" w:cs="Arial"/>
          <w:shd w:val="clear" w:color="auto" w:fill="FFFFFF"/>
        </w:rPr>
        <w:t>die Rechts-, Wirtschafts-</w:t>
      </w:r>
      <w:r w:rsidR="004408D4">
        <w:rPr>
          <w:rFonts w:ascii="Arial" w:hAnsi="Arial" w:cs="Arial"/>
          <w:shd w:val="clear" w:color="auto" w:fill="FFFFFF"/>
        </w:rPr>
        <w:t xml:space="preserve"> und</w:t>
      </w:r>
      <w:r w:rsidR="00271796" w:rsidRPr="00271796">
        <w:rPr>
          <w:rFonts w:ascii="Arial" w:hAnsi="Arial" w:cs="Arial"/>
          <w:shd w:val="clear" w:color="auto" w:fill="FFFFFF"/>
        </w:rPr>
        <w:t xml:space="preserve"> Sozialwissenschaften</w:t>
      </w:r>
      <w:r w:rsidR="00271796">
        <w:rPr>
          <w:rFonts w:ascii="Arial" w:hAnsi="Arial" w:cs="Arial"/>
          <w:shd w:val="clear" w:color="auto" w:fill="FFFFFF"/>
        </w:rPr>
        <w:t xml:space="preserve"> mit 6,1 Prozent.</w:t>
      </w:r>
    </w:p>
    <w:p w:rsidR="00C10154" w:rsidRDefault="00C10154" w:rsidP="00CA5D69">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Datenquelle</w:t>
      </w:r>
    </w:p>
    <w:p w:rsidR="00130C1E" w:rsidRPr="009A357C" w:rsidRDefault="00130C1E" w:rsidP="00130C1E">
      <w:pPr>
        <w:rPr>
          <w:rFonts w:ascii="Arial" w:hAnsi="Arial" w:cs="Arial"/>
          <w:shd w:val="clear" w:color="auto" w:fill="FFFFFF"/>
        </w:rPr>
      </w:pPr>
    </w:p>
    <w:p w:rsidR="00F75456" w:rsidRDefault="00F75456" w:rsidP="00130C1E">
      <w:pPr>
        <w:rPr>
          <w:rFonts w:ascii="Arial" w:hAnsi="Arial" w:cs="Arial"/>
          <w:color w:val="363636"/>
          <w:shd w:val="clear" w:color="auto" w:fill="FFFFFF"/>
        </w:rPr>
      </w:pPr>
      <w:r w:rsidRPr="009A357C">
        <w:rPr>
          <w:rFonts w:ascii="Arial" w:hAnsi="Arial" w:cs="Arial"/>
          <w:shd w:val="clear" w:color="auto" w:fill="FFFFFF"/>
        </w:rPr>
        <w:t xml:space="preserve">Statistisches Bundesamt: </w:t>
      </w:r>
      <w:r w:rsidR="00AD6BD9" w:rsidRPr="00AD6BD9">
        <w:rPr>
          <w:rFonts w:ascii="Arial" w:hAnsi="Arial" w:cs="Arial"/>
          <w:shd w:val="clear" w:color="auto" w:fill="FFFFFF"/>
        </w:rPr>
        <w:t>Finanzen und Steuern</w:t>
      </w:r>
      <w:r w:rsidR="00AD6BD9">
        <w:rPr>
          <w:rFonts w:ascii="Arial" w:hAnsi="Arial" w:cs="Arial"/>
          <w:shd w:val="clear" w:color="auto" w:fill="FFFFFF"/>
        </w:rPr>
        <w:t xml:space="preserve"> – </w:t>
      </w:r>
      <w:r w:rsidR="00AD6BD9" w:rsidRPr="00AD6BD9">
        <w:rPr>
          <w:rFonts w:ascii="Arial" w:hAnsi="Arial" w:cs="Arial"/>
          <w:shd w:val="clear" w:color="auto" w:fill="FFFFFF"/>
        </w:rPr>
        <w:t>Ausgaben, Einnahmen und Personal der öffentlichen und öffentlich geförderten Einrichtungen für Wissenschaft, Forschung und Entwicklung</w:t>
      </w:r>
      <w:r w:rsidR="009E5B9B">
        <w:rPr>
          <w:rFonts w:ascii="Arial" w:hAnsi="Arial" w:cs="Arial"/>
          <w:color w:val="363636"/>
          <w:shd w:val="clear" w:color="auto" w:fill="FFFFFF"/>
        </w:rPr>
        <w:t>; Stifterverband</w:t>
      </w:r>
      <w:r w:rsidR="00EA4825">
        <w:rPr>
          <w:rFonts w:ascii="Arial" w:hAnsi="Arial" w:cs="Arial"/>
          <w:color w:val="363636"/>
          <w:shd w:val="clear" w:color="auto" w:fill="FFFFFF"/>
        </w:rPr>
        <w:t xml:space="preserve"> für die Deutsche Wissenschaft e.V.</w:t>
      </w:r>
      <w:r w:rsidR="009E5B9B">
        <w:rPr>
          <w:rFonts w:ascii="Arial" w:hAnsi="Arial" w:cs="Arial"/>
          <w:color w:val="363636"/>
          <w:shd w:val="clear" w:color="auto" w:fill="FFFFFF"/>
        </w:rPr>
        <w:t xml:space="preserve">: </w:t>
      </w:r>
      <w:r w:rsidR="001A7B6A" w:rsidRPr="001A7B6A">
        <w:rPr>
          <w:rFonts w:ascii="Arial" w:hAnsi="Arial" w:cs="Arial"/>
          <w:color w:val="363636"/>
          <w:shd w:val="clear" w:color="auto" w:fill="FFFFFF"/>
        </w:rPr>
        <w:t>Zahlenwerk des Berichtsjahres 2019</w:t>
      </w:r>
    </w:p>
    <w:p w:rsidR="001A7B6A" w:rsidRPr="009A357C" w:rsidRDefault="001A7B6A" w:rsidP="00130C1E">
      <w:pPr>
        <w:rPr>
          <w:rFonts w:ascii="Arial" w:hAnsi="Arial" w:cs="Arial"/>
          <w:shd w:val="clear" w:color="auto" w:fill="FFFFFF"/>
        </w:rPr>
      </w:pPr>
    </w:p>
    <w:p w:rsidR="00CA5D69" w:rsidRPr="00CA5D69" w:rsidRDefault="00CA5D69" w:rsidP="00CA5D69">
      <w:pPr>
        <w:rPr>
          <w:rFonts w:ascii="Arial" w:hAnsi="Arial"/>
          <w:color w:val="FF0000"/>
        </w:rPr>
      </w:pPr>
      <w:r w:rsidRPr="00CA5D69">
        <w:rPr>
          <w:rFonts w:ascii="Arial" w:hAnsi="Arial"/>
          <w:color w:val="FF0000"/>
        </w:rPr>
        <w:t>Begriffe, methodische Anmerkungen oder Lesehilfen</w:t>
      </w:r>
    </w:p>
    <w:p w:rsidR="00130C1E" w:rsidRPr="00E378DE" w:rsidRDefault="00130C1E" w:rsidP="00130C1E">
      <w:pPr>
        <w:rPr>
          <w:rFonts w:ascii="Arial" w:hAnsi="Arial" w:cs="Arial"/>
          <w:shd w:val="clear" w:color="auto" w:fill="FFFFFF"/>
        </w:rPr>
      </w:pPr>
    </w:p>
    <w:p w:rsidR="00B71018" w:rsidRDefault="00B71018" w:rsidP="00B71018">
      <w:pPr>
        <w:rPr>
          <w:rFonts w:ascii="Arial" w:hAnsi="Arial" w:cs="Arial"/>
          <w:shd w:val="clear" w:color="auto" w:fill="FFFFFF"/>
        </w:rPr>
      </w:pPr>
      <w:r w:rsidRPr="00B71018">
        <w:rPr>
          <w:rFonts w:ascii="Arial" w:hAnsi="Arial" w:cs="Arial"/>
          <w:shd w:val="clear" w:color="auto" w:fill="FFFFFF"/>
        </w:rPr>
        <w:t>Alle Angaben im Text beziehen sich auf die</w:t>
      </w:r>
      <w:r>
        <w:rPr>
          <w:rFonts w:ascii="Arial" w:hAnsi="Arial" w:cs="Arial"/>
          <w:b/>
          <w:shd w:val="clear" w:color="auto" w:fill="FFFFFF"/>
        </w:rPr>
        <w:t xml:space="preserve"> internen </w:t>
      </w:r>
      <w:r w:rsidRPr="00E36BF3">
        <w:rPr>
          <w:rFonts w:ascii="Arial" w:hAnsi="Arial" w:cs="Arial"/>
          <w:b/>
          <w:shd w:val="clear" w:color="auto" w:fill="FFFFFF"/>
        </w:rPr>
        <w:t>FuE-Aufwendungen</w:t>
      </w:r>
      <w:r w:rsidRPr="00B71018">
        <w:rPr>
          <w:rFonts w:ascii="Arial" w:hAnsi="Arial" w:cs="Arial"/>
          <w:shd w:val="clear" w:color="auto" w:fill="FFFFFF"/>
        </w:rPr>
        <w:t>. Interne FuE-Aufwendungen sind Aufwendungen für Forschung und Entwickl</w:t>
      </w:r>
      <w:r w:rsidRPr="00BA2AE9">
        <w:rPr>
          <w:rFonts w:ascii="Arial" w:hAnsi="Arial" w:cs="Arial"/>
          <w:shd w:val="clear" w:color="auto" w:fill="FFFFFF"/>
        </w:rPr>
        <w:t>ung, die innerhalb des Unternehmens mit eigenem Forschungspersonal durchgeführt werden, sowohl für eigene Zwecke als auch im Auftrag anderer.</w:t>
      </w:r>
    </w:p>
    <w:p w:rsidR="00B71018" w:rsidRDefault="00B71018" w:rsidP="00B71018">
      <w:pPr>
        <w:rPr>
          <w:rFonts w:ascii="Arial" w:hAnsi="Arial" w:cs="Arial"/>
          <w:shd w:val="clear" w:color="auto" w:fill="FFFFFF"/>
        </w:rPr>
      </w:pPr>
    </w:p>
    <w:p w:rsidR="00B71018" w:rsidRDefault="00B71018" w:rsidP="00B71018">
      <w:pPr>
        <w:rPr>
          <w:rFonts w:ascii="Arial" w:hAnsi="Arial" w:cs="Arial"/>
          <w:shd w:val="clear" w:color="auto" w:fill="FFFFFF"/>
        </w:rPr>
      </w:pPr>
      <w:r w:rsidRPr="00E36BF3">
        <w:rPr>
          <w:rFonts w:ascii="Arial" w:hAnsi="Arial" w:cs="Arial"/>
          <w:b/>
          <w:shd w:val="clear" w:color="auto" w:fill="FFFFFF"/>
        </w:rPr>
        <w:t>Externe FuE-Aufwendungen</w:t>
      </w:r>
      <w:r w:rsidRPr="00BA2AE9">
        <w:rPr>
          <w:rFonts w:ascii="Arial" w:hAnsi="Arial" w:cs="Arial"/>
          <w:shd w:val="clear" w:color="auto" w:fill="FFFFFF"/>
        </w:rPr>
        <w:t xml:space="preserve"> sind Aufwendungen für FuE-Leistungen, die von außerhalb des Unternehmens bezogen werden. Dazu zählen zum Beispiel Forschungsaufträge an andere Unternehmen, Universitäten oder staatliche Forschungsinstitutionen</w:t>
      </w:r>
      <w:r w:rsidR="000916A4">
        <w:rPr>
          <w:rFonts w:ascii="Arial" w:hAnsi="Arial" w:cs="Arial"/>
          <w:shd w:val="clear" w:color="auto" w:fill="FFFFFF"/>
        </w:rPr>
        <w:t xml:space="preserve"> (</w:t>
      </w:r>
      <w:r w:rsidRPr="00BA2AE9">
        <w:rPr>
          <w:rFonts w:ascii="Arial" w:hAnsi="Arial" w:cs="Arial"/>
          <w:shd w:val="clear" w:color="auto" w:fill="FFFFFF"/>
        </w:rPr>
        <w:t>wie die Max-Planck-Gesellschaft oder die Fraunhofer-Gesellschaft</w:t>
      </w:r>
      <w:r w:rsidR="000916A4">
        <w:rPr>
          <w:rFonts w:ascii="Arial" w:hAnsi="Arial" w:cs="Arial"/>
          <w:shd w:val="clear" w:color="auto" w:fill="FFFFFF"/>
        </w:rPr>
        <w:t>)</w:t>
      </w:r>
      <w:r w:rsidRPr="00BA2AE9">
        <w:rPr>
          <w:rFonts w:ascii="Arial" w:hAnsi="Arial" w:cs="Arial"/>
          <w:shd w:val="clear" w:color="auto" w:fill="FFFFFF"/>
        </w:rPr>
        <w:t>.</w:t>
      </w:r>
    </w:p>
    <w:p w:rsidR="00C10154" w:rsidRDefault="00C10154" w:rsidP="00B71018">
      <w:pPr>
        <w:rPr>
          <w:rFonts w:ascii="Arial" w:hAnsi="Arial" w:cs="Arial"/>
          <w:shd w:val="clear" w:color="auto" w:fill="FFFFFF"/>
        </w:rPr>
      </w:pPr>
    </w:p>
    <w:p w:rsidR="00C10154" w:rsidRDefault="001D5E21" w:rsidP="00EC1AB9">
      <w:pPr>
        <w:rPr>
          <w:rFonts w:ascii="Arial" w:hAnsi="Arial" w:cs="Arial"/>
          <w:shd w:val="clear" w:color="auto" w:fill="FFFFFF"/>
        </w:rPr>
      </w:pPr>
      <w:r w:rsidRPr="001D5E21">
        <w:rPr>
          <w:rFonts w:ascii="Arial" w:hAnsi="Arial" w:cs="Arial"/>
          <w:shd w:val="clear" w:color="auto" w:fill="FFFFFF"/>
        </w:rPr>
        <w:t xml:space="preserve">Bei der Ermittlung der </w:t>
      </w:r>
      <w:bookmarkStart w:id="0" w:name="_GoBack"/>
      <w:r w:rsidRPr="001D5E21">
        <w:rPr>
          <w:rFonts w:ascii="Arial" w:hAnsi="Arial" w:cs="Arial"/>
          <w:b/>
          <w:shd w:val="clear" w:color="auto" w:fill="FFFFFF"/>
        </w:rPr>
        <w:t>Vollzeitäquivalente</w:t>
      </w:r>
      <w:bookmarkEnd w:id="0"/>
      <w:r w:rsidRPr="001D5E21">
        <w:rPr>
          <w:rFonts w:ascii="Arial" w:hAnsi="Arial" w:cs="Arial"/>
          <w:shd w:val="clear" w:color="auto" w:fill="FFFFFF"/>
        </w:rPr>
        <w:t xml:space="preserve"> werden Teilzeitbeschäftigte mit deren Anteil an der Arbeitszeit eines Vollzeitbeschäftigten berücksichtigt (zum Beispiel bilden zwei Teilzeitbeschäftigte, die jeweils 50 Prozent arbeiten, ein Vollzeitäquivalent). In Bezug auf die Beschäftigten im Bereich Forschung und Entwicklung (FuE) fließt beispielsweise sowohl ein Vollzeitbeschäftigter, der die Hälfte seiner Arbeitszeit für FuE verwendet, als auch ein Halbtagsbeschäftigter, der die gesamte Arbeitszeit für FuE verwendet, mit dem Wert 0,5 in die Berechnung der Vollzeitäquivalente ein.</w:t>
      </w:r>
    </w:p>
    <w:p w:rsidR="001D5E21" w:rsidRDefault="001D5E21" w:rsidP="00EC1AB9">
      <w:pPr>
        <w:rPr>
          <w:rFonts w:ascii="Arial" w:hAnsi="Arial" w:cs="Arial"/>
          <w:shd w:val="clear" w:color="auto" w:fill="FFFFFF"/>
        </w:rPr>
      </w:pPr>
    </w:p>
    <w:p w:rsidR="004A3B31" w:rsidRDefault="004A3B31" w:rsidP="00EC1AB9">
      <w:pPr>
        <w:rPr>
          <w:rFonts w:ascii="Arial" w:hAnsi="Arial" w:cs="Arial"/>
          <w:shd w:val="clear" w:color="auto" w:fill="FFFFFF"/>
        </w:rPr>
      </w:pPr>
      <w:r w:rsidRPr="009E5B9B">
        <w:rPr>
          <w:rFonts w:ascii="Arial" w:hAnsi="Arial" w:cs="Arial"/>
          <w:shd w:val="clear" w:color="auto" w:fill="FFFFFF"/>
        </w:rPr>
        <w:t>Das</w:t>
      </w:r>
      <w:r w:rsidRPr="009E5B9B">
        <w:rPr>
          <w:rFonts w:ascii="Arial" w:hAnsi="Arial"/>
        </w:rPr>
        <w:t xml:space="preserve"> </w:t>
      </w:r>
      <w:r w:rsidRPr="009E5B9B">
        <w:rPr>
          <w:rFonts w:ascii="Arial" w:hAnsi="Arial"/>
          <w:b/>
        </w:rPr>
        <w:t>Bruttoinlandsprodukt (BIP)</w:t>
      </w:r>
      <w:r w:rsidRPr="009E5B9B">
        <w:rPr>
          <w:rFonts w:ascii="Arial" w:hAnsi="Arial"/>
        </w:rPr>
        <w:t xml:space="preserve"> </w:t>
      </w:r>
      <w:r w:rsidRPr="009E5B9B">
        <w:rPr>
          <w:rFonts w:ascii="Arial" w:hAnsi="Arial" w:cs="Arial"/>
          <w:shd w:val="clear" w:color="auto" w:fill="FFFFFF"/>
        </w:rPr>
        <w:t>misst den Wert der im Inland hergestellten Waren und Dienstleistungen (Wertschöpfung), soweit diese nicht als Vorleistungen für die Produktion anderer Waren und Dienstleistungen verwendet werden. Das BIP ist gegenwärtig das wichtigste gesamtwirtschaftliche Produktionsmaß.</w:t>
      </w:r>
    </w:p>
    <w:p w:rsidR="00C10154" w:rsidRDefault="00C10154" w:rsidP="00EC1AB9">
      <w:pPr>
        <w:rPr>
          <w:rFonts w:ascii="Arial" w:hAnsi="Arial" w:cs="Arial"/>
          <w:shd w:val="clear" w:color="auto" w:fill="FFFFFF"/>
        </w:rPr>
      </w:pPr>
    </w:p>
    <w:p w:rsidR="001B7D15" w:rsidRPr="004E1FA0" w:rsidRDefault="001B7D15" w:rsidP="001B7D15">
      <w:pPr>
        <w:rPr>
          <w:rFonts w:ascii="Arial" w:hAnsi="Arial" w:cs="Arial"/>
          <w:sz w:val="20"/>
          <w:szCs w:val="20"/>
        </w:rPr>
      </w:pPr>
      <w:r w:rsidRPr="004E1FA0">
        <w:rPr>
          <w:rFonts w:ascii="Arial" w:hAnsi="Arial" w:cs="Arial"/>
          <w:sz w:val="20"/>
          <w:szCs w:val="20"/>
        </w:rPr>
        <w:t xml:space="preserve">Dieser Text ist unter der Creative Commons Lizenz </w:t>
      </w:r>
      <w:hyperlink r:id="rId7" w:tgtFrame="extern" w:history="1">
        <w:r w:rsidRPr="004E1FA0">
          <w:rPr>
            <w:rFonts w:ascii="Arial" w:hAnsi="Arial" w:cs="Arial"/>
            <w:sz w:val="20"/>
            <w:szCs w:val="20"/>
          </w:rPr>
          <w:t>by-nc-nd/3.0/de/</w:t>
        </w:r>
      </w:hyperlink>
      <w:r w:rsidRPr="004E1FA0">
        <w:rPr>
          <w:rFonts w:ascii="Arial" w:hAnsi="Arial" w:cs="Arial"/>
          <w:sz w:val="20"/>
          <w:szCs w:val="20"/>
        </w:rPr>
        <w:t xml:space="preserve"> veröffentlicht. </w:t>
      </w:r>
    </w:p>
    <w:p w:rsidR="004A3B31" w:rsidRPr="004E1FA0" w:rsidRDefault="001B7D15" w:rsidP="00B8762E">
      <w:pPr>
        <w:rPr>
          <w:rFonts w:ascii="Arial" w:hAnsi="Arial" w:cs="Arial"/>
          <w:i/>
        </w:rPr>
      </w:pPr>
      <w:r w:rsidRPr="004E1FA0">
        <w:rPr>
          <w:rFonts w:ascii="Arial" w:hAnsi="Arial" w:cs="Arial"/>
          <w:sz w:val="20"/>
          <w:szCs w:val="20"/>
        </w:rPr>
        <w:t>Bundeszentrale für politische Bildung 20</w:t>
      </w:r>
      <w:r w:rsidR="00BD5C4D" w:rsidRPr="004E1FA0">
        <w:rPr>
          <w:rFonts w:ascii="Arial" w:hAnsi="Arial" w:cs="Arial"/>
          <w:sz w:val="20"/>
          <w:szCs w:val="20"/>
        </w:rPr>
        <w:t>2</w:t>
      </w:r>
      <w:r w:rsidR="004A3B31" w:rsidRPr="004E1FA0">
        <w:rPr>
          <w:rFonts w:ascii="Arial" w:hAnsi="Arial" w:cs="Arial"/>
          <w:sz w:val="20"/>
          <w:szCs w:val="20"/>
        </w:rPr>
        <w:t>2</w:t>
      </w:r>
      <w:r w:rsidRPr="004E1FA0">
        <w:rPr>
          <w:rFonts w:ascii="Arial" w:hAnsi="Arial" w:cs="Arial"/>
          <w:sz w:val="20"/>
          <w:szCs w:val="20"/>
        </w:rPr>
        <w:t xml:space="preserve"> | </w:t>
      </w:r>
      <w:hyperlink r:id="rId8" w:history="1">
        <w:r w:rsidRPr="004E1FA0">
          <w:rPr>
            <w:rFonts w:ascii="Arial" w:hAnsi="Arial" w:cs="Arial"/>
            <w:sz w:val="20"/>
            <w:szCs w:val="20"/>
          </w:rPr>
          <w:t>www.bpb.de</w:t>
        </w:r>
      </w:hyperlink>
    </w:p>
    <w:sectPr w:rsidR="004A3B31" w:rsidRPr="004E1F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etaNormalLF-Roman">
    <w:altName w:val="MetaNormalLF-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3841"/>
    <w:multiLevelType w:val="multilevel"/>
    <w:tmpl w:val="BB86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EA0BDD"/>
    <w:multiLevelType w:val="hybridMultilevel"/>
    <w:tmpl w:val="C3CCDE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EE"/>
    <w:rsid w:val="00000573"/>
    <w:rsid w:val="0000234B"/>
    <w:rsid w:val="00021EA9"/>
    <w:rsid w:val="000238CC"/>
    <w:rsid w:val="0005792D"/>
    <w:rsid w:val="00070D8B"/>
    <w:rsid w:val="00076264"/>
    <w:rsid w:val="0009167D"/>
    <w:rsid w:val="000916A4"/>
    <w:rsid w:val="000A06C1"/>
    <w:rsid w:val="000A20AA"/>
    <w:rsid w:val="000A7F9D"/>
    <w:rsid w:val="000B0004"/>
    <w:rsid w:val="000B312A"/>
    <w:rsid w:val="000B3406"/>
    <w:rsid w:val="000C730A"/>
    <w:rsid w:val="000E2813"/>
    <w:rsid w:val="000E53BF"/>
    <w:rsid w:val="000F24ED"/>
    <w:rsid w:val="000F5548"/>
    <w:rsid w:val="000F55F6"/>
    <w:rsid w:val="00101A74"/>
    <w:rsid w:val="00104423"/>
    <w:rsid w:val="00111F49"/>
    <w:rsid w:val="001200F4"/>
    <w:rsid w:val="001221A4"/>
    <w:rsid w:val="001269EF"/>
    <w:rsid w:val="00130C1E"/>
    <w:rsid w:val="00163721"/>
    <w:rsid w:val="001662E8"/>
    <w:rsid w:val="001713B1"/>
    <w:rsid w:val="001715AF"/>
    <w:rsid w:val="00171D83"/>
    <w:rsid w:val="0017448A"/>
    <w:rsid w:val="00174B87"/>
    <w:rsid w:val="00183A44"/>
    <w:rsid w:val="001863C2"/>
    <w:rsid w:val="00186DC5"/>
    <w:rsid w:val="001A0ACD"/>
    <w:rsid w:val="001A3B10"/>
    <w:rsid w:val="001A3D0B"/>
    <w:rsid w:val="001A7B6A"/>
    <w:rsid w:val="001B524E"/>
    <w:rsid w:val="001B606B"/>
    <w:rsid w:val="001B7D15"/>
    <w:rsid w:val="001C0339"/>
    <w:rsid w:val="001C5492"/>
    <w:rsid w:val="001D198C"/>
    <w:rsid w:val="001D3374"/>
    <w:rsid w:val="001D5E21"/>
    <w:rsid w:val="001D7E07"/>
    <w:rsid w:val="001E5E13"/>
    <w:rsid w:val="001F0077"/>
    <w:rsid w:val="001F7F43"/>
    <w:rsid w:val="00207FC1"/>
    <w:rsid w:val="00210615"/>
    <w:rsid w:val="00212FA5"/>
    <w:rsid w:val="0021766E"/>
    <w:rsid w:val="002322B1"/>
    <w:rsid w:val="00236386"/>
    <w:rsid w:val="00244199"/>
    <w:rsid w:val="00244394"/>
    <w:rsid w:val="0025742B"/>
    <w:rsid w:val="00260769"/>
    <w:rsid w:val="00266714"/>
    <w:rsid w:val="002676AC"/>
    <w:rsid w:val="0027032D"/>
    <w:rsid w:val="00271796"/>
    <w:rsid w:val="002766B9"/>
    <w:rsid w:val="0028024F"/>
    <w:rsid w:val="002934C3"/>
    <w:rsid w:val="002A6DCF"/>
    <w:rsid w:val="002B5C93"/>
    <w:rsid w:val="002C242C"/>
    <w:rsid w:val="002D6DC9"/>
    <w:rsid w:val="002E7D46"/>
    <w:rsid w:val="002F1ED5"/>
    <w:rsid w:val="003361E1"/>
    <w:rsid w:val="003400A2"/>
    <w:rsid w:val="00342742"/>
    <w:rsid w:val="00363D8E"/>
    <w:rsid w:val="00364B6F"/>
    <w:rsid w:val="003657B1"/>
    <w:rsid w:val="00367D4B"/>
    <w:rsid w:val="0038111C"/>
    <w:rsid w:val="003A6FDC"/>
    <w:rsid w:val="003B1043"/>
    <w:rsid w:val="003B2FF1"/>
    <w:rsid w:val="003B5A46"/>
    <w:rsid w:val="003C1F2C"/>
    <w:rsid w:val="003C282A"/>
    <w:rsid w:val="003D3ABC"/>
    <w:rsid w:val="003D430F"/>
    <w:rsid w:val="003E0426"/>
    <w:rsid w:val="003E0C4A"/>
    <w:rsid w:val="003E25B4"/>
    <w:rsid w:val="003E73EE"/>
    <w:rsid w:val="003F1809"/>
    <w:rsid w:val="003F6065"/>
    <w:rsid w:val="003F711C"/>
    <w:rsid w:val="00402B2C"/>
    <w:rsid w:val="004210B3"/>
    <w:rsid w:val="004242F8"/>
    <w:rsid w:val="004250EE"/>
    <w:rsid w:val="00425117"/>
    <w:rsid w:val="004408D4"/>
    <w:rsid w:val="00452498"/>
    <w:rsid w:val="004554C0"/>
    <w:rsid w:val="00455ECF"/>
    <w:rsid w:val="00456A68"/>
    <w:rsid w:val="00460C51"/>
    <w:rsid w:val="00464F29"/>
    <w:rsid w:val="0046791C"/>
    <w:rsid w:val="004715C5"/>
    <w:rsid w:val="004731E5"/>
    <w:rsid w:val="00473F5D"/>
    <w:rsid w:val="004748C6"/>
    <w:rsid w:val="00475AB8"/>
    <w:rsid w:val="0047765A"/>
    <w:rsid w:val="00477EBE"/>
    <w:rsid w:val="00480248"/>
    <w:rsid w:val="004858B7"/>
    <w:rsid w:val="00494DF9"/>
    <w:rsid w:val="004A2795"/>
    <w:rsid w:val="004A3B31"/>
    <w:rsid w:val="004A3D43"/>
    <w:rsid w:val="004A6A0F"/>
    <w:rsid w:val="004C202E"/>
    <w:rsid w:val="004C40EE"/>
    <w:rsid w:val="004D59F0"/>
    <w:rsid w:val="004E1FA0"/>
    <w:rsid w:val="004E49C5"/>
    <w:rsid w:val="004E6618"/>
    <w:rsid w:val="004F0DF6"/>
    <w:rsid w:val="004F2EB9"/>
    <w:rsid w:val="004F5774"/>
    <w:rsid w:val="0050670A"/>
    <w:rsid w:val="0051310F"/>
    <w:rsid w:val="00514A82"/>
    <w:rsid w:val="005234DF"/>
    <w:rsid w:val="005533BA"/>
    <w:rsid w:val="005557C5"/>
    <w:rsid w:val="00563462"/>
    <w:rsid w:val="00577775"/>
    <w:rsid w:val="00594628"/>
    <w:rsid w:val="005A0627"/>
    <w:rsid w:val="005A19D6"/>
    <w:rsid w:val="005B4D9E"/>
    <w:rsid w:val="005C7778"/>
    <w:rsid w:val="005E5C94"/>
    <w:rsid w:val="005F3843"/>
    <w:rsid w:val="005F7382"/>
    <w:rsid w:val="00617540"/>
    <w:rsid w:val="00625C9B"/>
    <w:rsid w:val="00632932"/>
    <w:rsid w:val="006412F8"/>
    <w:rsid w:val="00652ACF"/>
    <w:rsid w:val="00652DD2"/>
    <w:rsid w:val="006556F0"/>
    <w:rsid w:val="00665C7E"/>
    <w:rsid w:val="00670514"/>
    <w:rsid w:val="00670B9F"/>
    <w:rsid w:val="0068567A"/>
    <w:rsid w:val="00685A7F"/>
    <w:rsid w:val="006A3317"/>
    <w:rsid w:val="006B1677"/>
    <w:rsid w:val="006B2F04"/>
    <w:rsid w:val="006C78BE"/>
    <w:rsid w:val="006D4C26"/>
    <w:rsid w:val="006E6F04"/>
    <w:rsid w:val="0070122C"/>
    <w:rsid w:val="0070308E"/>
    <w:rsid w:val="00722C39"/>
    <w:rsid w:val="00724EAF"/>
    <w:rsid w:val="00737F37"/>
    <w:rsid w:val="00740C0E"/>
    <w:rsid w:val="00743840"/>
    <w:rsid w:val="007443B1"/>
    <w:rsid w:val="00746D16"/>
    <w:rsid w:val="00754244"/>
    <w:rsid w:val="00756A6D"/>
    <w:rsid w:val="00766238"/>
    <w:rsid w:val="007818C2"/>
    <w:rsid w:val="00787597"/>
    <w:rsid w:val="00793840"/>
    <w:rsid w:val="0079625C"/>
    <w:rsid w:val="0079785A"/>
    <w:rsid w:val="00797E07"/>
    <w:rsid w:val="007A7828"/>
    <w:rsid w:val="007B4AD0"/>
    <w:rsid w:val="007C3EFF"/>
    <w:rsid w:val="007C7A52"/>
    <w:rsid w:val="007D3B72"/>
    <w:rsid w:val="007D47AB"/>
    <w:rsid w:val="007D7A50"/>
    <w:rsid w:val="007E347B"/>
    <w:rsid w:val="007E4236"/>
    <w:rsid w:val="007E4C5C"/>
    <w:rsid w:val="007E4FDF"/>
    <w:rsid w:val="007E7424"/>
    <w:rsid w:val="007E7E5F"/>
    <w:rsid w:val="007F4155"/>
    <w:rsid w:val="007F7E61"/>
    <w:rsid w:val="00812651"/>
    <w:rsid w:val="0082696E"/>
    <w:rsid w:val="00833813"/>
    <w:rsid w:val="00833EB8"/>
    <w:rsid w:val="00835E1B"/>
    <w:rsid w:val="00841E79"/>
    <w:rsid w:val="00841ECF"/>
    <w:rsid w:val="00843264"/>
    <w:rsid w:val="008456E4"/>
    <w:rsid w:val="0085361B"/>
    <w:rsid w:val="00854677"/>
    <w:rsid w:val="0085672F"/>
    <w:rsid w:val="008579A4"/>
    <w:rsid w:val="0086092F"/>
    <w:rsid w:val="00864E6C"/>
    <w:rsid w:val="0088239F"/>
    <w:rsid w:val="00892026"/>
    <w:rsid w:val="008A292E"/>
    <w:rsid w:val="008B15B4"/>
    <w:rsid w:val="008B2910"/>
    <w:rsid w:val="008C59DD"/>
    <w:rsid w:val="008D0676"/>
    <w:rsid w:val="008D0CEB"/>
    <w:rsid w:val="008E0F4F"/>
    <w:rsid w:val="008E550C"/>
    <w:rsid w:val="009135B0"/>
    <w:rsid w:val="009219CE"/>
    <w:rsid w:val="0092270D"/>
    <w:rsid w:val="00922D13"/>
    <w:rsid w:val="00932EC5"/>
    <w:rsid w:val="009418DE"/>
    <w:rsid w:val="00950462"/>
    <w:rsid w:val="0095097C"/>
    <w:rsid w:val="00957E65"/>
    <w:rsid w:val="00960BD1"/>
    <w:rsid w:val="009635A6"/>
    <w:rsid w:val="00965A15"/>
    <w:rsid w:val="0097742A"/>
    <w:rsid w:val="00986482"/>
    <w:rsid w:val="0099599B"/>
    <w:rsid w:val="009A01C9"/>
    <w:rsid w:val="009A357C"/>
    <w:rsid w:val="009A39DD"/>
    <w:rsid w:val="009A5C39"/>
    <w:rsid w:val="009A6174"/>
    <w:rsid w:val="009B2D49"/>
    <w:rsid w:val="009B34B6"/>
    <w:rsid w:val="009C746E"/>
    <w:rsid w:val="009C7AE9"/>
    <w:rsid w:val="009E0BFE"/>
    <w:rsid w:val="009E3A9C"/>
    <w:rsid w:val="009E5785"/>
    <w:rsid w:val="009E5B9B"/>
    <w:rsid w:val="009E5C74"/>
    <w:rsid w:val="009F1743"/>
    <w:rsid w:val="00A14D4F"/>
    <w:rsid w:val="00A20379"/>
    <w:rsid w:val="00A30C39"/>
    <w:rsid w:val="00A3520F"/>
    <w:rsid w:val="00A36099"/>
    <w:rsid w:val="00A37E7C"/>
    <w:rsid w:val="00A533C4"/>
    <w:rsid w:val="00A563F5"/>
    <w:rsid w:val="00A665D1"/>
    <w:rsid w:val="00A853E6"/>
    <w:rsid w:val="00A86D33"/>
    <w:rsid w:val="00AA1895"/>
    <w:rsid w:val="00AA415E"/>
    <w:rsid w:val="00AC61BA"/>
    <w:rsid w:val="00AD308A"/>
    <w:rsid w:val="00AD5A2B"/>
    <w:rsid w:val="00AD6BD9"/>
    <w:rsid w:val="00AD7565"/>
    <w:rsid w:val="00AE73D2"/>
    <w:rsid w:val="00AE780A"/>
    <w:rsid w:val="00AF6366"/>
    <w:rsid w:val="00AF7CA8"/>
    <w:rsid w:val="00B046F9"/>
    <w:rsid w:val="00B15B38"/>
    <w:rsid w:val="00B26333"/>
    <w:rsid w:val="00B32082"/>
    <w:rsid w:val="00B330D7"/>
    <w:rsid w:val="00B33419"/>
    <w:rsid w:val="00B346CD"/>
    <w:rsid w:val="00B43B7D"/>
    <w:rsid w:val="00B6099E"/>
    <w:rsid w:val="00B648BE"/>
    <w:rsid w:val="00B71018"/>
    <w:rsid w:val="00B73F14"/>
    <w:rsid w:val="00B74018"/>
    <w:rsid w:val="00B804A0"/>
    <w:rsid w:val="00B812AB"/>
    <w:rsid w:val="00B8762E"/>
    <w:rsid w:val="00B92511"/>
    <w:rsid w:val="00B971B7"/>
    <w:rsid w:val="00BA27C4"/>
    <w:rsid w:val="00BA2AE9"/>
    <w:rsid w:val="00BA37F8"/>
    <w:rsid w:val="00BC33EA"/>
    <w:rsid w:val="00BC5FEF"/>
    <w:rsid w:val="00BC60BC"/>
    <w:rsid w:val="00BD550A"/>
    <w:rsid w:val="00BD5C4D"/>
    <w:rsid w:val="00BE0416"/>
    <w:rsid w:val="00BE6CAB"/>
    <w:rsid w:val="00BF2D38"/>
    <w:rsid w:val="00BF5551"/>
    <w:rsid w:val="00C02AC9"/>
    <w:rsid w:val="00C10154"/>
    <w:rsid w:val="00C23848"/>
    <w:rsid w:val="00C32A40"/>
    <w:rsid w:val="00C33977"/>
    <w:rsid w:val="00C46A1D"/>
    <w:rsid w:val="00C5712E"/>
    <w:rsid w:val="00C7374E"/>
    <w:rsid w:val="00C832FB"/>
    <w:rsid w:val="00C83F01"/>
    <w:rsid w:val="00C86672"/>
    <w:rsid w:val="00C878A1"/>
    <w:rsid w:val="00C96F8E"/>
    <w:rsid w:val="00CA4281"/>
    <w:rsid w:val="00CA5D69"/>
    <w:rsid w:val="00CB6D62"/>
    <w:rsid w:val="00CC5C8D"/>
    <w:rsid w:val="00CC7933"/>
    <w:rsid w:val="00CD3A36"/>
    <w:rsid w:val="00CD4881"/>
    <w:rsid w:val="00CE6004"/>
    <w:rsid w:val="00CF2201"/>
    <w:rsid w:val="00CF3BF7"/>
    <w:rsid w:val="00CF5B3A"/>
    <w:rsid w:val="00D026D1"/>
    <w:rsid w:val="00D10100"/>
    <w:rsid w:val="00D17469"/>
    <w:rsid w:val="00D239C1"/>
    <w:rsid w:val="00D4213C"/>
    <w:rsid w:val="00D4298E"/>
    <w:rsid w:val="00D50139"/>
    <w:rsid w:val="00D566D5"/>
    <w:rsid w:val="00D57CAF"/>
    <w:rsid w:val="00D6551E"/>
    <w:rsid w:val="00D67563"/>
    <w:rsid w:val="00D701D7"/>
    <w:rsid w:val="00D70359"/>
    <w:rsid w:val="00D74ADF"/>
    <w:rsid w:val="00D90271"/>
    <w:rsid w:val="00D90371"/>
    <w:rsid w:val="00DA0F72"/>
    <w:rsid w:val="00DB1472"/>
    <w:rsid w:val="00DC1022"/>
    <w:rsid w:val="00DC7B36"/>
    <w:rsid w:val="00DE45D7"/>
    <w:rsid w:val="00DF4935"/>
    <w:rsid w:val="00E1173E"/>
    <w:rsid w:val="00E120DD"/>
    <w:rsid w:val="00E17263"/>
    <w:rsid w:val="00E217A1"/>
    <w:rsid w:val="00E349AC"/>
    <w:rsid w:val="00E36BF3"/>
    <w:rsid w:val="00E378DE"/>
    <w:rsid w:val="00E771E2"/>
    <w:rsid w:val="00E87B35"/>
    <w:rsid w:val="00EA4825"/>
    <w:rsid w:val="00EB0E7B"/>
    <w:rsid w:val="00EB54BE"/>
    <w:rsid w:val="00EB76F0"/>
    <w:rsid w:val="00EC1AB9"/>
    <w:rsid w:val="00EC7409"/>
    <w:rsid w:val="00ED0C9F"/>
    <w:rsid w:val="00ED5E60"/>
    <w:rsid w:val="00ED7BBC"/>
    <w:rsid w:val="00EE5A3C"/>
    <w:rsid w:val="00EF2F99"/>
    <w:rsid w:val="00EF4DBA"/>
    <w:rsid w:val="00EF5FDE"/>
    <w:rsid w:val="00F02304"/>
    <w:rsid w:val="00F0757C"/>
    <w:rsid w:val="00F14B2A"/>
    <w:rsid w:val="00F20B03"/>
    <w:rsid w:val="00F23DFF"/>
    <w:rsid w:val="00F33357"/>
    <w:rsid w:val="00F35780"/>
    <w:rsid w:val="00F37C17"/>
    <w:rsid w:val="00F4426E"/>
    <w:rsid w:val="00F54E71"/>
    <w:rsid w:val="00F56751"/>
    <w:rsid w:val="00F56CBA"/>
    <w:rsid w:val="00F62A17"/>
    <w:rsid w:val="00F71E76"/>
    <w:rsid w:val="00F75456"/>
    <w:rsid w:val="00F833D1"/>
    <w:rsid w:val="00F86A3C"/>
    <w:rsid w:val="00FA4969"/>
    <w:rsid w:val="00FA7619"/>
    <w:rsid w:val="00FB357F"/>
    <w:rsid w:val="00FB40DD"/>
    <w:rsid w:val="00FB4674"/>
    <w:rsid w:val="00FE060A"/>
    <w:rsid w:val="00FF6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685A7F"/>
    <w:pPr>
      <w:autoSpaceDE w:val="0"/>
      <w:autoSpaceDN w:val="0"/>
      <w:adjustRightInd w:val="0"/>
    </w:pPr>
    <w:rPr>
      <w:rFonts w:ascii="MetaNormalLF-Roman" w:hAnsi="MetaNormalLF-Roman" w:cs="MetaNormalLF-Roman"/>
      <w:color w:val="000000"/>
      <w:sz w:val="24"/>
      <w:szCs w:val="24"/>
    </w:rPr>
  </w:style>
  <w:style w:type="paragraph" w:styleId="Listenabsatz">
    <w:name w:val="List Paragraph"/>
    <w:basedOn w:val="Standard"/>
    <w:uiPriority w:val="34"/>
    <w:qFormat/>
    <w:rsid w:val="00CD3A36"/>
    <w:pPr>
      <w:ind w:left="720"/>
      <w:contextualSpacing/>
    </w:pPr>
  </w:style>
  <w:style w:type="character" w:styleId="BesuchterHyperlink">
    <w:name w:val="FollowedHyperlink"/>
    <w:basedOn w:val="Absatz-Standardschriftart"/>
    <w:uiPriority w:val="99"/>
    <w:semiHidden/>
    <w:unhideWhenUsed/>
    <w:rsid w:val="00EC1A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uiPriority w:val="9"/>
    <w:qFormat/>
    <w:pPr>
      <w:spacing w:before="100" w:beforeAutospacing="1" w:after="100" w:afterAutospacing="1"/>
      <w:outlineLvl w:val="0"/>
    </w:pPr>
    <w:rPr>
      <w:b/>
      <w:bCs/>
      <w:kern w:val="36"/>
      <w:sz w:val="48"/>
      <w:szCs w:val="48"/>
    </w:rPr>
  </w:style>
  <w:style w:type="paragraph" w:styleId="berschrift2">
    <w:name w:val="heading 2"/>
    <w:basedOn w:val="Standard"/>
    <w:next w:val="Standard"/>
    <w:link w:val="berschrift2Zchn"/>
    <w:uiPriority w:val="9"/>
    <w:semiHidden/>
    <w:unhideWhenUsed/>
    <w:qFormat/>
    <w:rsid w:val="00CA5D6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pPr>
      <w:spacing w:before="100" w:beforeAutospacing="1" w:after="100" w:afterAutospacing="1"/>
    </w:pPr>
  </w:style>
  <w:style w:type="character" w:styleId="HTMLAkronym">
    <w:name w:val="HTML Acronym"/>
    <w:basedOn w:val="Absatz-Standardschriftart"/>
  </w:style>
  <w:style w:type="character" w:styleId="Hyperlink">
    <w:name w:val="Hyperlink"/>
    <w:unhideWhenUsed/>
    <w:rPr>
      <w:color w:val="0000FF"/>
      <w:u w:val="single"/>
    </w:rPr>
  </w:style>
  <w:style w:type="character" w:customStyle="1" w:styleId="berschrift1Zchn">
    <w:name w:val="Überschrift 1 Zchn"/>
    <w:uiPriority w:val="9"/>
    <w:rPr>
      <w:b/>
      <w:bCs/>
      <w:kern w:val="36"/>
      <w:sz w:val="48"/>
      <w:szCs w:val="48"/>
    </w:rPr>
  </w:style>
  <w:style w:type="character" w:customStyle="1" w:styleId="topline">
    <w:name w:val="topline"/>
  </w:style>
  <w:style w:type="paragraph" w:styleId="Sprechblasentext">
    <w:name w:val="Balloon Text"/>
    <w:basedOn w:val="Standard"/>
    <w:link w:val="SprechblasentextZchn"/>
    <w:uiPriority w:val="99"/>
    <w:semiHidden/>
    <w:unhideWhenUsed/>
    <w:rsid w:val="003D3ABC"/>
    <w:rPr>
      <w:rFonts w:ascii="Tahoma" w:hAnsi="Tahoma" w:cs="Tahoma"/>
      <w:sz w:val="16"/>
      <w:szCs w:val="16"/>
    </w:rPr>
  </w:style>
  <w:style w:type="character" w:customStyle="1" w:styleId="SprechblasentextZchn">
    <w:name w:val="Sprechblasentext Zchn"/>
    <w:link w:val="Sprechblasentext"/>
    <w:uiPriority w:val="99"/>
    <w:semiHidden/>
    <w:rsid w:val="003D3ABC"/>
    <w:rPr>
      <w:rFonts w:ascii="Tahoma" w:hAnsi="Tahoma" w:cs="Tahoma"/>
      <w:sz w:val="16"/>
      <w:szCs w:val="16"/>
    </w:rPr>
  </w:style>
  <w:style w:type="character" w:customStyle="1" w:styleId="berschrift2Zchn">
    <w:name w:val="Überschrift 2 Zchn"/>
    <w:basedOn w:val="Absatz-Standardschriftart"/>
    <w:link w:val="berschrift2"/>
    <w:uiPriority w:val="9"/>
    <w:semiHidden/>
    <w:rsid w:val="00CA5D69"/>
    <w:rPr>
      <w:rFonts w:asciiTheme="majorHAnsi" w:eastAsiaTheme="majorEastAsia" w:hAnsiTheme="majorHAnsi" w:cstheme="majorBidi"/>
      <w:b/>
      <w:bCs/>
      <w:color w:val="4F81BD" w:themeColor="accent1"/>
      <w:sz w:val="26"/>
      <w:szCs w:val="26"/>
    </w:rPr>
  </w:style>
  <w:style w:type="character" w:styleId="Fett">
    <w:name w:val="Strong"/>
    <w:basedOn w:val="Absatz-Standardschriftart"/>
    <w:uiPriority w:val="22"/>
    <w:qFormat/>
    <w:rsid w:val="00843264"/>
    <w:rPr>
      <w:b/>
      <w:bCs/>
    </w:rPr>
  </w:style>
  <w:style w:type="paragraph" w:customStyle="1" w:styleId="Default">
    <w:name w:val="Default"/>
    <w:rsid w:val="00685A7F"/>
    <w:pPr>
      <w:autoSpaceDE w:val="0"/>
      <w:autoSpaceDN w:val="0"/>
      <w:adjustRightInd w:val="0"/>
    </w:pPr>
    <w:rPr>
      <w:rFonts w:ascii="MetaNormalLF-Roman" w:hAnsi="MetaNormalLF-Roman" w:cs="MetaNormalLF-Roman"/>
      <w:color w:val="000000"/>
      <w:sz w:val="24"/>
      <w:szCs w:val="24"/>
    </w:rPr>
  </w:style>
  <w:style w:type="paragraph" w:styleId="Listenabsatz">
    <w:name w:val="List Paragraph"/>
    <w:basedOn w:val="Standard"/>
    <w:uiPriority w:val="34"/>
    <w:qFormat/>
    <w:rsid w:val="00CD3A36"/>
    <w:pPr>
      <w:ind w:left="720"/>
      <w:contextualSpacing/>
    </w:pPr>
  </w:style>
  <w:style w:type="character" w:styleId="BesuchterHyperlink">
    <w:name w:val="FollowedHyperlink"/>
    <w:basedOn w:val="Absatz-Standardschriftart"/>
    <w:uiPriority w:val="99"/>
    <w:semiHidden/>
    <w:unhideWhenUsed/>
    <w:rsid w:val="00EC1A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51975">
      <w:bodyDiv w:val="1"/>
      <w:marLeft w:val="0"/>
      <w:marRight w:val="0"/>
      <w:marTop w:val="0"/>
      <w:marBottom w:val="0"/>
      <w:divBdr>
        <w:top w:val="none" w:sz="0" w:space="0" w:color="auto"/>
        <w:left w:val="none" w:sz="0" w:space="0" w:color="auto"/>
        <w:bottom w:val="none" w:sz="0" w:space="0" w:color="auto"/>
        <w:right w:val="none" w:sz="0" w:space="0" w:color="auto"/>
      </w:divBdr>
    </w:div>
    <w:div w:id="229579560">
      <w:bodyDiv w:val="1"/>
      <w:marLeft w:val="0"/>
      <w:marRight w:val="0"/>
      <w:marTop w:val="0"/>
      <w:marBottom w:val="0"/>
      <w:divBdr>
        <w:top w:val="none" w:sz="0" w:space="0" w:color="auto"/>
        <w:left w:val="none" w:sz="0" w:space="0" w:color="auto"/>
        <w:bottom w:val="none" w:sz="0" w:space="0" w:color="auto"/>
        <w:right w:val="none" w:sz="0" w:space="0" w:color="auto"/>
      </w:divBdr>
    </w:div>
    <w:div w:id="468280199">
      <w:bodyDiv w:val="1"/>
      <w:marLeft w:val="0"/>
      <w:marRight w:val="0"/>
      <w:marTop w:val="0"/>
      <w:marBottom w:val="0"/>
      <w:divBdr>
        <w:top w:val="none" w:sz="0" w:space="0" w:color="auto"/>
        <w:left w:val="none" w:sz="0" w:space="0" w:color="auto"/>
        <w:bottom w:val="none" w:sz="0" w:space="0" w:color="auto"/>
        <w:right w:val="none" w:sz="0" w:space="0" w:color="auto"/>
      </w:divBdr>
    </w:div>
    <w:div w:id="544029709">
      <w:bodyDiv w:val="1"/>
      <w:marLeft w:val="0"/>
      <w:marRight w:val="0"/>
      <w:marTop w:val="0"/>
      <w:marBottom w:val="0"/>
      <w:divBdr>
        <w:top w:val="none" w:sz="0" w:space="0" w:color="auto"/>
        <w:left w:val="none" w:sz="0" w:space="0" w:color="auto"/>
        <w:bottom w:val="none" w:sz="0" w:space="0" w:color="auto"/>
        <w:right w:val="none" w:sz="0" w:space="0" w:color="auto"/>
      </w:divBdr>
    </w:div>
    <w:div w:id="674114871">
      <w:bodyDiv w:val="1"/>
      <w:marLeft w:val="0"/>
      <w:marRight w:val="0"/>
      <w:marTop w:val="0"/>
      <w:marBottom w:val="0"/>
      <w:divBdr>
        <w:top w:val="none" w:sz="0" w:space="0" w:color="auto"/>
        <w:left w:val="none" w:sz="0" w:space="0" w:color="auto"/>
        <w:bottom w:val="none" w:sz="0" w:space="0" w:color="auto"/>
        <w:right w:val="none" w:sz="0" w:space="0" w:color="auto"/>
      </w:divBdr>
      <w:divsChild>
        <w:div w:id="1887065091">
          <w:marLeft w:val="0"/>
          <w:marRight w:val="0"/>
          <w:marTop w:val="0"/>
          <w:marBottom w:val="0"/>
          <w:divBdr>
            <w:top w:val="none" w:sz="0" w:space="0" w:color="auto"/>
            <w:left w:val="none" w:sz="0" w:space="0" w:color="auto"/>
            <w:bottom w:val="none" w:sz="0" w:space="0" w:color="auto"/>
            <w:right w:val="none" w:sz="0" w:space="0" w:color="auto"/>
          </w:divBdr>
        </w:div>
      </w:divsChild>
    </w:div>
    <w:div w:id="687218426">
      <w:bodyDiv w:val="1"/>
      <w:marLeft w:val="0"/>
      <w:marRight w:val="0"/>
      <w:marTop w:val="0"/>
      <w:marBottom w:val="0"/>
      <w:divBdr>
        <w:top w:val="none" w:sz="0" w:space="0" w:color="auto"/>
        <w:left w:val="none" w:sz="0" w:space="0" w:color="auto"/>
        <w:bottom w:val="none" w:sz="0" w:space="0" w:color="auto"/>
        <w:right w:val="none" w:sz="0" w:space="0" w:color="auto"/>
      </w:divBdr>
    </w:div>
    <w:div w:id="1108892343">
      <w:bodyDiv w:val="1"/>
      <w:marLeft w:val="0"/>
      <w:marRight w:val="0"/>
      <w:marTop w:val="0"/>
      <w:marBottom w:val="0"/>
      <w:divBdr>
        <w:top w:val="none" w:sz="0" w:space="0" w:color="auto"/>
        <w:left w:val="none" w:sz="0" w:space="0" w:color="auto"/>
        <w:bottom w:val="none" w:sz="0" w:space="0" w:color="auto"/>
        <w:right w:val="none" w:sz="0" w:space="0" w:color="auto"/>
      </w:divBdr>
    </w:div>
    <w:div w:id="1717001411">
      <w:bodyDiv w:val="1"/>
      <w:marLeft w:val="0"/>
      <w:marRight w:val="0"/>
      <w:marTop w:val="0"/>
      <w:marBottom w:val="0"/>
      <w:divBdr>
        <w:top w:val="none" w:sz="0" w:space="0" w:color="auto"/>
        <w:left w:val="none" w:sz="0" w:space="0" w:color="auto"/>
        <w:bottom w:val="none" w:sz="0" w:space="0" w:color="auto"/>
        <w:right w:val="none" w:sz="0" w:space="0" w:color="auto"/>
      </w:divBdr>
    </w:div>
    <w:div w:id="1788086748">
      <w:bodyDiv w:val="1"/>
      <w:marLeft w:val="0"/>
      <w:marRight w:val="0"/>
      <w:marTop w:val="0"/>
      <w:marBottom w:val="0"/>
      <w:divBdr>
        <w:top w:val="none" w:sz="0" w:space="0" w:color="auto"/>
        <w:left w:val="none" w:sz="0" w:space="0" w:color="auto"/>
        <w:bottom w:val="none" w:sz="0" w:space="0" w:color="auto"/>
        <w:right w:val="none" w:sz="0" w:space="0" w:color="auto"/>
      </w:divBdr>
    </w:div>
    <w:div w:id="1847867972">
      <w:bodyDiv w:val="1"/>
      <w:marLeft w:val="0"/>
      <w:marRight w:val="0"/>
      <w:marTop w:val="0"/>
      <w:marBottom w:val="0"/>
      <w:divBdr>
        <w:top w:val="none" w:sz="0" w:space="0" w:color="auto"/>
        <w:left w:val="none" w:sz="0" w:space="0" w:color="auto"/>
        <w:bottom w:val="none" w:sz="0" w:space="0" w:color="auto"/>
        <w:right w:val="none" w:sz="0" w:space="0" w:color="auto"/>
      </w:divBdr>
    </w:div>
    <w:div w:id="1985811023">
      <w:bodyDiv w:val="1"/>
      <w:marLeft w:val="0"/>
      <w:marRight w:val="0"/>
      <w:marTop w:val="0"/>
      <w:marBottom w:val="0"/>
      <w:divBdr>
        <w:top w:val="none" w:sz="0" w:space="0" w:color="auto"/>
        <w:left w:val="none" w:sz="0" w:space="0" w:color="auto"/>
        <w:bottom w:val="none" w:sz="0" w:space="0" w:color="auto"/>
        <w:right w:val="none" w:sz="0" w:space="0" w:color="auto"/>
      </w:divBdr>
    </w:div>
    <w:div w:id="2076126020">
      <w:bodyDiv w:val="1"/>
      <w:marLeft w:val="0"/>
      <w:marRight w:val="0"/>
      <w:marTop w:val="0"/>
      <w:marBottom w:val="0"/>
      <w:divBdr>
        <w:top w:val="none" w:sz="0" w:space="0" w:color="auto"/>
        <w:left w:val="none" w:sz="0" w:space="0" w:color="auto"/>
        <w:bottom w:val="none" w:sz="0" w:space="0" w:color="auto"/>
        <w:right w:val="none" w:sz="0" w:space="0" w:color="auto"/>
      </w:divBdr>
    </w:div>
    <w:div w:id="21095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pb.de" TargetMode="External"/><Relationship Id="rId3" Type="http://schemas.openxmlformats.org/officeDocument/2006/relationships/styles" Target="styles.xml"/><Relationship Id="rId7" Type="http://schemas.openxmlformats.org/officeDocument/2006/relationships/hyperlink" Target="http://creativecommons.org/licenses/by-nc-nd/3.0/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95776-D02B-4D3C-A211-1239BD126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1062</Words>
  <Characters>6694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Zur Bevölkerung Deutschlands zählen alle Einwohner, die mit ihrer Hauptwohnung in der Bundesrepublik Deutschland gemeldet sind</vt:lpstr>
    </vt:vector>
  </TitlesOfParts>
  <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Zur Bevölkerung Deutschlands zählen alle Einwohner, die mit ihrer Hauptwohnung in der Bundesrepublik Deutschland gemeldet sind</dc:title>
  <dc:creator>Fossi</dc:creator>
  <cp:lastModifiedBy>Christian Hartmann</cp:lastModifiedBy>
  <cp:revision>5</cp:revision>
  <dcterms:created xsi:type="dcterms:W3CDTF">2022-06-01T10:23:00Z</dcterms:created>
  <dcterms:modified xsi:type="dcterms:W3CDTF">2022-06-05T16:11:00Z</dcterms:modified>
</cp:coreProperties>
</file>