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411B4" w14:textId="77777777" w:rsidR="00EF5FDE" w:rsidRPr="00EF5FDE" w:rsidRDefault="00EF5FDE" w:rsidP="007443B1">
      <w:pPr>
        <w:rPr>
          <w:rFonts w:ascii="Arial" w:hAnsi="Arial" w:cs="Arial"/>
          <w:b/>
          <w:bCs/>
          <w:shd w:val="clear" w:color="auto" w:fill="FFFFFF"/>
        </w:rPr>
      </w:pPr>
      <w:bookmarkStart w:id="0" w:name="_GoBack"/>
      <w:bookmarkEnd w:id="0"/>
      <w:r w:rsidRPr="00EF5FDE">
        <w:rPr>
          <w:rFonts w:ascii="Arial" w:hAnsi="Arial" w:cs="Arial"/>
          <w:b/>
          <w:bCs/>
          <w:shd w:val="clear" w:color="auto" w:fill="FFFFFF"/>
        </w:rPr>
        <w:t xml:space="preserve">Bildung ist ein zentraler Faktor </w:t>
      </w:r>
      <w:r w:rsidR="00B92511">
        <w:rPr>
          <w:rFonts w:ascii="Arial" w:hAnsi="Arial" w:cs="Arial"/>
          <w:b/>
          <w:bCs/>
          <w:shd w:val="clear" w:color="auto" w:fill="FFFFFF"/>
        </w:rPr>
        <w:t>für d</w:t>
      </w:r>
      <w:r w:rsidRPr="00EF5FDE">
        <w:rPr>
          <w:rFonts w:ascii="Arial" w:hAnsi="Arial" w:cs="Arial"/>
          <w:b/>
          <w:bCs/>
          <w:shd w:val="clear" w:color="auto" w:fill="FFFFFF"/>
        </w:rPr>
        <w:t>ie individuelle</w:t>
      </w:r>
      <w:r w:rsidR="00B92511">
        <w:rPr>
          <w:rFonts w:ascii="Arial" w:hAnsi="Arial" w:cs="Arial"/>
          <w:b/>
          <w:bCs/>
          <w:shd w:val="clear" w:color="auto" w:fill="FFFFFF"/>
        </w:rPr>
        <w:t xml:space="preserve"> </w:t>
      </w:r>
      <w:r w:rsidRPr="00EF5FDE">
        <w:rPr>
          <w:rFonts w:ascii="Arial" w:hAnsi="Arial" w:cs="Arial"/>
          <w:b/>
          <w:bCs/>
          <w:shd w:val="clear" w:color="auto" w:fill="FFFFFF"/>
        </w:rPr>
        <w:t xml:space="preserve">und gesellschaftliche Entwicklung. Zwischen 2005 und 2019 erhöhte sich das Bildungsbudget </w:t>
      </w:r>
      <w:r w:rsidR="00B92511">
        <w:rPr>
          <w:rFonts w:ascii="Arial" w:hAnsi="Arial" w:cs="Arial"/>
          <w:b/>
          <w:bCs/>
          <w:shd w:val="clear" w:color="auto" w:fill="FFFFFF"/>
        </w:rPr>
        <w:t xml:space="preserve">in Deutschland </w:t>
      </w:r>
      <w:r w:rsidRPr="00EF5FDE">
        <w:rPr>
          <w:rFonts w:ascii="Arial" w:hAnsi="Arial" w:cs="Arial"/>
          <w:b/>
          <w:bCs/>
          <w:shd w:val="clear" w:color="auto" w:fill="FFFFFF"/>
        </w:rPr>
        <w:t xml:space="preserve">um 86 Milliarden Euro beziehungsweise um 60,0 Prozent auf </w:t>
      </w:r>
      <w:r w:rsidR="003D430F">
        <w:rPr>
          <w:rFonts w:ascii="Arial" w:hAnsi="Arial" w:cs="Arial"/>
          <w:b/>
          <w:bCs/>
          <w:shd w:val="clear" w:color="auto" w:fill="FFFFFF"/>
        </w:rPr>
        <w:t xml:space="preserve">insgesamt </w:t>
      </w:r>
      <w:r w:rsidRPr="00EF5FDE">
        <w:rPr>
          <w:rFonts w:ascii="Arial" w:hAnsi="Arial" w:cs="Arial"/>
          <w:b/>
          <w:bCs/>
          <w:shd w:val="clear" w:color="auto" w:fill="FFFFFF"/>
        </w:rPr>
        <w:t xml:space="preserve">229 Milliarden Euro. Trotz </w:t>
      </w:r>
      <w:r w:rsidR="003D430F">
        <w:rPr>
          <w:rFonts w:ascii="Arial" w:hAnsi="Arial" w:cs="Arial"/>
          <w:b/>
          <w:bCs/>
          <w:shd w:val="clear" w:color="auto" w:fill="FFFFFF"/>
        </w:rPr>
        <w:t xml:space="preserve">dieser </w:t>
      </w:r>
      <w:r w:rsidRPr="00EF5FDE">
        <w:rPr>
          <w:rFonts w:ascii="Arial" w:hAnsi="Arial" w:cs="Arial"/>
          <w:b/>
          <w:bCs/>
          <w:shd w:val="clear" w:color="auto" w:fill="FFFFFF"/>
        </w:rPr>
        <w:t xml:space="preserve">Ausgabensteigerung hat sich das Bildungsbudget </w:t>
      </w:r>
      <w:r w:rsidR="003D430F">
        <w:rPr>
          <w:rFonts w:ascii="Arial" w:hAnsi="Arial" w:cs="Arial"/>
          <w:b/>
          <w:bCs/>
          <w:shd w:val="clear" w:color="auto" w:fill="FFFFFF"/>
        </w:rPr>
        <w:t xml:space="preserve">bezogen auf die </w:t>
      </w:r>
      <w:r w:rsidRPr="00EF5FDE">
        <w:rPr>
          <w:rFonts w:ascii="Arial" w:hAnsi="Arial" w:cs="Arial"/>
          <w:b/>
          <w:bCs/>
          <w:shd w:val="clear" w:color="auto" w:fill="FFFFFF"/>
        </w:rPr>
        <w:t>wirtschaftliche</w:t>
      </w:r>
      <w:r w:rsidR="003D430F">
        <w:rPr>
          <w:rFonts w:ascii="Arial" w:hAnsi="Arial" w:cs="Arial"/>
          <w:b/>
          <w:bCs/>
          <w:shd w:val="clear" w:color="auto" w:fill="FFFFFF"/>
        </w:rPr>
        <w:t xml:space="preserve"> </w:t>
      </w:r>
      <w:r w:rsidRPr="00EF5FDE">
        <w:rPr>
          <w:rFonts w:ascii="Arial" w:hAnsi="Arial" w:cs="Arial"/>
          <w:b/>
          <w:bCs/>
          <w:shd w:val="clear" w:color="auto" w:fill="FFFFFF"/>
        </w:rPr>
        <w:t>Entwicklung kaum verändert: Seit mehr als zwei Jahrzehnten entsprechen die Bildungsausgaben sechs bis sieben Prozent des Bruttoinlandsprodukts (BIP).</w:t>
      </w:r>
    </w:p>
    <w:p w14:paraId="5E67F477" w14:textId="77777777" w:rsidR="00EF5FDE" w:rsidRDefault="00EF5FDE" w:rsidP="007443B1">
      <w:pPr>
        <w:rPr>
          <w:rFonts w:ascii="Arial" w:hAnsi="Arial" w:cs="Arial"/>
          <w:b/>
          <w:bCs/>
          <w:i/>
          <w:shd w:val="clear" w:color="auto" w:fill="FFFFFF"/>
        </w:rPr>
      </w:pPr>
    </w:p>
    <w:p w14:paraId="551A5D69" w14:textId="77777777" w:rsidR="00CA5D69" w:rsidRDefault="00CA5D69" w:rsidP="00CA5D69">
      <w:pPr>
        <w:rPr>
          <w:rFonts w:ascii="Arial" w:hAnsi="Arial"/>
          <w:color w:val="FF0000"/>
        </w:rPr>
      </w:pPr>
      <w:r>
        <w:rPr>
          <w:rFonts w:ascii="Arial" w:hAnsi="Arial"/>
          <w:color w:val="FF0000"/>
        </w:rPr>
        <w:t>Fakten</w:t>
      </w:r>
    </w:p>
    <w:p w14:paraId="6F7E595D" w14:textId="77777777" w:rsidR="00CA5D69" w:rsidRPr="00B8762E" w:rsidRDefault="00CA5D69" w:rsidP="00CA5D69">
      <w:pPr>
        <w:rPr>
          <w:rFonts w:ascii="Arial" w:hAnsi="Arial" w:cs="Arial"/>
          <w:shd w:val="clear" w:color="auto" w:fill="FFFFFF"/>
        </w:rPr>
      </w:pPr>
    </w:p>
    <w:p w14:paraId="5D3724EB" w14:textId="77777777" w:rsidR="000E53BF" w:rsidRDefault="00F75456" w:rsidP="00CA5D69">
      <w:pPr>
        <w:rPr>
          <w:rFonts w:ascii="Arial" w:hAnsi="Arial" w:cs="Arial"/>
          <w:shd w:val="clear" w:color="auto" w:fill="FFFFFF"/>
        </w:rPr>
      </w:pPr>
      <w:r w:rsidRPr="000E53BF">
        <w:rPr>
          <w:rFonts w:ascii="Arial" w:hAnsi="Arial" w:cs="Arial"/>
          <w:shd w:val="clear" w:color="auto" w:fill="FFFFFF"/>
        </w:rPr>
        <w:t>Da die Ausgaben für Bildung die individuelle</w:t>
      </w:r>
      <w:r w:rsidR="000E53BF" w:rsidRPr="000E53BF">
        <w:rPr>
          <w:rFonts w:ascii="Arial" w:hAnsi="Arial" w:cs="Arial"/>
          <w:shd w:val="clear" w:color="auto" w:fill="FFFFFF"/>
        </w:rPr>
        <w:t xml:space="preserve"> und </w:t>
      </w:r>
      <w:r w:rsidRPr="000E53BF">
        <w:rPr>
          <w:rFonts w:ascii="Arial" w:hAnsi="Arial" w:cs="Arial"/>
          <w:shd w:val="clear" w:color="auto" w:fill="FFFFFF"/>
        </w:rPr>
        <w:t xml:space="preserve">gesellschaftliche Entwicklung </w:t>
      </w:r>
      <w:r w:rsidR="00CB6D62">
        <w:rPr>
          <w:rFonts w:ascii="Arial" w:hAnsi="Arial" w:cs="Arial"/>
          <w:shd w:val="clear" w:color="auto" w:fill="FFFFFF"/>
        </w:rPr>
        <w:t xml:space="preserve">sehr stark </w:t>
      </w:r>
      <w:r w:rsidRPr="000E53BF">
        <w:rPr>
          <w:rFonts w:ascii="Arial" w:hAnsi="Arial" w:cs="Arial"/>
          <w:shd w:val="clear" w:color="auto" w:fill="FFFFFF"/>
        </w:rPr>
        <w:t xml:space="preserve">beeinflussen, ist die Ausstattung des Bildungswesens mit Finanzmitteln, deren Verteilung auf die </w:t>
      </w:r>
      <w:r w:rsidRPr="00B8762E">
        <w:rPr>
          <w:rFonts w:ascii="Arial" w:hAnsi="Arial" w:cs="Arial"/>
          <w:shd w:val="clear" w:color="auto" w:fill="FFFFFF"/>
        </w:rPr>
        <w:t xml:space="preserve">einzelnen </w:t>
      </w:r>
      <w:r w:rsidRPr="000E53BF">
        <w:rPr>
          <w:rFonts w:ascii="Arial" w:hAnsi="Arial" w:cs="Arial"/>
          <w:shd w:val="clear" w:color="auto" w:fill="FFFFFF"/>
        </w:rPr>
        <w:t xml:space="preserve">Bildungsbereiche und deren Finanzierung durch Bund, Länder, Gemeinden und den privaten Bereich </w:t>
      </w:r>
      <w:r w:rsidR="000E53BF" w:rsidRPr="000E53BF">
        <w:rPr>
          <w:rFonts w:ascii="Arial" w:hAnsi="Arial" w:cs="Arial"/>
          <w:shd w:val="clear" w:color="auto" w:fill="FFFFFF"/>
        </w:rPr>
        <w:t xml:space="preserve">(Unternehmen, private Haushalte, private Organisationen ohne Erwerbszweck) </w:t>
      </w:r>
      <w:r w:rsidRPr="000E53BF">
        <w:rPr>
          <w:rFonts w:ascii="Arial" w:hAnsi="Arial" w:cs="Arial"/>
          <w:shd w:val="clear" w:color="auto" w:fill="FFFFFF"/>
        </w:rPr>
        <w:t>immer wieder Teil der bildungspolitischen Diskussion. Die gesamten öffentlichen und privaten Bildungsaufwendungen in Deutschland werden im</w:t>
      </w:r>
      <w:r w:rsidR="000E53BF" w:rsidRPr="000E53BF">
        <w:rPr>
          <w:rFonts w:ascii="Arial" w:hAnsi="Arial" w:cs="Arial"/>
          <w:shd w:val="clear" w:color="auto" w:fill="FFFFFF"/>
        </w:rPr>
        <w:t xml:space="preserve"> </w:t>
      </w:r>
      <w:r w:rsidRPr="000E53BF">
        <w:rPr>
          <w:rFonts w:ascii="Arial" w:hAnsi="Arial" w:cs="Arial"/>
          <w:shd w:val="clear" w:color="auto" w:fill="FFFFFF"/>
        </w:rPr>
        <w:t>sogenannten</w:t>
      </w:r>
      <w:r w:rsidR="000E53BF" w:rsidRPr="000E53BF">
        <w:rPr>
          <w:rFonts w:ascii="Arial" w:hAnsi="Arial" w:cs="Arial"/>
          <w:shd w:val="clear" w:color="auto" w:fill="FFFFFF"/>
        </w:rPr>
        <w:t xml:space="preserve"> </w:t>
      </w:r>
      <w:r w:rsidRPr="000E53BF">
        <w:rPr>
          <w:rFonts w:ascii="Arial" w:hAnsi="Arial" w:cs="Arial"/>
          <w:shd w:val="clear" w:color="auto" w:fill="FFFFFF"/>
        </w:rPr>
        <w:t>Bildungsbudget</w:t>
      </w:r>
      <w:r w:rsidR="000E53BF" w:rsidRPr="000E53BF">
        <w:rPr>
          <w:rFonts w:ascii="Arial" w:hAnsi="Arial" w:cs="Arial"/>
          <w:shd w:val="clear" w:color="auto" w:fill="FFFFFF"/>
        </w:rPr>
        <w:t xml:space="preserve"> </w:t>
      </w:r>
      <w:r w:rsidRPr="000E53BF">
        <w:rPr>
          <w:rFonts w:ascii="Arial" w:hAnsi="Arial" w:cs="Arial"/>
          <w:shd w:val="clear" w:color="auto" w:fill="FFFFFF"/>
        </w:rPr>
        <w:t>abgebildet, das jährlich vom Statist</w:t>
      </w:r>
      <w:r w:rsidR="000E53BF" w:rsidRPr="000E53BF">
        <w:rPr>
          <w:rFonts w:ascii="Arial" w:hAnsi="Arial" w:cs="Arial"/>
          <w:shd w:val="clear" w:color="auto" w:fill="FFFFFF"/>
        </w:rPr>
        <w:t>ischen Bundesamt erstellt wird.</w:t>
      </w:r>
    </w:p>
    <w:p w14:paraId="27902703" w14:textId="77777777" w:rsidR="00F56751" w:rsidRDefault="00F56751" w:rsidP="00CA5D69">
      <w:pPr>
        <w:rPr>
          <w:rFonts w:ascii="Arial" w:hAnsi="Arial" w:cs="Arial"/>
          <w:shd w:val="clear" w:color="auto" w:fill="FFFFFF"/>
        </w:rPr>
      </w:pPr>
    </w:p>
    <w:p w14:paraId="6035572F" w14:textId="73F53ECD" w:rsidR="002322B1" w:rsidRDefault="00F75456" w:rsidP="002322B1">
      <w:pPr>
        <w:rPr>
          <w:rFonts w:ascii="Arial" w:hAnsi="Arial" w:cs="Arial"/>
          <w:shd w:val="clear" w:color="auto" w:fill="FFFFFF"/>
        </w:rPr>
      </w:pPr>
      <w:r w:rsidRPr="00342742">
        <w:rPr>
          <w:rFonts w:ascii="Arial" w:hAnsi="Arial" w:cs="Arial"/>
          <w:shd w:val="clear" w:color="auto" w:fill="FFFFFF"/>
        </w:rPr>
        <w:t>Im Jahr 201</w:t>
      </w:r>
      <w:r w:rsidR="00210615" w:rsidRPr="00342742">
        <w:rPr>
          <w:rFonts w:ascii="Arial" w:hAnsi="Arial" w:cs="Arial"/>
          <w:shd w:val="clear" w:color="auto" w:fill="FFFFFF"/>
        </w:rPr>
        <w:t>9</w:t>
      </w:r>
      <w:r w:rsidRPr="00342742">
        <w:rPr>
          <w:rFonts w:ascii="Arial" w:hAnsi="Arial" w:cs="Arial"/>
          <w:shd w:val="clear" w:color="auto" w:fill="FFFFFF"/>
        </w:rPr>
        <w:t xml:space="preserve"> </w:t>
      </w:r>
      <w:r w:rsidR="00210615" w:rsidRPr="00342742">
        <w:rPr>
          <w:rFonts w:ascii="Arial" w:hAnsi="Arial" w:cs="Arial"/>
          <w:shd w:val="clear" w:color="auto" w:fill="FFFFFF"/>
        </w:rPr>
        <w:t xml:space="preserve">lag das </w:t>
      </w:r>
      <w:r w:rsidRPr="00342742">
        <w:rPr>
          <w:rFonts w:ascii="Arial" w:hAnsi="Arial" w:cs="Arial"/>
          <w:shd w:val="clear" w:color="auto" w:fill="FFFFFF"/>
        </w:rPr>
        <w:t>Bildungsbudget</w:t>
      </w:r>
      <w:r w:rsidR="00B92511" w:rsidRPr="00B92511">
        <w:rPr>
          <w:rFonts w:ascii="Arial" w:hAnsi="Arial" w:cs="Arial"/>
          <w:shd w:val="clear" w:color="auto" w:fill="FFFFFF"/>
        </w:rPr>
        <w:t xml:space="preserve"> in Deutschland</w:t>
      </w:r>
      <w:r w:rsidR="00210615" w:rsidRPr="00342742">
        <w:rPr>
          <w:rFonts w:ascii="Arial" w:hAnsi="Arial" w:cs="Arial"/>
          <w:shd w:val="clear" w:color="auto" w:fill="FFFFFF"/>
        </w:rPr>
        <w:t xml:space="preserve"> bei 229,0 </w:t>
      </w:r>
      <w:r w:rsidRPr="00342742">
        <w:rPr>
          <w:rFonts w:ascii="Arial" w:hAnsi="Arial" w:cs="Arial"/>
          <w:shd w:val="clear" w:color="auto" w:fill="FFFFFF"/>
        </w:rPr>
        <w:t xml:space="preserve">Milliarden Euro. Davon entfielen </w:t>
      </w:r>
      <w:r w:rsidR="000B3406">
        <w:rPr>
          <w:rFonts w:ascii="Arial" w:hAnsi="Arial" w:cs="Arial"/>
          <w:shd w:val="clear" w:color="auto" w:fill="FFFFFF"/>
        </w:rPr>
        <w:t>46,2</w:t>
      </w:r>
      <w:r w:rsidR="00787597">
        <w:rPr>
          <w:rFonts w:ascii="Arial" w:hAnsi="Arial" w:cs="Arial"/>
          <w:shd w:val="clear" w:color="auto" w:fill="FFFFFF"/>
        </w:rPr>
        <w:t xml:space="preserve"> Prozent</w:t>
      </w:r>
      <w:r w:rsidR="000B3406">
        <w:rPr>
          <w:rFonts w:ascii="Arial" w:hAnsi="Arial" w:cs="Arial"/>
          <w:shd w:val="clear" w:color="auto" w:fill="FFFFFF"/>
        </w:rPr>
        <w:t xml:space="preserve"> auf </w:t>
      </w:r>
      <w:r w:rsidR="000B3406" w:rsidRPr="000B3406">
        <w:rPr>
          <w:rFonts w:ascii="Arial" w:hAnsi="Arial" w:cs="Arial"/>
          <w:shd w:val="clear" w:color="auto" w:fill="FFFFFF"/>
        </w:rPr>
        <w:t xml:space="preserve">Schulen und </w:t>
      </w:r>
      <w:r w:rsidR="000B3406">
        <w:rPr>
          <w:rFonts w:ascii="Arial" w:hAnsi="Arial" w:cs="Arial"/>
          <w:shd w:val="clear" w:color="auto" w:fill="FFFFFF"/>
        </w:rPr>
        <w:t xml:space="preserve">den </w:t>
      </w:r>
      <w:r w:rsidR="000B3406" w:rsidRPr="000B3406">
        <w:rPr>
          <w:rFonts w:ascii="Arial" w:hAnsi="Arial" w:cs="Arial"/>
          <w:shd w:val="clear" w:color="auto" w:fill="FFFFFF"/>
        </w:rPr>
        <w:t>schulnahe</w:t>
      </w:r>
      <w:r w:rsidR="000B3406">
        <w:rPr>
          <w:rFonts w:ascii="Arial" w:hAnsi="Arial" w:cs="Arial"/>
          <w:shd w:val="clear" w:color="auto" w:fill="FFFFFF"/>
        </w:rPr>
        <w:t>n</w:t>
      </w:r>
      <w:r w:rsidR="000B3406" w:rsidRPr="000B3406">
        <w:rPr>
          <w:rFonts w:ascii="Arial" w:hAnsi="Arial" w:cs="Arial"/>
          <w:shd w:val="clear" w:color="auto" w:fill="FFFFFF"/>
        </w:rPr>
        <w:t xml:space="preserve"> Bereich</w:t>
      </w:r>
      <w:r w:rsidR="000B3406">
        <w:rPr>
          <w:rFonts w:ascii="Arial" w:hAnsi="Arial" w:cs="Arial"/>
          <w:shd w:val="clear" w:color="auto" w:fill="FFFFFF"/>
        </w:rPr>
        <w:t xml:space="preserve"> (darunter </w:t>
      </w:r>
      <w:r w:rsidRPr="00342742">
        <w:rPr>
          <w:rFonts w:ascii="Arial" w:hAnsi="Arial" w:cs="Arial"/>
          <w:shd w:val="clear" w:color="auto" w:fill="FFFFFF"/>
        </w:rPr>
        <w:t>34,</w:t>
      </w:r>
      <w:r w:rsidR="003400A2" w:rsidRPr="00342742">
        <w:rPr>
          <w:rFonts w:ascii="Arial" w:hAnsi="Arial" w:cs="Arial"/>
          <w:shd w:val="clear" w:color="auto" w:fill="FFFFFF"/>
        </w:rPr>
        <w:t>3</w:t>
      </w:r>
      <w:r w:rsidRPr="00342742">
        <w:rPr>
          <w:rFonts w:ascii="Arial" w:hAnsi="Arial" w:cs="Arial"/>
          <w:shd w:val="clear" w:color="auto" w:fill="FFFFFF"/>
        </w:rPr>
        <w:t xml:space="preserve"> Prozent auf allgemeinbildende Bildungsgänge, </w:t>
      </w:r>
      <w:r w:rsidR="003400A2" w:rsidRPr="00342742">
        <w:rPr>
          <w:rFonts w:ascii="Arial" w:hAnsi="Arial" w:cs="Arial"/>
          <w:shd w:val="clear" w:color="auto" w:fill="FFFFFF"/>
        </w:rPr>
        <w:t xml:space="preserve">5,7 Prozent auf berufliche Bildungsgänge und 5,2 </w:t>
      </w:r>
      <w:r w:rsidRPr="00342742">
        <w:rPr>
          <w:rFonts w:ascii="Arial" w:hAnsi="Arial" w:cs="Arial"/>
          <w:shd w:val="clear" w:color="auto" w:fill="FFFFFF"/>
        </w:rPr>
        <w:t xml:space="preserve">Prozent auf die betriebliche Ausbildung im </w:t>
      </w:r>
      <w:r w:rsidR="00A10E5D">
        <w:rPr>
          <w:rFonts w:ascii="Arial" w:hAnsi="Arial" w:cs="Arial"/>
          <w:shd w:val="clear" w:color="auto" w:fill="FFFFFF"/>
        </w:rPr>
        <w:t>d</w:t>
      </w:r>
      <w:r w:rsidR="00A10E5D" w:rsidRPr="00342742">
        <w:rPr>
          <w:rFonts w:ascii="Arial" w:hAnsi="Arial" w:cs="Arial"/>
          <w:shd w:val="clear" w:color="auto" w:fill="FFFFFF"/>
        </w:rPr>
        <w:t xml:space="preserve">ualen </w:t>
      </w:r>
      <w:r w:rsidRPr="00342742">
        <w:rPr>
          <w:rFonts w:ascii="Arial" w:hAnsi="Arial" w:cs="Arial"/>
          <w:shd w:val="clear" w:color="auto" w:fill="FFFFFF"/>
        </w:rPr>
        <w:t>System</w:t>
      </w:r>
      <w:r w:rsidR="000B3406">
        <w:rPr>
          <w:rFonts w:ascii="Arial" w:hAnsi="Arial" w:cs="Arial"/>
          <w:shd w:val="clear" w:color="auto" w:fill="FFFFFF"/>
        </w:rPr>
        <w:t>)</w:t>
      </w:r>
      <w:r w:rsidRPr="00342742">
        <w:rPr>
          <w:rFonts w:ascii="Arial" w:hAnsi="Arial" w:cs="Arial"/>
          <w:shd w:val="clear" w:color="auto" w:fill="FFFFFF"/>
        </w:rPr>
        <w:t>.</w:t>
      </w:r>
      <w:r w:rsidR="003400A2" w:rsidRPr="00342742">
        <w:rPr>
          <w:rFonts w:ascii="Arial" w:hAnsi="Arial" w:cs="Arial"/>
          <w:shd w:val="clear" w:color="auto" w:fill="FFFFFF"/>
        </w:rPr>
        <w:t xml:space="preserve"> </w:t>
      </w:r>
      <w:r w:rsidR="000B3406">
        <w:rPr>
          <w:rFonts w:ascii="Arial" w:hAnsi="Arial" w:cs="Arial"/>
          <w:shd w:val="clear" w:color="auto" w:fill="FFFFFF"/>
        </w:rPr>
        <w:t xml:space="preserve">An zweiter Stelle stand mit </w:t>
      </w:r>
      <w:r w:rsidR="000B3406" w:rsidRPr="00342742">
        <w:rPr>
          <w:rFonts w:ascii="Arial" w:hAnsi="Arial" w:cs="Arial"/>
          <w:shd w:val="clear" w:color="auto" w:fill="FFFFFF"/>
        </w:rPr>
        <w:t xml:space="preserve">18,6 Prozent </w:t>
      </w:r>
      <w:r w:rsidR="000B3406">
        <w:rPr>
          <w:rFonts w:ascii="Arial" w:hAnsi="Arial" w:cs="Arial"/>
          <w:shd w:val="clear" w:color="auto" w:fill="FFFFFF"/>
        </w:rPr>
        <w:t xml:space="preserve">der </w:t>
      </w:r>
      <w:r w:rsidR="000B3406" w:rsidRPr="00342742">
        <w:rPr>
          <w:rFonts w:ascii="Arial" w:hAnsi="Arial" w:cs="Arial"/>
          <w:shd w:val="clear" w:color="auto" w:fill="FFFFFF"/>
        </w:rPr>
        <w:t>Tertiärbereich,</w:t>
      </w:r>
      <w:r w:rsidR="000B3406" w:rsidRPr="005A19D6">
        <w:rPr>
          <w:rFonts w:ascii="Arial" w:hAnsi="Arial" w:cs="Arial"/>
          <w:shd w:val="clear" w:color="auto" w:fill="FFFFFF"/>
        </w:rPr>
        <w:t xml:space="preserve"> also </w:t>
      </w:r>
      <w:r w:rsidR="000B3406">
        <w:rPr>
          <w:rFonts w:ascii="Arial" w:hAnsi="Arial" w:cs="Arial"/>
          <w:shd w:val="clear" w:color="auto" w:fill="FFFFFF"/>
        </w:rPr>
        <w:t xml:space="preserve">die Ausgaben für </w:t>
      </w:r>
      <w:r w:rsidR="000B3406" w:rsidRPr="005A19D6">
        <w:rPr>
          <w:rFonts w:ascii="Arial" w:hAnsi="Arial" w:cs="Arial"/>
          <w:shd w:val="clear" w:color="auto" w:fill="FFFFFF"/>
        </w:rPr>
        <w:t>Universitäten und Fachhochschulen, Fachschulen, Fachakademien, Berufsakademien, Schulen des Gesundheitswesens im Tertiärbereich, Studentenwerke sowie f</w:t>
      </w:r>
      <w:r w:rsidR="000B3406">
        <w:rPr>
          <w:rFonts w:ascii="Arial" w:hAnsi="Arial" w:cs="Arial"/>
          <w:shd w:val="clear" w:color="auto" w:fill="FFFFFF"/>
        </w:rPr>
        <w:t>ür</w:t>
      </w:r>
      <w:r w:rsidR="000B3406" w:rsidRPr="005A19D6">
        <w:rPr>
          <w:rFonts w:ascii="Arial" w:hAnsi="Arial" w:cs="Arial"/>
          <w:shd w:val="clear" w:color="auto" w:fill="FFFFFF"/>
        </w:rPr>
        <w:t xml:space="preserve"> Forschung und Entwicklung an Hochschulen.</w:t>
      </w:r>
      <w:r w:rsidR="000B3406">
        <w:rPr>
          <w:rFonts w:ascii="Arial" w:hAnsi="Arial" w:cs="Arial"/>
          <w:shd w:val="clear" w:color="auto" w:fill="FFFFFF"/>
        </w:rPr>
        <w:t xml:space="preserve"> Darauf folgte d</w:t>
      </w:r>
      <w:r w:rsidRPr="00342742">
        <w:rPr>
          <w:rFonts w:ascii="Arial" w:hAnsi="Arial" w:cs="Arial"/>
          <w:shd w:val="clear" w:color="auto" w:fill="FFFFFF"/>
        </w:rPr>
        <w:t xml:space="preserve">er Elementarbereich – </w:t>
      </w:r>
      <w:r w:rsidR="003400A2" w:rsidRPr="00342742">
        <w:rPr>
          <w:rFonts w:ascii="Arial" w:hAnsi="Arial" w:cs="Arial"/>
          <w:shd w:val="clear" w:color="auto" w:fill="FFFFFF"/>
        </w:rPr>
        <w:t xml:space="preserve">Krippen, Kindergärten, Vorschulklassen, Schulkindergärten </w:t>
      </w:r>
      <w:r w:rsidRPr="00342742">
        <w:rPr>
          <w:rFonts w:ascii="Arial" w:hAnsi="Arial" w:cs="Arial"/>
          <w:shd w:val="clear" w:color="auto" w:fill="FFFFFF"/>
        </w:rPr>
        <w:t xml:space="preserve">– </w:t>
      </w:r>
      <w:r w:rsidR="000B3406">
        <w:rPr>
          <w:rFonts w:ascii="Arial" w:hAnsi="Arial" w:cs="Arial"/>
          <w:shd w:val="clear" w:color="auto" w:fill="FFFFFF"/>
        </w:rPr>
        <w:t xml:space="preserve">mit </w:t>
      </w:r>
      <w:r w:rsidRPr="00342742">
        <w:rPr>
          <w:rFonts w:ascii="Arial" w:hAnsi="Arial" w:cs="Arial"/>
          <w:shd w:val="clear" w:color="auto" w:fill="FFFFFF"/>
        </w:rPr>
        <w:t>eine</w:t>
      </w:r>
      <w:r w:rsidR="000B3406">
        <w:rPr>
          <w:rFonts w:ascii="Arial" w:hAnsi="Arial" w:cs="Arial"/>
          <w:shd w:val="clear" w:color="auto" w:fill="FFFFFF"/>
        </w:rPr>
        <w:t xml:space="preserve">m </w:t>
      </w:r>
      <w:r w:rsidRPr="00342742">
        <w:rPr>
          <w:rFonts w:ascii="Arial" w:hAnsi="Arial" w:cs="Arial"/>
          <w:shd w:val="clear" w:color="auto" w:fill="FFFFFF"/>
        </w:rPr>
        <w:t xml:space="preserve">Anteil von </w:t>
      </w:r>
      <w:r w:rsidR="003400A2" w:rsidRPr="00342742">
        <w:rPr>
          <w:rFonts w:ascii="Arial" w:hAnsi="Arial" w:cs="Arial"/>
          <w:shd w:val="clear" w:color="auto" w:fill="FFFFFF"/>
        </w:rPr>
        <w:t>15</w:t>
      </w:r>
      <w:r w:rsidRPr="00342742">
        <w:rPr>
          <w:rFonts w:ascii="Arial" w:hAnsi="Arial" w:cs="Arial"/>
          <w:shd w:val="clear" w:color="auto" w:fill="FFFFFF"/>
        </w:rPr>
        <w:t>,</w:t>
      </w:r>
      <w:r w:rsidR="003400A2" w:rsidRPr="00342742">
        <w:rPr>
          <w:rFonts w:ascii="Arial" w:hAnsi="Arial" w:cs="Arial"/>
          <w:shd w:val="clear" w:color="auto" w:fill="FFFFFF"/>
        </w:rPr>
        <w:t>0</w:t>
      </w:r>
      <w:r w:rsidRPr="00342742">
        <w:rPr>
          <w:rFonts w:ascii="Arial" w:hAnsi="Arial" w:cs="Arial"/>
          <w:shd w:val="clear" w:color="auto" w:fill="FFFFFF"/>
        </w:rPr>
        <w:t xml:space="preserve"> Prozent</w:t>
      </w:r>
      <w:r w:rsidR="003400A2" w:rsidRPr="00342742">
        <w:rPr>
          <w:rFonts w:ascii="Arial" w:hAnsi="Arial" w:cs="Arial"/>
          <w:shd w:val="clear" w:color="auto" w:fill="FFFFFF"/>
        </w:rPr>
        <w:t xml:space="preserve"> am Bildungsbudget</w:t>
      </w:r>
      <w:r w:rsidRPr="00342742">
        <w:rPr>
          <w:rFonts w:ascii="Arial" w:hAnsi="Arial" w:cs="Arial"/>
          <w:shd w:val="clear" w:color="auto" w:fill="FFFFFF"/>
        </w:rPr>
        <w:t>.</w:t>
      </w:r>
      <w:r w:rsidR="00F56751">
        <w:rPr>
          <w:rFonts w:ascii="Arial" w:hAnsi="Arial" w:cs="Arial"/>
          <w:shd w:val="clear" w:color="auto" w:fill="FFFFFF"/>
        </w:rPr>
        <w:t xml:space="preserve"> </w:t>
      </w:r>
      <w:r w:rsidR="00CF5B3A">
        <w:rPr>
          <w:rFonts w:ascii="Arial" w:hAnsi="Arial" w:cs="Arial"/>
          <w:shd w:val="clear" w:color="auto" w:fill="FFFFFF"/>
        </w:rPr>
        <w:t xml:space="preserve">10,0 Prozent des </w:t>
      </w:r>
      <w:r w:rsidR="00CF5B3A" w:rsidRPr="00342742">
        <w:rPr>
          <w:rFonts w:ascii="Arial" w:hAnsi="Arial" w:cs="Arial"/>
          <w:shd w:val="clear" w:color="auto" w:fill="FFFFFF"/>
        </w:rPr>
        <w:t>Budget</w:t>
      </w:r>
      <w:r w:rsidR="00CF5B3A">
        <w:rPr>
          <w:rFonts w:ascii="Arial" w:hAnsi="Arial" w:cs="Arial"/>
          <w:shd w:val="clear" w:color="auto" w:fill="FFFFFF"/>
        </w:rPr>
        <w:t xml:space="preserve">s </w:t>
      </w:r>
      <w:r w:rsidR="00CF5B3A" w:rsidRPr="002322B1">
        <w:rPr>
          <w:rFonts w:ascii="Arial" w:hAnsi="Arial" w:cs="Arial"/>
          <w:shd w:val="clear" w:color="auto" w:fill="FFFFFF"/>
        </w:rPr>
        <w:t xml:space="preserve">entfielen im Jahr 2019 auf die Bereiche </w:t>
      </w:r>
      <w:r w:rsidR="00787597" w:rsidRPr="002322B1">
        <w:rPr>
          <w:rFonts w:ascii="Arial" w:hAnsi="Arial" w:cs="Arial"/>
          <w:shd w:val="clear" w:color="auto" w:fill="FFFFFF"/>
        </w:rPr>
        <w:t xml:space="preserve">Weiterbildung, Horte, Jugendarbeit, Volkshochschulen und sonstige </w:t>
      </w:r>
      <w:r w:rsidR="002322B1" w:rsidRPr="002322B1">
        <w:rPr>
          <w:rFonts w:ascii="Arial" w:hAnsi="Arial" w:cs="Arial"/>
          <w:shd w:val="clear" w:color="auto" w:fill="FFFFFF"/>
        </w:rPr>
        <w:t>Bildungsangebote. Schließlich hatten d</w:t>
      </w:r>
      <w:r w:rsidR="00787597" w:rsidRPr="002322B1">
        <w:rPr>
          <w:rFonts w:ascii="Arial" w:hAnsi="Arial" w:cs="Arial"/>
          <w:shd w:val="clear" w:color="auto" w:fill="FFFFFF"/>
        </w:rPr>
        <w:t xml:space="preserve">ie Ausgaben für Bildungsförderung (zum Beispiel BAföG) </w:t>
      </w:r>
      <w:r w:rsidR="002322B1" w:rsidRPr="002322B1">
        <w:rPr>
          <w:rFonts w:ascii="Arial" w:hAnsi="Arial" w:cs="Arial"/>
          <w:shd w:val="clear" w:color="auto" w:fill="FFFFFF"/>
        </w:rPr>
        <w:t>einen Anteil von 6,0 Prozent</w:t>
      </w:r>
      <w:r w:rsidR="00F56751">
        <w:rPr>
          <w:rFonts w:ascii="Arial" w:hAnsi="Arial" w:cs="Arial"/>
          <w:shd w:val="clear" w:color="auto" w:fill="FFFFFF"/>
        </w:rPr>
        <w:t xml:space="preserve"> </w:t>
      </w:r>
      <w:r w:rsidR="002322B1">
        <w:rPr>
          <w:rFonts w:ascii="Arial" w:hAnsi="Arial" w:cs="Arial"/>
          <w:shd w:val="clear" w:color="auto" w:fill="FFFFFF"/>
        </w:rPr>
        <w:t xml:space="preserve">und die </w:t>
      </w:r>
      <w:r w:rsidR="002322B1" w:rsidRPr="002322B1">
        <w:rPr>
          <w:rFonts w:ascii="Arial" w:hAnsi="Arial" w:cs="Arial"/>
          <w:shd w:val="clear" w:color="auto" w:fill="FFFFFF"/>
        </w:rPr>
        <w:t xml:space="preserve">Ausgaben privater Haushalte für Bildungsgüter und </w:t>
      </w:r>
      <w:r w:rsidR="002322B1">
        <w:rPr>
          <w:rFonts w:ascii="Arial" w:hAnsi="Arial" w:cs="Arial"/>
          <w:shd w:val="clear" w:color="auto" w:fill="FFFFFF"/>
        </w:rPr>
        <w:t>-</w:t>
      </w:r>
      <w:r w:rsidR="002322B1" w:rsidRPr="002322B1">
        <w:rPr>
          <w:rFonts w:ascii="Arial" w:hAnsi="Arial" w:cs="Arial"/>
          <w:shd w:val="clear" w:color="auto" w:fill="FFFFFF"/>
        </w:rPr>
        <w:t>dienste</w:t>
      </w:r>
      <w:r w:rsidR="002322B1">
        <w:rPr>
          <w:rFonts w:ascii="Arial" w:hAnsi="Arial" w:cs="Arial"/>
          <w:shd w:val="clear" w:color="auto" w:fill="FFFFFF"/>
        </w:rPr>
        <w:t xml:space="preserve"> </w:t>
      </w:r>
      <w:r w:rsidR="002322B1" w:rsidRPr="002322B1">
        <w:rPr>
          <w:rFonts w:ascii="Arial" w:hAnsi="Arial" w:cs="Arial"/>
          <w:shd w:val="clear" w:color="auto" w:fill="FFFFFF"/>
        </w:rPr>
        <w:t>außerhalb von Bildungseinrichtungen</w:t>
      </w:r>
      <w:r w:rsidR="002322B1">
        <w:rPr>
          <w:rFonts w:ascii="Arial" w:hAnsi="Arial" w:cs="Arial"/>
          <w:shd w:val="clear" w:color="auto" w:fill="FFFFFF"/>
        </w:rPr>
        <w:t xml:space="preserve"> einen Anteil von 2,9 Prozent am </w:t>
      </w:r>
      <w:r w:rsidR="002322B1" w:rsidRPr="00342742">
        <w:rPr>
          <w:rFonts w:ascii="Arial" w:hAnsi="Arial" w:cs="Arial"/>
          <w:shd w:val="clear" w:color="auto" w:fill="FFFFFF"/>
        </w:rPr>
        <w:t>Bildungsbudget</w:t>
      </w:r>
      <w:r w:rsidR="002322B1" w:rsidRPr="002322B1">
        <w:rPr>
          <w:rFonts w:ascii="Arial" w:hAnsi="Arial" w:cs="Arial"/>
          <w:shd w:val="clear" w:color="auto" w:fill="FFFFFF"/>
        </w:rPr>
        <w:t>.</w:t>
      </w:r>
    </w:p>
    <w:p w14:paraId="795E8FA5" w14:textId="77777777" w:rsidR="00F56751" w:rsidRDefault="00F56751" w:rsidP="002322B1">
      <w:pPr>
        <w:rPr>
          <w:rFonts w:ascii="Arial" w:hAnsi="Arial" w:cs="Arial"/>
          <w:shd w:val="clear" w:color="auto" w:fill="FFFFFF"/>
        </w:rPr>
      </w:pPr>
    </w:p>
    <w:p w14:paraId="3BB9AA86" w14:textId="19017C33" w:rsidR="009A357C" w:rsidRDefault="00F75456" w:rsidP="009A357C">
      <w:pPr>
        <w:rPr>
          <w:rFonts w:ascii="Arial" w:hAnsi="Arial" w:cs="Arial"/>
          <w:shd w:val="clear" w:color="auto" w:fill="FFFFFF"/>
        </w:rPr>
      </w:pPr>
      <w:r w:rsidRPr="00342742">
        <w:rPr>
          <w:rFonts w:ascii="Arial" w:hAnsi="Arial" w:cs="Arial"/>
          <w:shd w:val="clear" w:color="auto" w:fill="FFFFFF"/>
        </w:rPr>
        <w:t xml:space="preserve">Zwischen </w:t>
      </w:r>
      <w:r w:rsidR="00342742" w:rsidRPr="00342742">
        <w:rPr>
          <w:rFonts w:ascii="Arial" w:hAnsi="Arial" w:cs="Arial"/>
          <w:shd w:val="clear" w:color="auto" w:fill="FFFFFF"/>
        </w:rPr>
        <w:t>2005</w:t>
      </w:r>
      <w:r w:rsidRPr="00342742">
        <w:rPr>
          <w:rFonts w:ascii="Arial" w:hAnsi="Arial" w:cs="Arial"/>
          <w:shd w:val="clear" w:color="auto" w:fill="FFFFFF"/>
        </w:rPr>
        <w:t xml:space="preserve"> und 20</w:t>
      </w:r>
      <w:r w:rsidR="00342742" w:rsidRPr="00342742">
        <w:rPr>
          <w:rFonts w:ascii="Arial" w:hAnsi="Arial" w:cs="Arial"/>
          <w:shd w:val="clear" w:color="auto" w:fill="FFFFFF"/>
        </w:rPr>
        <w:t>19</w:t>
      </w:r>
      <w:r w:rsidRPr="00342742">
        <w:rPr>
          <w:rFonts w:ascii="Arial" w:hAnsi="Arial" w:cs="Arial"/>
          <w:shd w:val="clear" w:color="auto" w:fill="FFFFFF"/>
        </w:rPr>
        <w:t xml:space="preserve"> erhöhte sich das Bildungsbudget um </w:t>
      </w:r>
      <w:r w:rsidR="00342742" w:rsidRPr="00342742">
        <w:rPr>
          <w:rFonts w:ascii="Arial" w:hAnsi="Arial" w:cs="Arial"/>
          <w:shd w:val="clear" w:color="auto" w:fill="FFFFFF"/>
        </w:rPr>
        <w:t>85</w:t>
      </w:r>
      <w:r w:rsidRPr="00342742">
        <w:rPr>
          <w:rFonts w:ascii="Arial" w:hAnsi="Arial" w:cs="Arial"/>
          <w:shd w:val="clear" w:color="auto" w:fill="FFFFFF"/>
        </w:rPr>
        <w:t>,</w:t>
      </w:r>
      <w:r w:rsidR="00342742" w:rsidRPr="00342742">
        <w:rPr>
          <w:rFonts w:ascii="Arial" w:hAnsi="Arial" w:cs="Arial"/>
          <w:shd w:val="clear" w:color="auto" w:fill="FFFFFF"/>
        </w:rPr>
        <w:t>9</w:t>
      </w:r>
      <w:r w:rsidRPr="00342742">
        <w:rPr>
          <w:rFonts w:ascii="Arial" w:hAnsi="Arial" w:cs="Arial"/>
          <w:shd w:val="clear" w:color="auto" w:fill="FFFFFF"/>
        </w:rPr>
        <w:t xml:space="preserve"> Milliarden Euro beziehungsweise um </w:t>
      </w:r>
      <w:r w:rsidR="00342742" w:rsidRPr="00342742">
        <w:rPr>
          <w:rFonts w:ascii="Arial" w:hAnsi="Arial" w:cs="Arial"/>
          <w:shd w:val="clear" w:color="auto" w:fill="FFFFFF"/>
        </w:rPr>
        <w:t>60</w:t>
      </w:r>
      <w:r w:rsidRPr="00342742">
        <w:rPr>
          <w:rFonts w:ascii="Arial" w:hAnsi="Arial" w:cs="Arial"/>
          <w:shd w:val="clear" w:color="auto" w:fill="FFFFFF"/>
        </w:rPr>
        <w:t>,</w:t>
      </w:r>
      <w:r w:rsidR="00342742" w:rsidRPr="00342742">
        <w:rPr>
          <w:rFonts w:ascii="Arial" w:hAnsi="Arial" w:cs="Arial"/>
          <w:shd w:val="clear" w:color="auto" w:fill="FFFFFF"/>
        </w:rPr>
        <w:t>0</w:t>
      </w:r>
      <w:r w:rsidRPr="00342742">
        <w:rPr>
          <w:rFonts w:ascii="Arial" w:hAnsi="Arial" w:cs="Arial"/>
          <w:shd w:val="clear" w:color="auto" w:fill="FFFFFF"/>
        </w:rPr>
        <w:t xml:space="preserve"> Prozent.</w:t>
      </w:r>
      <w:r w:rsidR="00F56751">
        <w:rPr>
          <w:rFonts w:ascii="Arial" w:hAnsi="Arial" w:cs="Arial"/>
          <w:shd w:val="clear" w:color="auto" w:fill="FFFFFF"/>
        </w:rPr>
        <w:t xml:space="preserve"> </w:t>
      </w:r>
      <w:r w:rsidR="009A357C" w:rsidRPr="009E5C74">
        <w:rPr>
          <w:rFonts w:ascii="Arial" w:hAnsi="Arial" w:cs="Arial"/>
          <w:shd w:val="clear" w:color="auto" w:fill="FFFFFF"/>
        </w:rPr>
        <w:t xml:space="preserve">Dabei verlief die Entwicklung in den einzelnen Bildungsbereichen zum Teil sehr unterschiedlich. Beispielsweise erhöhten sich die Ausgaben im Tertiärbereich zwischen 2005 und 2019 mit 80,1 Prozent überdurchschnittlich stark. Noch </w:t>
      </w:r>
      <w:r w:rsidR="00CF5B3A">
        <w:rPr>
          <w:rFonts w:ascii="Arial" w:hAnsi="Arial" w:cs="Arial"/>
          <w:shd w:val="clear" w:color="auto" w:fill="FFFFFF"/>
        </w:rPr>
        <w:t xml:space="preserve">deutlich </w:t>
      </w:r>
      <w:r w:rsidR="009A357C" w:rsidRPr="009E5C74">
        <w:rPr>
          <w:rFonts w:ascii="Arial" w:hAnsi="Arial" w:cs="Arial"/>
          <w:shd w:val="clear" w:color="auto" w:fill="FFFFFF"/>
        </w:rPr>
        <w:t xml:space="preserve">stärker nahmen im selben Zeitraum die Ausgaben im Elementarbereich </w:t>
      </w:r>
      <w:r w:rsidR="00CF5B3A">
        <w:rPr>
          <w:rFonts w:ascii="Arial" w:hAnsi="Arial" w:cs="Arial"/>
          <w:shd w:val="clear" w:color="auto" w:fill="FFFFFF"/>
        </w:rPr>
        <w:t xml:space="preserve">mit </w:t>
      </w:r>
      <w:r w:rsidR="00CF5B3A" w:rsidRPr="009E5C74">
        <w:rPr>
          <w:rFonts w:ascii="Arial" w:hAnsi="Arial" w:cs="Arial"/>
          <w:shd w:val="clear" w:color="auto" w:fill="FFFFFF"/>
        </w:rPr>
        <w:t xml:space="preserve">156,7 Prozent </w:t>
      </w:r>
      <w:r w:rsidR="009A357C" w:rsidRPr="009E5C74">
        <w:rPr>
          <w:rFonts w:ascii="Arial" w:hAnsi="Arial" w:cs="Arial"/>
          <w:shd w:val="clear" w:color="auto" w:fill="FFFFFF"/>
        </w:rPr>
        <w:t>zu</w:t>
      </w:r>
      <w:r w:rsidR="00CF5B3A">
        <w:rPr>
          <w:rFonts w:ascii="Arial" w:hAnsi="Arial" w:cs="Arial"/>
          <w:shd w:val="clear" w:color="auto" w:fill="FFFFFF"/>
        </w:rPr>
        <w:t xml:space="preserve"> </w:t>
      </w:r>
      <w:r w:rsidR="009A357C" w:rsidRPr="009E5C74">
        <w:rPr>
          <w:rFonts w:ascii="Arial" w:hAnsi="Arial" w:cs="Arial"/>
          <w:shd w:val="clear" w:color="auto" w:fill="FFFFFF"/>
        </w:rPr>
        <w:t xml:space="preserve">– dabei haben sich die Ausgaben für Kinder unter 3 Jahren allein zwischen 2005 und 2018 vervierfacht (plus 392 Prozent). Auf der anderen Seite nahmen die Ausgaben für Schulen und den schulnahen Bereich zwischen 2005 und 2019 um lediglich 40,1 Prozent zu – darunter zum Beispiel die betriebliche Ausbildung im </w:t>
      </w:r>
      <w:r w:rsidR="002A6596">
        <w:rPr>
          <w:rFonts w:ascii="Arial" w:hAnsi="Arial" w:cs="Arial"/>
          <w:shd w:val="clear" w:color="auto" w:fill="FFFFFF"/>
        </w:rPr>
        <w:t>d</w:t>
      </w:r>
      <w:r w:rsidR="009A357C" w:rsidRPr="009E5C74">
        <w:rPr>
          <w:rFonts w:ascii="Arial" w:hAnsi="Arial" w:cs="Arial"/>
          <w:shd w:val="clear" w:color="auto" w:fill="FFFFFF"/>
        </w:rPr>
        <w:t xml:space="preserve">ualen System </w:t>
      </w:r>
      <w:r w:rsidR="009A357C">
        <w:rPr>
          <w:rFonts w:ascii="Arial" w:hAnsi="Arial" w:cs="Arial"/>
          <w:shd w:val="clear" w:color="auto" w:fill="FFFFFF"/>
        </w:rPr>
        <w:t xml:space="preserve">mit einem Wachstum von </w:t>
      </w:r>
      <w:r w:rsidR="009A357C" w:rsidRPr="009E5C74">
        <w:rPr>
          <w:rFonts w:ascii="Arial" w:hAnsi="Arial" w:cs="Arial"/>
          <w:shd w:val="clear" w:color="auto" w:fill="FFFFFF"/>
        </w:rPr>
        <w:t>nur 12,4 Prozent.</w:t>
      </w:r>
    </w:p>
    <w:p w14:paraId="5CCF9AA3" w14:textId="77777777" w:rsidR="00F56751" w:rsidRDefault="00F56751" w:rsidP="009A357C">
      <w:pPr>
        <w:rPr>
          <w:rFonts w:ascii="Arial" w:hAnsi="Arial" w:cs="Arial"/>
          <w:shd w:val="clear" w:color="auto" w:fill="FFFFFF"/>
        </w:rPr>
      </w:pPr>
    </w:p>
    <w:p w14:paraId="236C55C1" w14:textId="77777777" w:rsidR="00685A7F" w:rsidRDefault="00F75456" w:rsidP="00685A7F">
      <w:pPr>
        <w:rPr>
          <w:rFonts w:ascii="Arial" w:hAnsi="Arial" w:cs="Arial"/>
          <w:shd w:val="clear" w:color="auto" w:fill="FFFFFF"/>
        </w:rPr>
      </w:pPr>
      <w:r w:rsidRPr="003E73EE">
        <w:rPr>
          <w:rFonts w:ascii="Arial" w:hAnsi="Arial" w:cs="Arial"/>
          <w:shd w:val="clear" w:color="auto" w:fill="FFFFFF"/>
        </w:rPr>
        <w:t xml:space="preserve">Trotz der </w:t>
      </w:r>
      <w:r w:rsidR="009A357C">
        <w:rPr>
          <w:rFonts w:ascii="Arial" w:hAnsi="Arial" w:cs="Arial"/>
          <w:shd w:val="clear" w:color="auto" w:fill="FFFFFF"/>
        </w:rPr>
        <w:t>Ausgabens</w:t>
      </w:r>
      <w:r w:rsidRPr="003E73EE">
        <w:rPr>
          <w:rFonts w:ascii="Arial" w:hAnsi="Arial" w:cs="Arial"/>
          <w:shd w:val="clear" w:color="auto" w:fill="FFFFFF"/>
        </w:rPr>
        <w:t>teigerung hat sich das</w:t>
      </w:r>
      <w:r w:rsidR="003D430F">
        <w:rPr>
          <w:rFonts w:ascii="Arial" w:hAnsi="Arial" w:cs="Arial"/>
          <w:shd w:val="clear" w:color="auto" w:fill="FFFFFF"/>
        </w:rPr>
        <w:t xml:space="preserve"> </w:t>
      </w:r>
      <w:r w:rsidR="003D430F" w:rsidRPr="00342742">
        <w:rPr>
          <w:rFonts w:ascii="Arial" w:hAnsi="Arial" w:cs="Arial"/>
          <w:shd w:val="clear" w:color="auto" w:fill="FFFFFF"/>
        </w:rPr>
        <w:t>Bildungsbudget</w:t>
      </w:r>
      <w:r w:rsidRPr="003E73EE">
        <w:rPr>
          <w:rFonts w:ascii="Arial" w:hAnsi="Arial" w:cs="Arial"/>
          <w:shd w:val="clear" w:color="auto" w:fill="FFFFFF"/>
        </w:rPr>
        <w:t xml:space="preserve"> </w:t>
      </w:r>
      <w:r w:rsidR="003D430F" w:rsidRPr="003D430F">
        <w:rPr>
          <w:rFonts w:ascii="Arial" w:hAnsi="Arial" w:cs="Arial"/>
          <w:shd w:val="clear" w:color="auto" w:fill="FFFFFF"/>
        </w:rPr>
        <w:t>bezogen auf die wirtschaftliche E</w:t>
      </w:r>
      <w:r w:rsidRPr="003E73EE">
        <w:rPr>
          <w:rFonts w:ascii="Arial" w:hAnsi="Arial" w:cs="Arial"/>
          <w:shd w:val="clear" w:color="auto" w:fill="FFFFFF"/>
        </w:rPr>
        <w:t xml:space="preserve">ntwicklung </w:t>
      </w:r>
      <w:r w:rsidR="00FA7619" w:rsidRPr="003E73EE">
        <w:rPr>
          <w:rFonts w:ascii="Arial" w:hAnsi="Arial" w:cs="Arial"/>
          <w:shd w:val="clear" w:color="auto" w:fill="FFFFFF"/>
        </w:rPr>
        <w:t>kaum</w:t>
      </w:r>
      <w:r w:rsidR="00E217A1" w:rsidRPr="003E73EE">
        <w:rPr>
          <w:rFonts w:ascii="Arial" w:hAnsi="Arial" w:cs="Arial"/>
          <w:shd w:val="clear" w:color="auto" w:fill="FFFFFF"/>
        </w:rPr>
        <w:t xml:space="preserve"> verändert. Seit mehr als zwei Jahrzehnten </w:t>
      </w:r>
      <w:r w:rsidR="00AA415E">
        <w:rPr>
          <w:rFonts w:ascii="Arial" w:hAnsi="Arial" w:cs="Arial"/>
          <w:shd w:val="clear" w:color="auto" w:fill="FFFFFF"/>
        </w:rPr>
        <w:t>entsprechen</w:t>
      </w:r>
      <w:r w:rsidR="00FA7619" w:rsidRPr="003E73EE">
        <w:rPr>
          <w:rFonts w:ascii="Arial" w:hAnsi="Arial" w:cs="Arial"/>
          <w:shd w:val="clear" w:color="auto" w:fill="FFFFFF"/>
        </w:rPr>
        <w:t xml:space="preserve"> </w:t>
      </w:r>
      <w:r w:rsidRPr="003E73EE">
        <w:rPr>
          <w:rFonts w:ascii="Arial" w:hAnsi="Arial" w:cs="Arial"/>
          <w:shd w:val="clear" w:color="auto" w:fill="FFFFFF"/>
        </w:rPr>
        <w:t xml:space="preserve">die Bildungsausgaben </w:t>
      </w:r>
      <w:r w:rsidR="00FA7619" w:rsidRPr="003E73EE">
        <w:rPr>
          <w:rFonts w:ascii="Arial" w:hAnsi="Arial" w:cs="Arial"/>
          <w:shd w:val="clear" w:color="auto" w:fill="FFFFFF"/>
        </w:rPr>
        <w:t xml:space="preserve">sechs </w:t>
      </w:r>
      <w:r w:rsidR="00AA415E">
        <w:rPr>
          <w:rFonts w:ascii="Arial" w:hAnsi="Arial" w:cs="Arial"/>
          <w:shd w:val="clear" w:color="auto" w:fill="FFFFFF"/>
        </w:rPr>
        <w:t>bis</w:t>
      </w:r>
      <w:r w:rsidR="00FA7619" w:rsidRPr="003E73EE">
        <w:rPr>
          <w:rFonts w:ascii="Arial" w:hAnsi="Arial" w:cs="Arial"/>
          <w:shd w:val="clear" w:color="auto" w:fill="FFFFFF"/>
        </w:rPr>
        <w:t xml:space="preserve"> sieben </w:t>
      </w:r>
      <w:r w:rsidRPr="003E73EE">
        <w:rPr>
          <w:rFonts w:ascii="Arial" w:hAnsi="Arial" w:cs="Arial"/>
          <w:shd w:val="clear" w:color="auto" w:fill="FFFFFF"/>
        </w:rPr>
        <w:t xml:space="preserve">Prozent des </w:t>
      </w:r>
      <w:r w:rsidRPr="003E73EE">
        <w:rPr>
          <w:rFonts w:ascii="Arial" w:hAnsi="Arial" w:cs="Arial"/>
          <w:shd w:val="clear" w:color="auto" w:fill="FFFFFF"/>
        </w:rPr>
        <w:lastRenderedPageBreak/>
        <w:t>Bruttoinlandsprodukts (BIP)</w:t>
      </w:r>
      <w:r w:rsidR="00F56751">
        <w:rPr>
          <w:rFonts w:ascii="Arial" w:hAnsi="Arial" w:cs="Arial"/>
          <w:shd w:val="clear" w:color="auto" w:fill="FFFFFF"/>
        </w:rPr>
        <w:t xml:space="preserve">. </w:t>
      </w:r>
      <w:r w:rsidR="006E6F04" w:rsidRPr="00685A7F">
        <w:rPr>
          <w:rFonts w:ascii="Arial" w:hAnsi="Arial" w:cs="Arial"/>
          <w:shd w:val="clear" w:color="auto" w:fill="FFFFFF"/>
        </w:rPr>
        <w:t xml:space="preserve">2005 </w:t>
      </w:r>
      <w:r w:rsidR="00685A7F" w:rsidRPr="00685A7F">
        <w:rPr>
          <w:rFonts w:ascii="Arial" w:hAnsi="Arial" w:cs="Arial"/>
          <w:shd w:val="clear" w:color="auto" w:fill="FFFFFF"/>
        </w:rPr>
        <w:t xml:space="preserve">entsprach das Bildungsbudget </w:t>
      </w:r>
      <w:r w:rsidR="006E6F04" w:rsidRPr="00685A7F">
        <w:rPr>
          <w:rFonts w:ascii="Arial" w:hAnsi="Arial" w:cs="Arial"/>
          <w:shd w:val="clear" w:color="auto" w:fill="FFFFFF"/>
        </w:rPr>
        <w:t>6,3 Prozent</w:t>
      </w:r>
      <w:r w:rsidR="00685A7F" w:rsidRPr="00685A7F">
        <w:rPr>
          <w:rFonts w:ascii="Arial" w:hAnsi="Arial" w:cs="Arial"/>
          <w:shd w:val="clear" w:color="auto" w:fill="FFFFFF"/>
        </w:rPr>
        <w:t xml:space="preserve"> des BIP</w:t>
      </w:r>
      <w:r w:rsidR="00AA415E">
        <w:rPr>
          <w:rFonts w:ascii="Arial" w:hAnsi="Arial" w:cs="Arial"/>
          <w:shd w:val="clear" w:color="auto" w:fill="FFFFFF"/>
        </w:rPr>
        <w:t>,</w:t>
      </w:r>
      <w:r w:rsidR="00685A7F" w:rsidRPr="00685A7F">
        <w:rPr>
          <w:rFonts w:ascii="Arial" w:hAnsi="Arial" w:cs="Arial"/>
          <w:shd w:val="clear" w:color="auto" w:fill="FFFFFF"/>
        </w:rPr>
        <w:t xml:space="preserve"> </w:t>
      </w:r>
      <w:r w:rsidRPr="00685A7F">
        <w:rPr>
          <w:rFonts w:ascii="Arial" w:hAnsi="Arial" w:cs="Arial"/>
          <w:shd w:val="clear" w:color="auto" w:fill="FFFFFF"/>
        </w:rPr>
        <w:t xml:space="preserve">2010 </w:t>
      </w:r>
      <w:r w:rsidR="00685A7F" w:rsidRPr="00685A7F">
        <w:rPr>
          <w:rFonts w:ascii="Arial" w:hAnsi="Arial" w:cs="Arial"/>
          <w:shd w:val="clear" w:color="auto" w:fill="FFFFFF"/>
        </w:rPr>
        <w:t xml:space="preserve">lag der Anteil bei 6,8 Prozent </w:t>
      </w:r>
      <w:r w:rsidRPr="00685A7F">
        <w:rPr>
          <w:rFonts w:ascii="Arial" w:hAnsi="Arial" w:cs="Arial"/>
          <w:shd w:val="clear" w:color="auto" w:fill="FFFFFF"/>
        </w:rPr>
        <w:t>und 201</w:t>
      </w:r>
      <w:r w:rsidR="00685A7F" w:rsidRPr="00685A7F">
        <w:rPr>
          <w:rFonts w:ascii="Arial" w:hAnsi="Arial" w:cs="Arial"/>
          <w:shd w:val="clear" w:color="auto" w:fill="FFFFFF"/>
        </w:rPr>
        <w:t xml:space="preserve">9 bei 6,6 </w:t>
      </w:r>
      <w:r w:rsidRPr="00685A7F">
        <w:rPr>
          <w:rFonts w:ascii="Arial" w:hAnsi="Arial" w:cs="Arial"/>
          <w:shd w:val="clear" w:color="auto" w:fill="FFFFFF"/>
        </w:rPr>
        <w:t>Prozent</w:t>
      </w:r>
      <w:r w:rsidR="00685A7F" w:rsidRPr="00685A7F">
        <w:rPr>
          <w:rFonts w:ascii="Arial" w:hAnsi="Arial" w:cs="Arial"/>
          <w:shd w:val="clear" w:color="auto" w:fill="FFFFFF"/>
        </w:rPr>
        <w:t xml:space="preserve"> des BIP</w:t>
      </w:r>
      <w:r w:rsidRPr="00685A7F">
        <w:rPr>
          <w:rFonts w:ascii="Arial" w:hAnsi="Arial" w:cs="Arial"/>
          <w:shd w:val="clear" w:color="auto" w:fill="FFFFFF"/>
        </w:rPr>
        <w:t>.</w:t>
      </w:r>
    </w:p>
    <w:p w14:paraId="0E228E3B" w14:textId="77777777" w:rsidR="00F56751" w:rsidRDefault="00F56751" w:rsidP="00685A7F">
      <w:pPr>
        <w:rPr>
          <w:rFonts w:ascii="Arial" w:hAnsi="Arial" w:cs="Arial"/>
          <w:shd w:val="clear" w:color="auto" w:fill="FFFFFF"/>
        </w:rPr>
      </w:pPr>
    </w:p>
    <w:p w14:paraId="5EB71AFD" w14:textId="77777777" w:rsidR="00670B9F" w:rsidRDefault="00F75456" w:rsidP="00CA5D69">
      <w:pPr>
        <w:rPr>
          <w:rFonts w:ascii="Arial" w:hAnsi="Arial" w:cs="Arial"/>
          <w:shd w:val="clear" w:color="auto" w:fill="FFFFFF"/>
        </w:rPr>
      </w:pPr>
      <w:r w:rsidRPr="00BE0416">
        <w:rPr>
          <w:rFonts w:ascii="Arial" w:hAnsi="Arial" w:cs="Arial"/>
          <w:shd w:val="clear" w:color="auto" w:fill="FFFFFF"/>
        </w:rPr>
        <w:t xml:space="preserve">Das deutsche Bildungswesen ist im Schul- und Hochschulbereich durch eine öffentliche Finanzierungsstruktur geprägt. </w:t>
      </w:r>
      <w:r w:rsidR="008456E4" w:rsidRPr="00BE0416">
        <w:rPr>
          <w:rFonts w:ascii="Arial" w:hAnsi="Arial" w:cs="Arial"/>
          <w:shd w:val="clear" w:color="auto" w:fill="FFFFFF"/>
        </w:rPr>
        <w:t>In den Bereichen betriebliche Aus- und Weiterbildung</w:t>
      </w:r>
      <w:r w:rsidR="00BE0416" w:rsidRPr="00BE0416">
        <w:rPr>
          <w:rFonts w:ascii="Arial" w:hAnsi="Arial" w:cs="Arial"/>
          <w:shd w:val="clear" w:color="auto" w:fill="FFFFFF"/>
        </w:rPr>
        <w:t xml:space="preserve"> sowie </w:t>
      </w:r>
      <w:r w:rsidRPr="00BE0416">
        <w:rPr>
          <w:rFonts w:ascii="Arial" w:hAnsi="Arial" w:cs="Arial"/>
          <w:shd w:val="clear" w:color="auto" w:fill="FFFFFF"/>
        </w:rPr>
        <w:t>beruf</w:t>
      </w:r>
      <w:r w:rsidR="008456E4" w:rsidRPr="00BE0416">
        <w:rPr>
          <w:rFonts w:ascii="Arial" w:hAnsi="Arial" w:cs="Arial"/>
          <w:shd w:val="clear" w:color="auto" w:fill="FFFFFF"/>
        </w:rPr>
        <w:t xml:space="preserve">sorientierte </w:t>
      </w:r>
      <w:r w:rsidRPr="00BE0416">
        <w:rPr>
          <w:rFonts w:ascii="Arial" w:hAnsi="Arial" w:cs="Arial"/>
          <w:shd w:val="clear" w:color="auto" w:fill="FFFFFF"/>
        </w:rPr>
        <w:t>Bildung sind Unternehmen, private Haushalte und private Organisationen ohne Erwerbszweck traditionell stärker</w:t>
      </w:r>
      <w:r w:rsidR="00F56751">
        <w:rPr>
          <w:rFonts w:ascii="Arial" w:hAnsi="Arial" w:cs="Arial"/>
          <w:shd w:val="clear" w:color="auto" w:fill="FFFFFF"/>
        </w:rPr>
        <w:t xml:space="preserve"> an der Finanzierung beteiligt. </w:t>
      </w:r>
      <w:r w:rsidRPr="001B524E">
        <w:rPr>
          <w:rFonts w:ascii="Arial" w:hAnsi="Arial" w:cs="Arial"/>
          <w:shd w:val="clear" w:color="auto" w:fill="FFFFFF"/>
        </w:rPr>
        <w:t>Rund vier Fünftel de</w:t>
      </w:r>
      <w:r w:rsidR="001B524E">
        <w:rPr>
          <w:rFonts w:ascii="Arial" w:hAnsi="Arial" w:cs="Arial"/>
          <w:shd w:val="clear" w:color="auto" w:fill="FFFFFF"/>
        </w:rPr>
        <w:t>s</w:t>
      </w:r>
      <w:r w:rsidRPr="001B524E">
        <w:rPr>
          <w:rFonts w:ascii="Arial" w:hAnsi="Arial" w:cs="Arial"/>
          <w:shd w:val="clear" w:color="auto" w:fill="FFFFFF"/>
        </w:rPr>
        <w:t xml:space="preserve"> gesamten Bildungs</w:t>
      </w:r>
      <w:r w:rsidR="001B524E">
        <w:rPr>
          <w:rFonts w:ascii="Arial" w:hAnsi="Arial" w:cs="Arial"/>
          <w:shd w:val="clear" w:color="auto" w:fill="FFFFFF"/>
        </w:rPr>
        <w:t xml:space="preserve">budgets </w:t>
      </w:r>
      <w:r w:rsidRPr="001B524E">
        <w:rPr>
          <w:rFonts w:ascii="Arial" w:hAnsi="Arial" w:cs="Arial"/>
          <w:shd w:val="clear" w:color="auto" w:fill="FFFFFF"/>
        </w:rPr>
        <w:t>wurden 201</w:t>
      </w:r>
      <w:r w:rsidR="00ED5E60" w:rsidRPr="001B524E">
        <w:rPr>
          <w:rFonts w:ascii="Arial" w:hAnsi="Arial" w:cs="Arial"/>
          <w:shd w:val="clear" w:color="auto" w:fill="FFFFFF"/>
        </w:rPr>
        <w:t>8</w:t>
      </w:r>
      <w:r w:rsidRPr="001B524E">
        <w:rPr>
          <w:rFonts w:ascii="Arial" w:hAnsi="Arial" w:cs="Arial"/>
          <w:shd w:val="clear" w:color="auto" w:fill="FFFFFF"/>
        </w:rPr>
        <w:t xml:space="preserve"> von Bund, Ländern und Gemeinden aufgebracht (</w:t>
      </w:r>
      <w:r w:rsidR="00ED5E60" w:rsidRPr="001B524E">
        <w:rPr>
          <w:rFonts w:ascii="Arial" w:hAnsi="Arial" w:cs="Arial"/>
          <w:shd w:val="clear" w:color="auto" w:fill="FFFFFF"/>
        </w:rPr>
        <w:t>80</w:t>
      </w:r>
      <w:r w:rsidRPr="001B524E">
        <w:rPr>
          <w:rFonts w:ascii="Arial" w:hAnsi="Arial" w:cs="Arial"/>
          <w:shd w:val="clear" w:color="auto" w:fill="FFFFFF"/>
        </w:rPr>
        <w:t xml:space="preserve">,5 Prozent), das </w:t>
      </w:r>
      <w:r w:rsidR="00ED5E60" w:rsidRPr="001B524E">
        <w:rPr>
          <w:rFonts w:ascii="Arial" w:hAnsi="Arial" w:cs="Arial"/>
          <w:shd w:val="clear" w:color="auto" w:fill="FFFFFF"/>
        </w:rPr>
        <w:t>verbleibend</w:t>
      </w:r>
      <w:r w:rsidRPr="001B524E">
        <w:rPr>
          <w:rFonts w:ascii="Arial" w:hAnsi="Arial" w:cs="Arial"/>
          <w:shd w:val="clear" w:color="auto" w:fill="FFFFFF"/>
        </w:rPr>
        <w:t>e Fünftel vom privaten Bereich (</w:t>
      </w:r>
      <w:r w:rsidR="00ED5E60" w:rsidRPr="001B524E">
        <w:rPr>
          <w:rFonts w:ascii="Arial" w:hAnsi="Arial" w:cs="Arial"/>
          <w:shd w:val="clear" w:color="auto" w:fill="FFFFFF"/>
        </w:rPr>
        <w:t>19</w:t>
      </w:r>
      <w:r w:rsidRPr="001B524E">
        <w:rPr>
          <w:rFonts w:ascii="Arial" w:hAnsi="Arial" w:cs="Arial"/>
          <w:shd w:val="clear" w:color="auto" w:fill="FFFFFF"/>
        </w:rPr>
        <w:t>,</w:t>
      </w:r>
      <w:r w:rsidR="00ED5E60" w:rsidRPr="001B524E">
        <w:rPr>
          <w:rFonts w:ascii="Arial" w:hAnsi="Arial" w:cs="Arial"/>
          <w:shd w:val="clear" w:color="auto" w:fill="FFFFFF"/>
        </w:rPr>
        <w:t>2</w:t>
      </w:r>
      <w:r w:rsidRPr="001B524E">
        <w:rPr>
          <w:rFonts w:ascii="Arial" w:hAnsi="Arial" w:cs="Arial"/>
          <w:shd w:val="clear" w:color="auto" w:fill="FFFFFF"/>
        </w:rPr>
        <w:t xml:space="preserve"> Prozent) sowie vom Ausland (0,3 Prozent). Der Bund finanziert, verteilt über alle Bildungsbereiche, </w:t>
      </w:r>
      <w:r w:rsidR="00ED5E60" w:rsidRPr="001B524E">
        <w:rPr>
          <w:rFonts w:ascii="Arial" w:hAnsi="Arial" w:cs="Arial"/>
          <w:shd w:val="clear" w:color="auto" w:fill="FFFFFF"/>
        </w:rPr>
        <w:t>10</w:t>
      </w:r>
      <w:r w:rsidRPr="001B524E">
        <w:rPr>
          <w:rFonts w:ascii="Arial" w:hAnsi="Arial" w:cs="Arial"/>
          <w:shd w:val="clear" w:color="auto" w:fill="FFFFFF"/>
        </w:rPr>
        <w:t>,</w:t>
      </w:r>
      <w:r w:rsidR="00ED5E60" w:rsidRPr="001B524E">
        <w:rPr>
          <w:rFonts w:ascii="Arial" w:hAnsi="Arial" w:cs="Arial"/>
          <w:shd w:val="clear" w:color="auto" w:fill="FFFFFF"/>
        </w:rPr>
        <w:t>1</w:t>
      </w:r>
      <w:r w:rsidRPr="001B524E">
        <w:rPr>
          <w:rFonts w:ascii="Arial" w:hAnsi="Arial" w:cs="Arial"/>
          <w:shd w:val="clear" w:color="auto" w:fill="FFFFFF"/>
        </w:rPr>
        <w:t xml:space="preserve"> Prozent der Bildungsausgaben, auf die Länder entfallen 52,</w:t>
      </w:r>
      <w:r w:rsidR="00ED5E60" w:rsidRPr="001B524E">
        <w:rPr>
          <w:rFonts w:ascii="Arial" w:hAnsi="Arial" w:cs="Arial"/>
          <w:shd w:val="clear" w:color="auto" w:fill="FFFFFF"/>
        </w:rPr>
        <w:t>8</w:t>
      </w:r>
      <w:r w:rsidRPr="001B524E">
        <w:rPr>
          <w:rFonts w:ascii="Arial" w:hAnsi="Arial" w:cs="Arial"/>
          <w:shd w:val="clear" w:color="auto" w:fill="FFFFFF"/>
        </w:rPr>
        <w:t xml:space="preserve"> Prozent, auf die Gemeinden 1</w:t>
      </w:r>
      <w:r w:rsidR="00ED5E60" w:rsidRPr="001B524E">
        <w:rPr>
          <w:rFonts w:ascii="Arial" w:hAnsi="Arial" w:cs="Arial"/>
          <w:shd w:val="clear" w:color="auto" w:fill="FFFFFF"/>
        </w:rPr>
        <w:t>7</w:t>
      </w:r>
      <w:r w:rsidRPr="001B524E">
        <w:rPr>
          <w:rFonts w:ascii="Arial" w:hAnsi="Arial" w:cs="Arial"/>
          <w:shd w:val="clear" w:color="auto" w:fill="FFFFFF"/>
        </w:rPr>
        <w:t>,</w:t>
      </w:r>
      <w:r w:rsidR="00ED5E60" w:rsidRPr="001B524E">
        <w:rPr>
          <w:rFonts w:ascii="Arial" w:hAnsi="Arial" w:cs="Arial"/>
          <w:shd w:val="clear" w:color="auto" w:fill="FFFFFF"/>
        </w:rPr>
        <w:t>6</w:t>
      </w:r>
      <w:r w:rsidRPr="001B524E">
        <w:rPr>
          <w:rFonts w:ascii="Arial" w:hAnsi="Arial" w:cs="Arial"/>
          <w:shd w:val="clear" w:color="auto" w:fill="FFFFFF"/>
        </w:rPr>
        <w:t xml:space="preserve"> Prozent.</w:t>
      </w:r>
    </w:p>
    <w:p w14:paraId="31934689" w14:textId="77777777" w:rsidR="00F56751" w:rsidRDefault="00F56751" w:rsidP="00CA5D69">
      <w:pPr>
        <w:rPr>
          <w:rFonts w:ascii="Arial" w:hAnsi="Arial" w:cs="Arial"/>
          <w:shd w:val="clear" w:color="auto" w:fill="FFFFFF"/>
        </w:rPr>
      </w:pPr>
    </w:p>
    <w:p w14:paraId="7A05BB73" w14:textId="77777777" w:rsidR="00CA5D69" w:rsidRPr="00CA5D69" w:rsidRDefault="00CA5D69" w:rsidP="00CA5D69">
      <w:pPr>
        <w:rPr>
          <w:rFonts w:ascii="Arial" w:hAnsi="Arial"/>
          <w:color w:val="FF0000"/>
        </w:rPr>
      </w:pPr>
      <w:r w:rsidRPr="00CA5D69">
        <w:rPr>
          <w:rFonts w:ascii="Arial" w:hAnsi="Arial"/>
          <w:color w:val="FF0000"/>
        </w:rPr>
        <w:t>Datenquelle</w:t>
      </w:r>
    </w:p>
    <w:p w14:paraId="48F52822" w14:textId="77777777" w:rsidR="00130C1E" w:rsidRPr="009A357C" w:rsidRDefault="00130C1E" w:rsidP="00130C1E">
      <w:pPr>
        <w:rPr>
          <w:rFonts w:ascii="Arial" w:hAnsi="Arial" w:cs="Arial"/>
          <w:shd w:val="clear" w:color="auto" w:fill="FFFFFF"/>
        </w:rPr>
      </w:pPr>
    </w:p>
    <w:p w14:paraId="001175D9" w14:textId="77777777" w:rsidR="00670B9F" w:rsidRPr="009A357C" w:rsidRDefault="00F75456" w:rsidP="00130C1E">
      <w:pPr>
        <w:rPr>
          <w:rFonts w:ascii="Arial" w:hAnsi="Arial" w:cs="Arial"/>
          <w:shd w:val="clear" w:color="auto" w:fill="FFFFFF"/>
        </w:rPr>
      </w:pPr>
      <w:r w:rsidRPr="009A357C">
        <w:rPr>
          <w:rFonts w:ascii="Arial" w:hAnsi="Arial" w:cs="Arial"/>
          <w:shd w:val="clear" w:color="auto" w:fill="FFFFFF"/>
        </w:rPr>
        <w:t>Statistisches Bundesamt: Bildungsausgaben</w:t>
      </w:r>
      <w:r w:rsidR="005A0627">
        <w:rPr>
          <w:rFonts w:ascii="Arial" w:hAnsi="Arial" w:cs="Arial"/>
          <w:shd w:val="clear" w:color="auto" w:fill="FFFFFF"/>
        </w:rPr>
        <w:t xml:space="preserve"> – </w:t>
      </w:r>
      <w:r w:rsidRPr="009A357C">
        <w:rPr>
          <w:rFonts w:ascii="Arial" w:hAnsi="Arial" w:cs="Arial"/>
          <w:shd w:val="clear" w:color="auto" w:fill="FFFFFF"/>
        </w:rPr>
        <w:t>Budget für Bildung, Forschung und Wissenschaft 201</w:t>
      </w:r>
      <w:r w:rsidR="009A357C" w:rsidRPr="009A357C">
        <w:rPr>
          <w:rFonts w:ascii="Arial" w:hAnsi="Arial" w:cs="Arial"/>
          <w:shd w:val="clear" w:color="auto" w:fill="FFFFFF"/>
        </w:rPr>
        <w:t>1</w:t>
      </w:r>
      <w:r w:rsidRPr="009A357C">
        <w:rPr>
          <w:rFonts w:ascii="Arial" w:hAnsi="Arial" w:cs="Arial"/>
          <w:shd w:val="clear" w:color="auto" w:fill="FFFFFF"/>
        </w:rPr>
        <w:t>/201</w:t>
      </w:r>
      <w:r w:rsidR="009A357C" w:rsidRPr="009A357C">
        <w:rPr>
          <w:rFonts w:ascii="Arial" w:hAnsi="Arial" w:cs="Arial"/>
          <w:shd w:val="clear" w:color="auto" w:fill="FFFFFF"/>
        </w:rPr>
        <w:t>2 und 2018/2019; GENESIS-Online: </w:t>
      </w:r>
      <w:r w:rsidR="00787597" w:rsidRPr="00787597">
        <w:rPr>
          <w:rFonts w:ascii="Arial" w:hAnsi="Arial" w:cs="Arial"/>
          <w:shd w:val="clear" w:color="auto" w:fill="FFFFFF"/>
        </w:rPr>
        <w:t>Budget für Bildung, Forschung und Wissenschaft</w:t>
      </w:r>
      <w:r w:rsidR="00787597">
        <w:rPr>
          <w:rFonts w:ascii="Arial" w:hAnsi="Arial" w:cs="Arial"/>
          <w:shd w:val="clear" w:color="auto" w:fill="FFFFFF"/>
        </w:rPr>
        <w:t xml:space="preserve"> 2010 bis 2019</w:t>
      </w:r>
    </w:p>
    <w:p w14:paraId="38E2C2F9" w14:textId="77777777" w:rsidR="00F75456" w:rsidRPr="009A357C" w:rsidRDefault="00F75456" w:rsidP="00130C1E">
      <w:pPr>
        <w:rPr>
          <w:rFonts w:ascii="Arial" w:hAnsi="Arial" w:cs="Arial"/>
          <w:shd w:val="clear" w:color="auto" w:fill="FFFFFF"/>
        </w:rPr>
      </w:pPr>
    </w:p>
    <w:p w14:paraId="6E5EACB0" w14:textId="77777777" w:rsidR="00CA5D69" w:rsidRPr="00CA5D69" w:rsidRDefault="00CA5D69" w:rsidP="00CA5D69">
      <w:pPr>
        <w:rPr>
          <w:rFonts w:ascii="Arial" w:hAnsi="Arial"/>
          <w:color w:val="FF0000"/>
        </w:rPr>
      </w:pPr>
      <w:r w:rsidRPr="00CA5D69">
        <w:rPr>
          <w:rFonts w:ascii="Arial" w:hAnsi="Arial"/>
          <w:color w:val="FF0000"/>
        </w:rPr>
        <w:t>Begriffe, methodische Anmerkungen oder Lesehilfen</w:t>
      </w:r>
    </w:p>
    <w:p w14:paraId="4113C86F" w14:textId="77777777" w:rsidR="00130C1E" w:rsidRPr="00B8762E" w:rsidRDefault="00130C1E" w:rsidP="00130C1E">
      <w:pPr>
        <w:rPr>
          <w:rFonts w:ascii="Arial" w:hAnsi="Arial" w:cs="Arial"/>
          <w:shd w:val="clear" w:color="auto" w:fill="FFFFFF"/>
        </w:rPr>
      </w:pPr>
    </w:p>
    <w:p w14:paraId="2EFD24C4" w14:textId="77777777" w:rsidR="00F56751" w:rsidRDefault="00F75456" w:rsidP="009A5C39">
      <w:pPr>
        <w:rPr>
          <w:rFonts w:ascii="Arial" w:hAnsi="Arial" w:cs="Arial"/>
          <w:shd w:val="clear" w:color="auto" w:fill="FFFFFF"/>
        </w:rPr>
      </w:pPr>
      <w:r w:rsidRPr="00737F37">
        <w:rPr>
          <w:rFonts w:ascii="Arial" w:hAnsi="Arial" w:cs="Arial"/>
          <w:shd w:val="clear" w:color="auto" w:fill="FFFFFF"/>
        </w:rPr>
        <w:t>Das </w:t>
      </w:r>
      <w:r w:rsidRPr="00737F37">
        <w:rPr>
          <w:rStyle w:val="Fett"/>
          <w:rFonts w:ascii="Arial" w:hAnsi="Arial" w:cs="Arial"/>
          <w:shd w:val="clear" w:color="auto" w:fill="FFFFFF"/>
        </w:rPr>
        <w:t>Bildungsbudget </w:t>
      </w:r>
      <w:r w:rsidRPr="00737F37">
        <w:rPr>
          <w:rFonts w:ascii="Arial" w:hAnsi="Arial" w:cs="Arial"/>
          <w:shd w:val="clear" w:color="auto" w:fill="FFFFFF"/>
        </w:rPr>
        <w:t xml:space="preserve">fasst als Gesamtrechnungssystem die Ausgaben für Bildung zusammen </w:t>
      </w:r>
      <w:r w:rsidR="00737F37" w:rsidRPr="00737F37">
        <w:rPr>
          <w:rFonts w:ascii="Arial" w:hAnsi="Arial" w:cs="Arial"/>
          <w:shd w:val="clear" w:color="auto" w:fill="FFFFFF"/>
        </w:rPr>
        <w:t>und zeigt die Finanzierungsbeiträge der öffentlichen Haushalte (Bund, Länder, Gemeinden), des privaten Bereichs (Unternehmen, private Haushalte, private Organisationen ohne Erwerbszweck) sowie des Auslands.</w:t>
      </w:r>
      <w:r w:rsidR="00F56751">
        <w:rPr>
          <w:rFonts w:ascii="Arial" w:hAnsi="Arial" w:cs="Arial"/>
          <w:shd w:val="clear" w:color="auto" w:fill="FFFFFF"/>
        </w:rPr>
        <w:t xml:space="preserve"> </w:t>
      </w:r>
      <w:r w:rsidRPr="009A5C39">
        <w:rPr>
          <w:rFonts w:ascii="Arial" w:hAnsi="Arial" w:cs="Arial"/>
          <w:shd w:val="clear" w:color="auto" w:fill="FFFFFF"/>
        </w:rPr>
        <w:t>Das Bildungsbudget besteht aus einem international abgegrenzten Teilbereich und aus zusätzlichen bildungsrelevanten Ausgaben in nationaler Abgrenzung.</w:t>
      </w:r>
    </w:p>
    <w:p w14:paraId="40782FE5" w14:textId="77777777" w:rsidR="00F56751" w:rsidRDefault="00F56751" w:rsidP="009A5C39">
      <w:pPr>
        <w:rPr>
          <w:rFonts w:ascii="Arial" w:hAnsi="Arial" w:cs="Arial"/>
          <w:shd w:val="clear" w:color="auto" w:fill="FFFFFF"/>
        </w:rPr>
      </w:pPr>
    </w:p>
    <w:p w14:paraId="5DD242F9" w14:textId="77777777" w:rsidR="00F75456" w:rsidRDefault="00F75456" w:rsidP="00F75456">
      <w:pPr>
        <w:rPr>
          <w:rFonts w:ascii="Arial" w:hAnsi="Arial" w:cs="Arial"/>
          <w:shd w:val="clear" w:color="auto" w:fill="FFFFFF"/>
        </w:rPr>
      </w:pPr>
      <w:r w:rsidRPr="00F4426E">
        <w:rPr>
          <w:rFonts w:ascii="Arial" w:hAnsi="Arial" w:cs="Arial"/>
          <w:shd w:val="clear" w:color="auto" w:fill="FFFFFF"/>
        </w:rPr>
        <w:t>Die </w:t>
      </w:r>
      <w:r w:rsidRPr="00F4426E">
        <w:rPr>
          <w:rStyle w:val="Fett"/>
          <w:rFonts w:ascii="Arial" w:hAnsi="Arial" w:cs="Arial"/>
          <w:shd w:val="clear" w:color="auto" w:fill="FFFFFF"/>
        </w:rPr>
        <w:t>Ausgaben für das Bildungsbudget in internationaler Abgrenzung</w:t>
      </w:r>
      <w:r w:rsidRPr="00F4426E">
        <w:rPr>
          <w:rFonts w:ascii="Arial" w:hAnsi="Arial" w:cs="Arial"/>
          <w:shd w:val="clear" w:color="auto" w:fill="FFFFFF"/>
        </w:rPr>
        <w:t> stellen mit Abstand den größten Posten des Gesamtbudgets dar. Sie umfassen die Ausgaben für das formale Bildungssystem. Dazu zählen:</w:t>
      </w:r>
    </w:p>
    <w:p w14:paraId="6660420A" w14:textId="77777777" w:rsidR="002D6DC9" w:rsidRPr="004E1FA0" w:rsidRDefault="002D6DC9" w:rsidP="00F75456">
      <w:pPr>
        <w:rPr>
          <w:rFonts w:ascii="Arial" w:hAnsi="Arial" w:cs="Arial"/>
          <w:shd w:val="clear" w:color="auto" w:fill="FFFFFF"/>
        </w:rPr>
      </w:pPr>
    </w:p>
    <w:p w14:paraId="15D275F1" w14:textId="77777777" w:rsidR="00F75456" w:rsidRPr="004E1FA0" w:rsidRDefault="00F75456" w:rsidP="007D7A50">
      <w:pPr>
        <w:pStyle w:val="Listenabsatz"/>
        <w:numPr>
          <w:ilvl w:val="0"/>
          <w:numId w:val="2"/>
        </w:numPr>
        <w:rPr>
          <w:rFonts w:ascii="Arial" w:hAnsi="Arial" w:cs="Arial"/>
          <w:shd w:val="clear" w:color="auto" w:fill="FFFFFF"/>
        </w:rPr>
      </w:pPr>
      <w:r w:rsidRPr="004E1FA0">
        <w:rPr>
          <w:rFonts w:ascii="Arial" w:hAnsi="Arial" w:cs="Arial"/>
          <w:shd w:val="clear" w:color="auto" w:fill="FFFFFF"/>
        </w:rPr>
        <w:t xml:space="preserve">direkte Ausgaben für Bildungseinrichtungen – also </w:t>
      </w:r>
      <w:r w:rsidR="007D7A50" w:rsidRPr="004E1FA0">
        <w:rPr>
          <w:rFonts w:ascii="Arial" w:hAnsi="Arial" w:cs="Arial"/>
          <w:shd w:val="clear" w:color="auto" w:fill="FFFFFF"/>
        </w:rPr>
        <w:t xml:space="preserve">Krippen, </w:t>
      </w:r>
      <w:r w:rsidRPr="004E1FA0">
        <w:rPr>
          <w:rFonts w:ascii="Arial" w:hAnsi="Arial" w:cs="Arial"/>
          <w:shd w:val="clear" w:color="auto" w:fill="FFFFFF"/>
        </w:rPr>
        <w:t>Kindergärten, Schulen, Ausbildungsbetriebe, Hochschulen (darunter Ausgaben in den Bereichen Personal, Lehr-/Lernmittel, Heizung, Elektrizität, Reinigung, Erhaltung und Bau von Gebäuden sowie Ausgaben an Hochschulen für Forschung und Entwicklung</w:t>
      </w:r>
      <w:r w:rsidR="007D7A50" w:rsidRPr="004E1FA0">
        <w:rPr>
          <w:rFonts w:ascii="Arial" w:hAnsi="Arial" w:cs="Arial"/>
          <w:shd w:val="clear" w:color="auto" w:fill="FFFFFF"/>
        </w:rPr>
        <w:t>)</w:t>
      </w:r>
      <w:r w:rsidRPr="004E1FA0">
        <w:rPr>
          <w:rFonts w:ascii="Arial" w:hAnsi="Arial" w:cs="Arial"/>
          <w:shd w:val="clear" w:color="auto" w:fill="FFFFFF"/>
        </w:rPr>
        <w:t>,</w:t>
      </w:r>
    </w:p>
    <w:p w14:paraId="46035F24" w14:textId="77777777" w:rsidR="00F75456" w:rsidRPr="004E1FA0" w:rsidRDefault="00F75456" w:rsidP="00CD3A36">
      <w:pPr>
        <w:pStyle w:val="Listenabsatz"/>
        <w:numPr>
          <w:ilvl w:val="0"/>
          <w:numId w:val="2"/>
        </w:numPr>
        <w:rPr>
          <w:rFonts w:ascii="Arial" w:hAnsi="Arial" w:cs="Arial"/>
          <w:shd w:val="clear" w:color="auto" w:fill="FFFFFF"/>
        </w:rPr>
      </w:pPr>
      <w:r w:rsidRPr="004E1FA0">
        <w:rPr>
          <w:rFonts w:ascii="Arial" w:hAnsi="Arial" w:cs="Arial"/>
          <w:shd w:val="clear" w:color="auto" w:fill="FFFFFF"/>
        </w:rPr>
        <w:t xml:space="preserve">Ausgaben für Bildungsdienste und </w:t>
      </w:r>
      <w:r w:rsidR="007D7A50" w:rsidRPr="004E1FA0">
        <w:rPr>
          <w:rFonts w:ascii="Arial" w:hAnsi="Arial" w:cs="Arial"/>
          <w:shd w:val="clear" w:color="auto" w:fill="FFFFFF"/>
        </w:rPr>
        <w:t>-g</w:t>
      </w:r>
      <w:r w:rsidRPr="004E1FA0">
        <w:rPr>
          <w:rFonts w:ascii="Arial" w:hAnsi="Arial" w:cs="Arial"/>
          <w:shd w:val="clear" w:color="auto" w:fill="FFFFFF"/>
        </w:rPr>
        <w:t xml:space="preserve">üter außerhalb von Bildungseinrichtungen (darunter Ausgaben der Bildungsteilnehmenden </w:t>
      </w:r>
      <w:r w:rsidR="00CD3A36" w:rsidRPr="004E1FA0">
        <w:rPr>
          <w:rFonts w:ascii="Arial" w:hAnsi="Arial" w:cs="Arial"/>
          <w:shd w:val="clear" w:color="auto" w:fill="FFFFFF"/>
        </w:rPr>
        <w:t xml:space="preserve">bzw. ihrer Eltern </w:t>
      </w:r>
      <w:r w:rsidRPr="004E1FA0">
        <w:rPr>
          <w:rFonts w:ascii="Arial" w:hAnsi="Arial" w:cs="Arial"/>
          <w:shd w:val="clear" w:color="auto" w:fill="FFFFFF"/>
        </w:rPr>
        <w:t>zum Beispiel für Nachhilfeunterricht, Anschaffung von Taschenrechnern, Büchern, Schreibwaren),</w:t>
      </w:r>
    </w:p>
    <w:p w14:paraId="0A65B196" w14:textId="77777777" w:rsidR="00F56751" w:rsidRPr="004E1FA0" w:rsidRDefault="00F75456" w:rsidP="00F56751">
      <w:pPr>
        <w:pStyle w:val="Listenabsatz"/>
        <w:numPr>
          <w:ilvl w:val="0"/>
          <w:numId w:val="2"/>
        </w:numPr>
        <w:rPr>
          <w:rFonts w:ascii="Arial" w:hAnsi="Arial" w:cs="Arial"/>
          <w:shd w:val="clear" w:color="auto" w:fill="FFFFFF"/>
        </w:rPr>
      </w:pPr>
      <w:r w:rsidRPr="004E1FA0">
        <w:rPr>
          <w:rFonts w:ascii="Arial" w:hAnsi="Arial" w:cs="Arial"/>
          <w:shd w:val="clear" w:color="auto" w:fill="FFFFFF"/>
        </w:rPr>
        <w:t>Ausgaben für die Förderung der Teilnehmenden an formalen Bildungsprogrammen (zum Beispiel BAföG</w:t>
      </w:r>
      <w:r w:rsidR="00CD3A36" w:rsidRPr="004E1FA0">
        <w:rPr>
          <w:rFonts w:ascii="Arial" w:hAnsi="Arial" w:cs="Arial"/>
          <w:shd w:val="clear" w:color="auto" w:fill="FFFFFF"/>
        </w:rPr>
        <w:t xml:space="preserve"> oder </w:t>
      </w:r>
      <w:r w:rsidRPr="004E1FA0">
        <w:rPr>
          <w:rFonts w:ascii="Arial" w:hAnsi="Arial" w:cs="Arial"/>
          <w:shd w:val="clear" w:color="auto" w:fill="FFFFFF"/>
        </w:rPr>
        <w:t>Kindergeld für volljährige Bildungsteilnehmende).</w:t>
      </w:r>
    </w:p>
    <w:p w14:paraId="7A5A823C" w14:textId="77777777" w:rsidR="00F56751" w:rsidRPr="004E1FA0" w:rsidRDefault="00F56751" w:rsidP="00EC1AB9">
      <w:pPr>
        <w:rPr>
          <w:rFonts w:ascii="Arial" w:hAnsi="Arial" w:cs="Arial"/>
          <w:shd w:val="clear" w:color="auto" w:fill="FFFFFF"/>
        </w:rPr>
      </w:pPr>
    </w:p>
    <w:p w14:paraId="7D432138" w14:textId="77777777" w:rsidR="00EC1AB9" w:rsidRDefault="002D6DC9" w:rsidP="00EC1AB9">
      <w:pPr>
        <w:rPr>
          <w:rFonts w:ascii="Arial" w:hAnsi="Arial" w:cs="Arial"/>
          <w:shd w:val="clear" w:color="auto" w:fill="FFFFFF"/>
        </w:rPr>
      </w:pPr>
      <w:r w:rsidRPr="002D6DC9">
        <w:rPr>
          <w:rFonts w:ascii="Arial" w:hAnsi="Arial" w:cs="Arial"/>
          <w:shd w:val="clear" w:color="auto" w:fill="FFFFFF"/>
        </w:rPr>
        <w:t>Die Abgrenzung des internationalen Teils orientiert sich an der internationalen Standardklassifika</w:t>
      </w:r>
      <w:r w:rsidR="00EC1AB9">
        <w:rPr>
          <w:rFonts w:ascii="Arial" w:hAnsi="Arial" w:cs="Arial"/>
          <w:shd w:val="clear" w:color="auto" w:fill="FFFFFF"/>
        </w:rPr>
        <w:t xml:space="preserve">tion des Bildungswesens (ISCED). </w:t>
      </w:r>
      <w:r w:rsidR="00EC1AB9" w:rsidRPr="00EC1AB9">
        <w:rPr>
          <w:rFonts w:ascii="Arial" w:hAnsi="Arial" w:cs="Arial"/>
          <w:shd w:val="clear" w:color="auto" w:fill="FFFFFF"/>
        </w:rPr>
        <w:t xml:space="preserve">Ausführliche Informationen zur </w:t>
      </w:r>
      <w:r w:rsidR="00EC1AB9" w:rsidRPr="00EC1AB9">
        <w:rPr>
          <w:rFonts w:ascii="Arial" w:hAnsi="Arial" w:cs="Arial"/>
          <w:b/>
          <w:shd w:val="clear" w:color="auto" w:fill="FFFFFF"/>
        </w:rPr>
        <w:t>ISCED-Klassifikation</w:t>
      </w:r>
      <w:r w:rsidR="00EC1AB9" w:rsidRPr="00EC1AB9">
        <w:rPr>
          <w:rFonts w:ascii="Arial" w:hAnsi="Arial" w:cs="Arial"/>
          <w:shd w:val="clear" w:color="auto" w:fill="FFFFFF"/>
        </w:rPr>
        <w:t xml:space="preserve"> (International Standard Classification of Education) erhalten Sie bei Eurostat:</w:t>
      </w:r>
    </w:p>
    <w:p w14:paraId="135E5111" w14:textId="77777777" w:rsidR="00EC1AB9" w:rsidRDefault="009E3447" w:rsidP="00EC1AB9">
      <w:pPr>
        <w:rPr>
          <w:rStyle w:val="Fett"/>
          <w:rFonts w:ascii="Arial" w:hAnsi="Arial" w:cs="Arial"/>
          <w:i/>
          <w:shd w:val="clear" w:color="auto" w:fill="FFFFFF"/>
        </w:rPr>
      </w:pPr>
      <w:hyperlink r:id="rId7" w:history="1">
        <w:r w:rsidR="00EC1AB9" w:rsidRPr="00A96418">
          <w:rPr>
            <w:rStyle w:val="Hyperlink"/>
            <w:rFonts w:ascii="Arial" w:hAnsi="Arial" w:cs="Arial"/>
            <w:shd w:val="clear" w:color="auto" w:fill="FFFFFF"/>
          </w:rPr>
          <w:t>https://ec.europa.eu/eurostat/statistics-explained/index.php?title=Glossary:International_standard_classification_of_education_(ISCED)/de</w:t>
        </w:r>
      </w:hyperlink>
    </w:p>
    <w:p w14:paraId="2458A60F" w14:textId="77777777" w:rsidR="00F56751" w:rsidRPr="00F56751" w:rsidRDefault="00F56751" w:rsidP="00E1173E">
      <w:pPr>
        <w:rPr>
          <w:rFonts w:ascii="Arial" w:hAnsi="Arial" w:cs="Arial"/>
          <w:shd w:val="clear" w:color="auto" w:fill="FFFFFF"/>
        </w:rPr>
      </w:pPr>
      <w:bookmarkStart w:id="1" w:name="non-formalen_Weiterbildungsmaßnahmen"/>
      <w:bookmarkEnd w:id="1"/>
    </w:p>
    <w:p w14:paraId="77E75FB8" w14:textId="77777777" w:rsidR="00B8762E" w:rsidRDefault="00F75456" w:rsidP="00E1173E">
      <w:pPr>
        <w:rPr>
          <w:rFonts w:ascii="Arial" w:hAnsi="Arial" w:cs="Arial"/>
          <w:shd w:val="clear" w:color="auto" w:fill="FFFFFF"/>
        </w:rPr>
      </w:pPr>
      <w:r w:rsidRPr="00E1173E">
        <w:rPr>
          <w:rFonts w:ascii="Arial" w:hAnsi="Arial" w:cs="Arial"/>
          <w:shd w:val="clear" w:color="auto" w:fill="FFFFFF"/>
        </w:rPr>
        <w:t>Ergänzend zum internationalen Teil werden in das Bildungsbudget auch </w:t>
      </w:r>
      <w:r w:rsidRPr="00B971B7">
        <w:rPr>
          <w:rStyle w:val="Fett"/>
          <w:rFonts w:ascii="Arial" w:hAnsi="Arial" w:cs="Arial"/>
          <w:shd w:val="clear" w:color="auto" w:fill="FFFFFF"/>
        </w:rPr>
        <w:t>zusätzliche</w:t>
      </w:r>
      <w:r w:rsidRPr="00E1173E">
        <w:rPr>
          <w:rStyle w:val="Fett"/>
          <w:rFonts w:ascii="Arial" w:hAnsi="Arial" w:cs="Arial"/>
          <w:shd w:val="clear" w:color="auto" w:fill="FFFFFF"/>
        </w:rPr>
        <w:t xml:space="preserve"> Ausgaben in nationaler Abgrenzung</w:t>
      </w:r>
      <w:r w:rsidRPr="00B971B7">
        <w:rPr>
          <w:rStyle w:val="Fett"/>
        </w:rPr>
        <w:t> </w:t>
      </w:r>
      <w:r w:rsidRPr="00E1173E">
        <w:rPr>
          <w:rFonts w:ascii="Arial" w:hAnsi="Arial" w:cs="Arial"/>
          <w:shd w:val="clear" w:color="auto" w:fill="FFFFFF"/>
        </w:rPr>
        <w:t>einbezogen. Sie umfassen Ausgaben für non-formale Bildungseinrichtungen wie die Ausgaben für Horte, betriebliche Weiterbildung, Volkshochschulen, Einrichtungen der Lehrerfortbildung, Einrichtungen der Jugendarbeit</w:t>
      </w:r>
      <w:r w:rsidR="007D7A50">
        <w:rPr>
          <w:rFonts w:ascii="Arial" w:hAnsi="Arial" w:cs="Arial"/>
          <w:shd w:val="clear" w:color="auto" w:fill="FFFFFF"/>
        </w:rPr>
        <w:t xml:space="preserve"> </w:t>
      </w:r>
      <w:r w:rsidR="007D7A50" w:rsidRPr="007D7A50">
        <w:rPr>
          <w:rFonts w:ascii="Arial" w:hAnsi="Arial" w:cs="Arial"/>
          <w:shd w:val="clear" w:color="auto" w:fill="FFFFFF"/>
        </w:rPr>
        <w:t>und Ähnliches</w:t>
      </w:r>
      <w:r w:rsidRPr="00E1173E">
        <w:rPr>
          <w:rFonts w:ascii="Arial" w:hAnsi="Arial" w:cs="Arial"/>
          <w:shd w:val="clear" w:color="auto" w:fill="FFFFFF"/>
        </w:rPr>
        <w:t>. Zudem wird auch für den non-formalen Teilbereich des Bildungsbudgets die Förderung von Teilnehmenden an</w:t>
      </w:r>
      <w:r w:rsidR="00960BD1">
        <w:rPr>
          <w:rFonts w:ascii="Arial" w:hAnsi="Arial" w:cs="Arial"/>
          <w:shd w:val="clear" w:color="auto" w:fill="FFFFFF"/>
        </w:rPr>
        <w:t xml:space="preserve"> </w:t>
      </w:r>
      <w:r w:rsidRPr="00E1173E">
        <w:rPr>
          <w:rFonts w:ascii="Arial" w:hAnsi="Arial" w:cs="Arial"/>
          <w:shd w:val="clear" w:color="auto" w:fill="FFFFFF"/>
        </w:rPr>
        <w:t>Weiterbildungsmaßnahmen erfasst.</w:t>
      </w:r>
    </w:p>
    <w:p w14:paraId="0250009F" w14:textId="77777777" w:rsidR="00B8762E" w:rsidRDefault="00B8762E" w:rsidP="00E1173E">
      <w:pPr>
        <w:rPr>
          <w:rFonts w:ascii="Arial" w:hAnsi="Arial" w:cs="Arial"/>
          <w:shd w:val="clear" w:color="auto" w:fill="FFFFFF"/>
        </w:rPr>
      </w:pPr>
    </w:p>
    <w:p w14:paraId="52348118" w14:textId="77777777" w:rsidR="00B8762E" w:rsidRDefault="00F75456" w:rsidP="00EC1AB9">
      <w:pPr>
        <w:rPr>
          <w:rFonts w:ascii="Arial" w:hAnsi="Arial" w:cs="Arial"/>
          <w:shd w:val="clear" w:color="auto" w:fill="FFFFFF"/>
        </w:rPr>
      </w:pPr>
      <w:r w:rsidRPr="00D70359">
        <w:rPr>
          <w:rFonts w:ascii="Arial" w:hAnsi="Arial" w:cs="Arial"/>
          <w:shd w:val="clear" w:color="auto" w:fill="FFFFFF"/>
        </w:rPr>
        <w:t>Bei der Analyse der Ausgaben wird zwischen der </w:t>
      </w:r>
      <w:r w:rsidRPr="00D70359">
        <w:rPr>
          <w:rStyle w:val="Fett"/>
          <w:rFonts w:ascii="Arial" w:hAnsi="Arial" w:cs="Arial"/>
          <w:shd w:val="clear" w:color="auto" w:fill="FFFFFF"/>
        </w:rPr>
        <w:t>Durchführungs- und Finanzierungsbetrachtung</w:t>
      </w:r>
      <w:r w:rsidRPr="00D70359">
        <w:rPr>
          <w:rFonts w:ascii="Arial" w:hAnsi="Arial" w:cs="Arial"/>
          <w:shd w:val="clear" w:color="auto" w:fill="FFFFFF"/>
        </w:rPr>
        <w:t xml:space="preserve"> unterschieden. Bei der Durchführungsbetrachtung wird danach gefragt, </w:t>
      </w:r>
      <w:r w:rsidR="00D57CAF" w:rsidRPr="00D70359">
        <w:rPr>
          <w:rFonts w:ascii="Arial" w:hAnsi="Arial" w:cs="Arial"/>
          <w:shd w:val="clear" w:color="auto" w:fill="FFFFFF"/>
        </w:rPr>
        <w:t xml:space="preserve">in </w:t>
      </w:r>
      <w:r w:rsidRPr="00D70359">
        <w:rPr>
          <w:rFonts w:ascii="Arial" w:hAnsi="Arial" w:cs="Arial"/>
          <w:shd w:val="clear" w:color="auto" w:fill="FFFFFF"/>
        </w:rPr>
        <w:t>welche</w:t>
      </w:r>
      <w:r w:rsidR="00D57CAF" w:rsidRPr="00D70359">
        <w:rPr>
          <w:rFonts w:ascii="Arial" w:hAnsi="Arial" w:cs="Arial"/>
          <w:shd w:val="clear" w:color="auto" w:fill="FFFFFF"/>
        </w:rPr>
        <w:t xml:space="preserve">m </w:t>
      </w:r>
      <w:r w:rsidRPr="00D70359">
        <w:rPr>
          <w:rFonts w:ascii="Arial" w:hAnsi="Arial" w:cs="Arial"/>
          <w:shd w:val="clear" w:color="auto" w:fill="FFFFFF"/>
        </w:rPr>
        <w:t xml:space="preserve">Bereich </w:t>
      </w:r>
      <w:r w:rsidR="00D57CAF" w:rsidRPr="00D70359">
        <w:rPr>
          <w:rFonts w:ascii="Arial" w:hAnsi="Arial" w:cs="Arial"/>
          <w:shd w:val="clear" w:color="auto" w:fill="FFFFFF"/>
        </w:rPr>
        <w:t xml:space="preserve">und mit welchem Ergebnis </w:t>
      </w:r>
      <w:r w:rsidRPr="00D70359">
        <w:rPr>
          <w:rFonts w:ascii="Arial" w:hAnsi="Arial" w:cs="Arial"/>
          <w:shd w:val="clear" w:color="auto" w:fill="FFFFFF"/>
        </w:rPr>
        <w:t>die Bildungs-, Forschungs- und Wissenschaftsleistungen erbr</w:t>
      </w:r>
      <w:r w:rsidR="00D57CAF" w:rsidRPr="00D70359">
        <w:rPr>
          <w:rFonts w:ascii="Arial" w:hAnsi="Arial" w:cs="Arial"/>
          <w:shd w:val="clear" w:color="auto" w:fill="FFFFFF"/>
        </w:rPr>
        <w:t>acht werden</w:t>
      </w:r>
      <w:r w:rsidRPr="00D70359">
        <w:rPr>
          <w:rFonts w:ascii="Arial" w:hAnsi="Arial" w:cs="Arial"/>
          <w:shd w:val="clear" w:color="auto" w:fill="FFFFFF"/>
        </w:rPr>
        <w:t>. Bei der Finanzierungsbetrachtung geht es darum, wer die Ausgaben für Bildung, Forschung und Wissenschaft finanziert.</w:t>
      </w:r>
    </w:p>
    <w:p w14:paraId="43494B70" w14:textId="77777777" w:rsidR="00B8762E" w:rsidRDefault="00B8762E" w:rsidP="00EC1AB9">
      <w:pPr>
        <w:rPr>
          <w:rFonts w:ascii="Arial" w:hAnsi="Arial" w:cs="Arial"/>
          <w:shd w:val="clear" w:color="auto" w:fill="FFFFFF"/>
        </w:rPr>
      </w:pPr>
    </w:p>
    <w:p w14:paraId="6DDFF0BC" w14:textId="77777777" w:rsidR="004A3B31" w:rsidRPr="00B8762E" w:rsidRDefault="004A3B31" w:rsidP="00EC1AB9">
      <w:pPr>
        <w:rPr>
          <w:rFonts w:ascii="Arial" w:hAnsi="Arial" w:cs="Arial"/>
          <w:shd w:val="clear" w:color="auto" w:fill="FFFFFF"/>
        </w:rPr>
      </w:pPr>
      <w:r w:rsidRPr="00B8762E">
        <w:rPr>
          <w:rFonts w:ascii="Arial" w:hAnsi="Arial" w:cs="Arial"/>
          <w:shd w:val="clear" w:color="auto" w:fill="FFFFFF"/>
        </w:rPr>
        <w:t>Das</w:t>
      </w:r>
      <w:r w:rsidRPr="00F15A32">
        <w:rPr>
          <w:rFonts w:ascii="Arial" w:hAnsi="Arial"/>
        </w:rPr>
        <w:t xml:space="preserve"> </w:t>
      </w:r>
      <w:r w:rsidRPr="00F15A32">
        <w:rPr>
          <w:rFonts w:ascii="Arial" w:hAnsi="Arial"/>
          <w:b/>
        </w:rPr>
        <w:t>Bruttoinlandsprodukt (BIP)</w:t>
      </w:r>
      <w:r w:rsidRPr="00F15A32">
        <w:rPr>
          <w:rFonts w:ascii="Arial" w:hAnsi="Arial"/>
        </w:rPr>
        <w:t xml:space="preserve"> </w:t>
      </w:r>
      <w:r w:rsidRPr="00B8762E">
        <w:rPr>
          <w:rFonts w:ascii="Arial" w:hAnsi="Arial" w:cs="Arial"/>
          <w:shd w:val="clear" w:color="auto" w:fill="FFFFFF"/>
        </w:rPr>
        <w:t>misst den Wert der im Inland hergestellten Waren und Dienstleistungen (Wertschöpfung), soweit diese nicht als Vorleistungen für die Produktion anderer Waren und Dienstleistungen verwendet werden. Das BIP ist gegenwärtig das wichtigste gesamtwirtschaftliche Produktionsmaß.</w:t>
      </w:r>
    </w:p>
    <w:p w14:paraId="43234F76" w14:textId="77777777" w:rsidR="00B8762E" w:rsidRPr="004E1FA0" w:rsidRDefault="00B8762E" w:rsidP="00EC1AB9">
      <w:pPr>
        <w:rPr>
          <w:rFonts w:ascii="Arial" w:hAnsi="Arial" w:cs="Arial"/>
          <w:shd w:val="clear" w:color="auto" w:fill="FFFFFF"/>
        </w:rPr>
      </w:pPr>
    </w:p>
    <w:p w14:paraId="3CAC42C0" w14:textId="77777777" w:rsidR="001B7D15" w:rsidRPr="004E1FA0" w:rsidRDefault="001B7D15" w:rsidP="001B7D15">
      <w:pPr>
        <w:rPr>
          <w:rFonts w:ascii="Arial" w:hAnsi="Arial" w:cs="Arial"/>
          <w:sz w:val="20"/>
          <w:szCs w:val="20"/>
        </w:rPr>
      </w:pPr>
      <w:r w:rsidRPr="004E1FA0">
        <w:rPr>
          <w:rFonts w:ascii="Arial" w:hAnsi="Arial" w:cs="Arial"/>
          <w:sz w:val="20"/>
          <w:szCs w:val="20"/>
        </w:rPr>
        <w:t xml:space="preserve">Dieser Text ist unter der Creative Commons Lizenz </w:t>
      </w:r>
      <w:hyperlink r:id="rId8" w:tgtFrame="extern" w:history="1">
        <w:r w:rsidRPr="004E1FA0">
          <w:rPr>
            <w:rFonts w:ascii="Arial" w:hAnsi="Arial" w:cs="Arial"/>
            <w:sz w:val="20"/>
            <w:szCs w:val="20"/>
          </w:rPr>
          <w:t>by-nc-nd/3.0/de/</w:t>
        </w:r>
      </w:hyperlink>
      <w:r w:rsidRPr="004E1FA0">
        <w:rPr>
          <w:rFonts w:ascii="Arial" w:hAnsi="Arial" w:cs="Arial"/>
          <w:sz w:val="20"/>
          <w:szCs w:val="20"/>
        </w:rPr>
        <w:t xml:space="preserve"> veröffentlicht. </w:t>
      </w:r>
    </w:p>
    <w:p w14:paraId="37899445" w14:textId="77777777" w:rsidR="004A3B31" w:rsidRPr="004E1FA0" w:rsidRDefault="001B7D15" w:rsidP="00B8762E">
      <w:pPr>
        <w:rPr>
          <w:rFonts w:ascii="Arial" w:hAnsi="Arial" w:cs="Arial"/>
          <w:i/>
        </w:rPr>
      </w:pPr>
      <w:r w:rsidRPr="004E1FA0">
        <w:rPr>
          <w:rFonts w:ascii="Arial" w:hAnsi="Arial" w:cs="Arial"/>
          <w:sz w:val="20"/>
          <w:szCs w:val="20"/>
        </w:rPr>
        <w:t>Bundeszentrale für politische Bildung 20</w:t>
      </w:r>
      <w:r w:rsidR="00BD5C4D" w:rsidRPr="004E1FA0">
        <w:rPr>
          <w:rFonts w:ascii="Arial" w:hAnsi="Arial" w:cs="Arial"/>
          <w:sz w:val="20"/>
          <w:szCs w:val="20"/>
        </w:rPr>
        <w:t>2</w:t>
      </w:r>
      <w:r w:rsidR="004A3B31" w:rsidRPr="004E1FA0">
        <w:rPr>
          <w:rFonts w:ascii="Arial" w:hAnsi="Arial" w:cs="Arial"/>
          <w:sz w:val="20"/>
          <w:szCs w:val="20"/>
        </w:rPr>
        <w:t>2</w:t>
      </w:r>
      <w:r w:rsidRPr="004E1FA0">
        <w:rPr>
          <w:rFonts w:ascii="Arial" w:hAnsi="Arial" w:cs="Arial"/>
          <w:sz w:val="20"/>
          <w:szCs w:val="20"/>
        </w:rPr>
        <w:t xml:space="preserve"> | </w:t>
      </w:r>
      <w:hyperlink r:id="rId9" w:history="1">
        <w:r w:rsidRPr="004E1FA0">
          <w:rPr>
            <w:rFonts w:ascii="Arial" w:hAnsi="Arial" w:cs="Arial"/>
            <w:sz w:val="20"/>
            <w:szCs w:val="20"/>
          </w:rPr>
          <w:t>www.bpb.de</w:t>
        </w:r>
      </w:hyperlink>
    </w:p>
    <w:sectPr w:rsidR="004A3B31" w:rsidRPr="004E1FA0">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3AB8DA" w15:done="0"/>
  <w15:commentEx w15:paraId="7BD25B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3AB8DA" w16cid:durableId="2641DAA3"/>
  <w16cid:commentId w16cid:paraId="7BD25B4F" w16cid:durableId="2641DC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MetaNormalLF-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841"/>
    <w:multiLevelType w:val="multilevel"/>
    <w:tmpl w:val="BB86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A0BDD"/>
    <w:multiLevelType w:val="hybridMultilevel"/>
    <w:tmpl w:val="C3CCD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tterich, Martin">
    <w15:presenceInfo w15:providerId="AD" w15:userId="S-1-5-21-2204428712-4113271250-599748583-3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EE"/>
    <w:rsid w:val="00000573"/>
    <w:rsid w:val="0000234B"/>
    <w:rsid w:val="000238CC"/>
    <w:rsid w:val="0005792D"/>
    <w:rsid w:val="00070D8B"/>
    <w:rsid w:val="00076264"/>
    <w:rsid w:val="0009167D"/>
    <w:rsid w:val="000A06C1"/>
    <w:rsid w:val="000A20AA"/>
    <w:rsid w:val="000A7F9D"/>
    <w:rsid w:val="000B3406"/>
    <w:rsid w:val="000C730A"/>
    <w:rsid w:val="000E2813"/>
    <w:rsid w:val="000E53BF"/>
    <w:rsid w:val="000F5548"/>
    <w:rsid w:val="000F55F6"/>
    <w:rsid w:val="00101A74"/>
    <w:rsid w:val="00104423"/>
    <w:rsid w:val="00111F49"/>
    <w:rsid w:val="001200F4"/>
    <w:rsid w:val="001221A4"/>
    <w:rsid w:val="001269EF"/>
    <w:rsid w:val="00130C1E"/>
    <w:rsid w:val="00163721"/>
    <w:rsid w:val="001662E8"/>
    <w:rsid w:val="001713B1"/>
    <w:rsid w:val="001715AF"/>
    <w:rsid w:val="00171D83"/>
    <w:rsid w:val="0017448A"/>
    <w:rsid w:val="00174B87"/>
    <w:rsid w:val="00183A44"/>
    <w:rsid w:val="001863C2"/>
    <w:rsid w:val="00186DC5"/>
    <w:rsid w:val="001B524E"/>
    <w:rsid w:val="001B606B"/>
    <w:rsid w:val="001B7D15"/>
    <w:rsid w:val="001D198C"/>
    <w:rsid w:val="001D3374"/>
    <w:rsid w:val="001D7E07"/>
    <w:rsid w:val="001E5E13"/>
    <w:rsid w:val="001F0077"/>
    <w:rsid w:val="001F7F43"/>
    <w:rsid w:val="00210615"/>
    <w:rsid w:val="00212FA5"/>
    <w:rsid w:val="0021766E"/>
    <w:rsid w:val="002322B1"/>
    <w:rsid w:val="00236386"/>
    <w:rsid w:val="00244199"/>
    <w:rsid w:val="00244394"/>
    <w:rsid w:val="0025742B"/>
    <w:rsid w:val="00260769"/>
    <w:rsid w:val="00266714"/>
    <w:rsid w:val="002676AC"/>
    <w:rsid w:val="002766B9"/>
    <w:rsid w:val="0028024F"/>
    <w:rsid w:val="002A6596"/>
    <w:rsid w:val="002B5C93"/>
    <w:rsid w:val="002C242C"/>
    <w:rsid w:val="002D6DC9"/>
    <w:rsid w:val="002E7D46"/>
    <w:rsid w:val="002F1ED5"/>
    <w:rsid w:val="003361E1"/>
    <w:rsid w:val="003400A2"/>
    <w:rsid w:val="00342742"/>
    <w:rsid w:val="00363D8E"/>
    <w:rsid w:val="003657B1"/>
    <w:rsid w:val="0038111C"/>
    <w:rsid w:val="00391E7C"/>
    <w:rsid w:val="003A6FDC"/>
    <w:rsid w:val="003B1043"/>
    <w:rsid w:val="003B2FF1"/>
    <w:rsid w:val="003B5A46"/>
    <w:rsid w:val="003C1F2C"/>
    <w:rsid w:val="003D3ABC"/>
    <w:rsid w:val="003D430F"/>
    <w:rsid w:val="003E0426"/>
    <w:rsid w:val="003E0C4A"/>
    <w:rsid w:val="003E25B4"/>
    <w:rsid w:val="003E73EE"/>
    <w:rsid w:val="003F711C"/>
    <w:rsid w:val="00402B2C"/>
    <w:rsid w:val="004210B3"/>
    <w:rsid w:val="004242F8"/>
    <w:rsid w:val="004250EE"/>
    <w:rsid w:val="00425117"/>
    <w:rsid w:val="004554C0"/>
    <w:rsid w:val="00455ECF"/>
    <w:rsid w:val="00456A68"/>
    <w:rsid w:val="00460C51"/>
    <w:rsid w:val="00464F29"/>
    <w:rsid w:val="0046791C"/>
    <w:rsid w:val="004715C5"/>
    <w:rsid w:val="004731E5"/>
    <w:rsid w:val="00473F5D"/>
    <w:rsid w:val="00475AB8"/>
    <w:rsid w:val="0047765A"/>
    <w:rsid w:val="00477EBE"/>
    <w:rsid w:val="00494DF9"/>
    <w:rsid w:val="004A2795"/>
    <w:rsid w:val="004A3B31"/>
    <w:rsid w:val="004A6A0F"/>
    <w:rsid w:val="004D59F0"/>
    <w:rsid w:val="004E1FA0"/>
    <w:rsid w:val="004E6618"/>
    <w:rsid w:val="004F0DF6"/>
    <w:rsid w:val="004F2EB9"/>
    <w:rsid w:val="004F5774"/>
    <w:rsid w:val="0050670A"/>
    <w:rsid w:val="0051310F"/>
    <w:rsid w:val="00514A82"/>
    <w:rsid w:val="005234DF"/>
    <w:rsid w:val="005448F6"/>
    <w:rsid w:val="005533BA"/>
    <w:rsid w:val="005557C5"/>
    <w:rsid w:val="00563462"/>
    <w:rsid w:val="00577775"/>
    <w:rsid w:val="00594628"/>
    <w:rsid w:val="005A0627"/>
    <w:rsid w:val="005A19D6"/>
    <w:rsid w:val="005B4D9E"/>
    <w:rsid w:val="005C7778"/>
    <w:rsid w:val="005E5C94"/>
    <w:rsid w:val="005F7382"/>
    <w:rsid w:val="00617540"/>
    <w:rsid w:val="00625C9B"/>
    <w:rsid w:val="00632932"/>
    <w:rsid w:val="00652ACF"/>
    <w:rsid w:val="00652DD2"/>
    <w:rsid w:val="006556F0"/>
    <w:rsid w:val="00670B9F"/>
    <w:rsid w:val="0068567A"/>
    <w:rsid w:val="00685A7F"/>
    <w:rsid w:val="006A3317"/>
    <w:rsid w:val="006B1677"/>
    <w:rsid w:val="006B2F04"/>
    <w:rsid w:val="006C78BE"/>
    <w:rsid w:val="006E6F04"/>
    <w:rsid w:val="0070122C"/>
    <w:rsid w:val="0070308E"/>
    <w:rsid w:val="00722C39"/>
    <w:rsid w:val="00737F37"/>
    <w:rsid w:val="00740C0E"/>
    <w:rsid w:val="00743840"/>
    <w:rsid w:val="007443B1"/>
    <w:rsid w:val="00756A6D"/>
    <w:rsid w:val="00766238"/>
    <w:rsid w:val="007703DE"/>
    <w:rsid w:val="007818C2"/>
    <w:rsid w:val="00787597"/>
    <w:rsid w:val="00793840"/>
    <w:rsid w:val="007A7828"/>
    <w:rsid w:val="007B4AD0"/>
    <w:rsid w:val="007C3EFF"/>
    <w:rsid w:val="007D3B72"/>
    <w:rsid w:val="007D7A50"/>
    <w:rsid w:val="007E347B"/>
    <w:rsid w:val="007E4236"/>
    <w:rsid w:val="007E4C5C"/>
    <w:rsid w:val="007E7424"/>
    <w:rsid w:val="007F4155"/>
    <w:rsid w:val="007F7E61"/>
    <w:rsid w:val="00812651"/>
    <w:rsid w:val="0082696E"/>
    <w:rsid w:val="00833813"/>
    <w:rsid w:val="00833EB8"/>
    <w:rsid w:val="00835E1B"/>
    <w:rsid w:val="00841E79"/>
    <w:rsid w:val="00841ECF"/>
    <w:rsid w:val="00843264"/>
    <w:rsid w:val="008456E4"/>
    <w:rsid w:val="0085672F"/>
    <w:rsid w:val="008579A4"/>
    <w:rsid w:val="0086092F"/>
    <w:rsid w:val="00864E6C"/>
    <w:rsid w:val="0088239F"/>
    <w:rsid w:val="00892026"/>
    <w:rsid w:val="008A292E"/>
    <w:rsid w:val="008B2910"/>
    <w:rsid w:val="008C59DD"/>
    <w:rsid w:val="008D0676"/>
    <w:rsid w:val="008D0CEB"/>
    <w:rsid w:val="008E0F4F"/>
    <w:rsid w:val="008E550C"/>
    <w:rsid w:val="009135B0"/>
    <w:rsid w:val="009219CE"/>
    <w:rsid w:val="0092270D"/>
    <w:rsid w:val="00922D13"/>
    <w:rsid w:val="00932EC5"/>
    <w:rsid w:val="009418DE"/>
    <w:rsid w:val="00950462"/>
    <w:rsid w:val="0095097C"/>
    <w:rsid w:val="00957E65"/>
    <w:rsid w:val="00960BD1"/>
    <w:rsid w:val="009635A6"/>
    <w:rsid w:val="00986482"/>
    <w:rsid w:val="0099599B"/>
    <w:rsid w:val="009A01C9"/>
    <w:rsid w:val="009A357C"/>
    <w:rsid w:val="009A39DD"/>
    <w:rsid w:val="009A5C39"/>
    <w:rsid w:val="009B34B6"/>
    <w:rsid w:val="009C7AE9"/>
    <w:rsid w:val="009E0BFE"/>
    <w:rsid w:val="009E3447"/>
    <w:rsid w:val="009E3A9C"/>
    <w:rsid w:val="009E5785"/>
    <w:rsid w:val="009E5C74"/>
    <w:rsid w:val="009F1743"/>
    <w:rsid w:val="00A10E5D"/>
    <w:rsid w:val="00A14D4F"/>
    <w:rsid w:val="00A20379"/>
    <w:rsid w:val="00A30C39"/>
    <w:rsid w:val="00A3520F"/>
    <w:rsid w:val="00A36099"/>
    <w:rsid w:val="00A37E7C"/>
    <w:rsid w:val="00A533C4"/>
    <w:rsid w:val="00A563F5"/>
    <w:rsid w:val="00A665D1"/>
    <w:rsid w:val="00A853E6"/>
    <w:rsid w:val="00A86D33"/>
    <w:rsid w:val="00AA1895"/>
    <w:rsid w:val="00AA415E"/>
    <w:rsid w:val="00AC61BA"/>
    <w:rsid w:val="00AD308A"/>
    <w:rsid w:val="00AD5A2B"/>
    <w:rsid w:val="00AD7565"/>
    <w:rsid w:val="00AE73D2"/>
    <w:rsid w:val="00AF7CA8"/>
    <w:rsid w:val="00B046F9"/>
    <w:rsid w:val="00B15B38"/>
    <w:rsid w:val="00B26333"/>
    <w:rsid w:val="00B32082"/>
    <w:rsid w:val="00B330D7"/>
    <w:rsid w:val="00B33419"/>
    <w:rsid w:val="00B6099E"/>
    <w:rsid w:val="00B648BE"/>
    <w:rsid w:val="00B73F14"/>
    <w:rsid w:val="00B74018"/>
    <w:rsid w:val="00B812AB"/>
    <w:rsid w:val="00B8762E"/>
    <w:rsid w:val="00B92511"/>
    <w:rsid w:val="00B971B7"/>
    <w:rsid w:val="00BA27C4"/>
    <w:rsid w:val="00BA37F8"/>
    <w:rsid w:val="00BC33EA"/>
    <w:rsid w:val="00BC5FEF"/>
    <w:rsid w:val="00BC60BC"/>
    <w:rsid w:val="00BD5C4D"/>
    <w:rsid w:val="00BE0416"/>
    <w:rsid w:val="00BE6CAB"/>
    <w:rsid w:val="00BF2D38"/>
    <w:rsid w:val="00BF5551"/>
    <w:rsid w:val="00C02AC9"/>
    <w:rsid w:val="00C23848"/>
    <w:rsid w:val="00C32A40"/>
    <w:rsid w:val="00C33977"/>
    <w:rsid w:val="00C46A1D"/>
    <w:rsid w:val="00C5712E"/>
    <w:rsid w:val="00C7374E"/>
    <w:rsid w:val="00C832FB"/>
    <w:rsid w:val="00C83F01"/>
    <w:rsid w:val="00C86672"/>
    <w:rsid w:val="00C878A1"/>
    <w:rsid w:val="00CA4281"/>
    <w:rsid w:val="00CA5D69"/>
    <w:rsid w:val="00CB6D62"/>
    <w:rsid w:val="00CC5C8D"/>
    <w:rsid w:val="00CC7933"/>
    <w:rsid w:val="00CD3A36"/>
    <w:rsid w:val="00CD4881"/>
    <w:rsid w:val="00CE6004"/>
    <w:rsid w:val="00CF2201"/>
    <w:rsid w:val="00CF3BF7"/>
    <w:rsid w:val="00CF5B3A"/>
    <w:rsid w:val="00D10100"/>
    <w:rsid w:val="00D17469"/>
    <w:rsid w:val="00D239C1"/>
    <w:rsid w:val="00D4213C"/>
    <w:rsid w:val="00D4298E"/>
    <w:rsid w:val="00D50139"/>
    <w:rsid w:val="00D566D5"/>
    <w:rsid w:val="00D57CAF"/>
    <w:rsid w:val="00D6551E"/>
    <w:rsid w:val="00D67563"/>
    <w:rsid w:val="00D701D7"/>
    <w:rsid w:val="00D70359"/>
    <w:rsid w:val="00D74ADF"/>
    <w:rsid w:val="00D90271"/>
    <w:rsid w:val="00D90371"/>
    <w:rsid w:val="00DA0F72"/>
    <w:rsid w:val="00DB1472"/>
    <w:rsid w:val="00DC1022"/>
    <w:rsid w:val="00DC7B36"/>
    <w:rsid w:val="00DE45D7"/>
    <w:rsid w:val="00DF4935"/>
    <w:rsid w:val="00E1173E"/>
    <w:rsid w:val="00E120DD"/>
    <w:rsid w:val="00E17263"/>
    <w:rsid w:val="00E217A1"/>
    <w:rsid w:val="00E349AC"/>
    <w:rsid w:val="00E771E2"/>
    <w:rsid w:val="00E87B35"/>
    <w:rsid w:val="00EB0E7B"/>
    <w:rsid w:val="00EC1AB9"/>
    <w:rsid w:val="00EC7409"/>
    <w:rsid w:val="00ED0C9F"/>
    <w:rsid w:val="00ED5E60"/>
    <w:rsid w:val="00ED7BBC"/>
    <w:rsid w:val="00EE5A3C"/>
    <w:rsid w:val="00EF2F99"/>
    <w:rsid w:val="00EF5FDE"/>
    <w:rsid w:val="00F02304"/>
    <w:rsid w:val="00F0757C"/>
    <w:rsid w:val="00F14B2A"/>
    <w:rsid w:val="00F20B03"/>
    <w:rsid w:val="00F23DFF"/>
    <w:rsid w:val="00F33357"/>
    <w:rsid w:val="00F35780"/>
    <w:rsid w:val="00F37C17"/>
    <w:rsid w:val="00F4426E"/>
    <w:rsid w:val="00F56751"/>
    <w:rsid w:val="00F56CBA"/>
    <w:rsid w:val="00F62A17"/>
    <w:rsid w:val="00F71E76"/>
    <w:rsid w:val="00F75456"/>
    <w:rsid w:val="00F833D1"/>
    <w:rsid w:val="00F86A3C"/>
    <w:rsid w:val="00FA4969"/>
    <w:rsid w:val="00FA7619"/>
    <w:rsid w:val="00FB357F"/>
    <w:rsid w:val="00FB4674"/>
    <w:rsid w:val="00FE060A"/>
    <w:rsid w:val="00FF64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A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uiPriority w:val="9"/>
    <w:qFormat/>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semiHidden/>
    <w:unhideWhenUsed/>
    <w:qFormat/>
    <w:rsid w:val="00CA5D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pPr>
      <w:spacing w:before="100" w:beforeAutospacing="1" w:after="100" w:afterAutospacing="1"/>
    </w:pPr>
  </w:style>
  <w:style w:type="character" w:styleId="HTMLAkronym">
    <w:name w:val="HTML Acronym"/>
    <w:basedOn w:val="Absatz-Standardschriftart"/>
  </w:style>
  <w:style w:type="character" w:styleId="Hyperlink">
    <w:name w:val="Hyperlink"/>
    <w:unhideWhenUsed/>
    <w:rPr>
      <w:color w:val="0000FF"/>
      <w:u w:val="single"/>
    </w:rPr>
  </w:style>
  <w:style w:type="character" w:customStyle="1" w:styleId="berschrift1Zchn">
    <w:name w:val="Überschrift 1 Zchn"/>
    <w:uiPriority w:val="9"/>
    <w:rPr>
      <w:b/>
      <w:bCs/>
      <w:kern w:val="36"/>
      <w:sz w:val="48"/>
      <w:szCs w:val="48"/>
    </w:rPr>
  </w:style>
  <w:style w:type="character" w:customStyle="1" w:styleId="topline">
    <w:name w:val="topline"/>
  </w:style>
  <w:style w:type="paragraph" w:styleId="Sprechblasentext">
    <w:name w:val="Balloon Text"/>
    <w:basedOn w:val="Standard"/>
    <w:link w:val="SprechblasentextZchn"/>
    <w:uiPriority w:val="99"/>
    <w:semiHidden/>
    <w:unhideWhenUsed/>
    <w:rsid w:val="003D3ABC"/>
    <w:rPr>
      <w:rFonts w:ascii="Tahoma" w:hAnsi="Tahoma" w:cs="Tahoma"/>
      <w:sz w:val="16"/>
      <w:szCs w:val="16"/>
    </w:rPr>
  </w:style>
  <w:style w:type="character" w:customStyle="1" w:styleId="SprechblasentextZchn">
    <w:name w:val="Sprechblasentext Zchn"/>
    <w:link w:val="Sprechblasentext"/>
    <w:uiPriority w:val="99"/>
    <w:semiHidden/>
    <w:rsid w:val="003D3ABC"/>
    <w:rPr>
      <w:rFonts w:ascii="Tahoma" w:hAnsi="Tahoma" w:cs="Tahoma"/>
      <w:sz w:val="16"/>
      <w:szCs w:val="16"/>
    </w:rPr>
  </w:style>
  <w:style w:type="character" w:customStyle="1" w:styleId="berschrift2Zchn">
    <w:name w:val="Überschrift 2 Zchn"/>
    <w:basedOn w:val="Absatz-Standardschriftart"/>
    <w:link w:val="berschrift2"/>
    <w:uiPriority w:val="9"/>
    <w:semiHidden/>
    <w:rsid w:val="00CA5D69"/>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843264"/>
    <w:rPr>
      <w:b/>
      <w:bCs/>
    </w:rPr>
  </w:style>
  <w:style w:type="paragraph" w:customStyle="1" w:styleId="Default">
    <w:name w:val="Default"/>
    <w:rsid w:val="00685A7F"/>
    <w:pPr>
      <w:autoSpaceDE w:val="0"/>
      <w:autoSpaceDN w:val="0"/>
      <w:adjustRightInd w:val="0"/>
    </w:pPr>
    <w:rPr>
      <w:rFonts w:ascii="MetaNormalLF-Roman" w:hAnsi="MetaNormalLF-Roman" w:cs="MetaNormalLF-Roman"/>
      <w:color w:val="000000"/>
      <w:sz w:val="24"/>
      <w:szCs w:val="24"/>
    </w:rPr>
  </w:style>
  <w:style w:type="paragraph" w:styleId="Listenabsatz">
    <w:name w:val="List Paragraph"/>
    <w:basedOn w:val="Standard"/>
    <w:uiPriority w:val="34"/>
    <w:qFormat/>
    <w:rsid w:val="00CD3A36"/>
    <w:pPr>
      <w:ind w:left="720"/>
      <w:contextualSpacing/>
    </w:pPr>
  </w:style>
  <w:style w:type="character" w:styleId="BesuchterHyperlink">
    <w:name w:val="FollowedHyperlink"/>
    <w:basedOn w:val="Absatz-Standardschriftart"/>
    <w:uiPriority w:val="99"/>
    <w:semiHidden/>
    <w:unhideWhenUsed/>
    <w:rsid w:val="00EC1AB9"/>
    <w:rPr>
      <w:color w:val="800080" w:themeColor="followedHyperlink"/>
      <w:u w:val="single"/>
    </w:rPr>
  </w:style>
  <w:style w:type="character" w:styleId="Kommentarzeichen">
    <w:name w:val="annotation reference"/>
    <w:basedOn w:val="Absatz-Standardschriftart"/>
    <w:uiPriority w:val="99"/>
    <w:semiHidden/>
    <w:unhideWhenUsed/>
    <w:rsid w:val="00A10E5D"/>
    <w:rPr>
      <w:sz w:val="16"/>
      <w:szCs w:val="16"/>
    </w:rPr>
  </w:style>
  <w:style w:type="paragraph" w:styleId="Kommentartext">
    <w:name w:val="annotation text"/>
    <w:basedOn w:val="Standard"/>
    <w:link w:val="KommentartextZchn"/>
    <w:uiPriority w:val="99"/>
    <w:semiHidden/>
    <w:unhideWhenUsed/>
    <w:rsid w:val="00A10E5D"/>
    <w:rPr>
      <w:sz w:val="20"/>
      <w:szCs w:val="20"/>
    </w:rPr>
  </w:style>
  <w:style w:type="character" w:customStyle="1" w:styleId="KommentartextZchn">
    <w:name w:val="Kommentartext Zchn"/>
    <w:basedOn w:val="Absatz-Standardschriftart"/>
    <w:link w:val="Kommentartext"/>
    <w:uiPriority w:val="99"/>
    <w:semiHidden/>
    <w:rsid w:val="00A10E5D"/>
  </w:style>
  <w:style w:type="paragraph" w:styleId="Kommentarthema">
    <w:name w:val="annotation subject"/>
    <w:basedOn w:val="Kommentartext"/>
    <w:next w:val="Kommentartext"/>
    <w:link w:val="KommentarthemaZchn"/>
    <w:uiPriority w:val="99"/>
    <w:semiHidden/>
    <w:unhideWhenUsed/>
    <w:rsid w:val="00A10E5D"/>
    <w:rPr>
      <w:b/>
      <w:bCs/>
    </w:rPr>
  </w:style>
  <w:style w:type="character" w:customStyle="1" w:styleId="KommentarthemaZchn">
    <w:name w:val="Kommentarthema Zchn"/>
    <w:basedOn w:val="KommentartextZchn"/>
    <w:link w:val="Kommentarthema"/>
    <w:uiPriority w:val="99"/>
    <w:semiHidden/>
    <w:rsid w:val="00A10E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uiPriority w:val="9"/>
    <w:qFormat/>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semiHidden/>
    <w:unhideWhenUsed/>
    <w:qFormat/>
    <w:rsid w:val="00CA5D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pPr>
      <w:spacing w:before="100" w:beforeAutospacing="1" w:after="100" w:afterAutospacing="1"/>
    </w:pPr>
  </w:style>
  <w:style w:type="character" w:styleId="HTMLAkronym">
    <w:name w:val="HTML Acronym"/>
    <w:basedOn w:val="Absatz-Standardschriftart"/>
  </w:style>
  <w:style w:type="character" w:styleId="Hyperlink">
    <w:name w:val="Hyperlink"/>
    <w:unhideWhenUsed/>
    <w:rPr>
      <w:color w:val="0000FF"/>
      <w:u w:val="single"/>
    </w:rPr>
  </w:style>
  <w:style w:type="character" w:customStyle="1" w:styleId="berschrift1Zchn">
    <w:name w:val="Überschrift 1 Zchn"/>
    <w:uiPriority w:val="9"/>
    <w:rPr>
      <w:b/>
      <w:bCs/>
      <w:kern w:val="36"/>
      <w:sz w:val="48"/>
      <w:szCs w:val="48"/>
    </w:rPr>
  </w:style>
  <w:style w:type="character" w:customStyle="1" w:styleId="topline">
    <w:name w:val="topline"/>
  </w:style>
  <w:style w:type="paragraph" w:styleId="Sprechblasentext">
    <w:name w:val="Balloon Text"/>
    <w:basedOn w:val="Standard"/>
    <w:link w:val="SprechblasentextZchn"/>
    <w:uiPriority w:val="99"/>
    <w:semiHidden/>
    <w:unhideWhenUsed/>
    <w:rsid w:val="003D3ABC"/>
    <w:rPr>
      <w:rFonts w:ascii="Tahoma" w:hAnsi="Tahoma" w:cs="Tahoma"/>
      <w:sz w:val="16"/>
      <w:szCs w:val="16"/>
    </w:rPr>
  </w:style>
  <w:style w:type="character" w:customStyle="1" w:styleId="SprechblasentextZchn">
    <w:name w:val="Sprechblasentext Zchn"/>
    <w:link w:val="Sprechblasentext"/>
    <w:uiPriority w:val="99"/>
    <w:semiHidden/>
    <w:rsid w:val="003D3ABC"/>
    <w:rPr>
      <w:rFonts w:ascii="Tahoma" w:hAnsi="Tahoma" w:cs="Tahoma"/>
      <w:sz w:val="16"/>
      <w:szCs w:val="16"/>
    </w:rPr>
  </w:style>
  <w:style w:type="character" w:customStyle="1" w:styleId="berschrift2Zchn">
    <w:name w:val="Überschrift 2 Zchn"/>
    <w:basedOn w:val="Absatz-Standardschriftart"/>
    <w:link w:val="berschrift2"/>
    <w:uiPriority w:val="9"/>
    <w:semiHidden/>
    <w:rsid w:val="00CA5D69"/>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843264"/>
    <w:rPr>
      <w:b/>
      <w:bCs/>
    </w:rPr>
  </w:style>
  <w:style w:type="paragraph" w:customStyle="1" w:styleId="Default">
    <w:name w:val="Default"/>
    <w:rsid w:val="00685A7F"/>
    <w:pPr>
      <w:autoSpaceDE w:val="0"/>
      <w:autoSpaceDN w:val="0"/>
      <w:adjustRightInd w:val="0"/>
    </w:pPr>
    <w:rPr>
      <w:rFonts w:ascii="MetaNormalLF-Roman" w:hAnsi="MetaNormalLF-Roman" w:cs="MetaNormalLF-Roman"/>
      <w:color w:val="000000"/>
      <w:sz w:val="24"/>
      <w:szCs w:val="24"/>
    </w:rPr>
  </w:style>
  <w:style w:type="paragraph" w:styleId="Listenabsatz">
    <w:name w:val="List Paragraph"/>
    <w:basedOn w:val="Standard"/>
    <w:uiPriority w:val="34"/>
    <w:qFormat/>
    <w:rsid w:val="00CD3A36"/>
    <w:pPr>
      <w:ind w:left="720"/>
      <w:contextualSpacing/>
    </w:pPr>
  </w:style>
  <w:style w:type="character" w:styleId="BesuchterHyperlink">
    <w:name w:val="FollowedHyperlink"/>
    <w:basedOn w:val="Absatz-Standardschriftart"/>
    <w:uiPriority w:val="99"/>
    <w:semiHidden/>
    <w:unhideWhenUsed/>
    <w:rsid w:val="00EC1AB9"/>
    <w:rPr>
      <w:color w:val="800080" w:themeColor="followedHyperlink"/>
      <w:u w:val="single"/>
    </w:rPr>
  </w:style>
  <w:style w:type="character" w:styleId="Kommentarzeichen">
    <w:name w:val="annotation reference"/>
    <w:basedOn w:val="Absatz-Standardschriftart"/>
    <w:uiPriority w:val="99"/>
    <w:semiHidden/>
    <w:unhideWhenUsed/>
    <w:rsid w:val="00A10E5D"/>
    <w:rPr>
      <w:sz w:val="16"/>
      <w:szCs w:val="16"/>
    </w:rPr>
  </w:style>
  <w:style w:type="paragraph" w:styleId="Kommentartext">
    <w:name w:val="annotation text"/>
    <w:basedOn w:val="Standard"/>
    <w:link w:val="KommentartextZchn"/>
    <w:uiPriority w:val="99"/>
    <w:semiHidden/>
    <w:unhideWhenUsed/>
    <w:rsid w:val="00A10E5D"/>
    <w:rPr>
      <w:sz w:val="20"/>
      <w:szCs w:val="20"/>
    </w:rPr>
  </w:style>
  <w:style w:type="character" w:customStyle="1" w:styleId="KommentartextZchn">
    <w:name w:val="Kommentartext Zchn"/>
    <w:basedOn w:val="Absatz-Standardschriftart"/>
    <w:link w:val="Kommentartext"/>
    <w:uiPriority w:val="99"/>
    <w:semiHidden/>
    <w:rsid w:val="00A10E5D"/>
  </w:style>
  <w:style w:type="paragraph" w:styleId="Kommentarthema">
    <w:name w:val="annotation subject"/>
    <w:basedOn w:val="Kommentartext"/>
    <w:next w:val="Kommentartext"/>
    <w:link w:val="KommentarthemaZchn"/>
    <w:uiPriority w:val="99"/>
    <w:semiHidden/>
    <w:unhideWhenUsed/>
    <w:rsid w:val="00A10E5D"/>
    <w:rPr>
      <w:b/>
      <w:bCs/>
    </w:rPr>
  </w:style>
  <w:style w:type="character" w:customStyle="1" w:styleId="KommentarthemaZchn">
    <w:name w:val="Kommentarthema Zchn"/>
    <w:basedOn w:val="KommentartextZchn"/>
    <w:link w:val="Kommentarthema"/>
    <w:uiPriority w:val="99"/>
    <w:semiHidden/>
    <w:rsid w:val="00A10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79560">
      <w:bodyDiv w:val="1"/>
      <w:marLeft w:val="0"/>
      <w:marRight w:val="0"/>
      <w:marTop w:val="0"/>
      <w:marBottom w:val="0"/>
      <w:divBdr>
        <w:top w:val="none" w:sz="0" w:space="0" w:color="auto"/>
        <w:left w:val="none" w:sz="0" w:space="0" w:color="auto"/>
        <w:bottom w:val="none" w:sz="0" w:space="0" w:color="auto"/>
        <w:right w:val="none" w:sz="0" w:space="0" w:color="auto"/>
      </w:divBdr>
    </w:div>
    <w:div w:id="468280199">
      <w:bodyDiv w:val="1"/>
      <w:marLeft w:val="0"/>
      <w:marRight w:val="0"/>
      <w:marTop w:val="0"/>
      <w:marBottom w:val="0"/>
      <w:divBdr>
        <w:top w:val="none" w:sz="0" w:space="0" w:color="auto"/>
        <w:left w:val="none" w:sz="0" w:space="0" w:color="auto"/>
        <w:bottom w:val="none" w:sz="0" w:space="0" w:color="auto"/>
        <w:right w:val="none" w:sz="0" w:space="0" w:color="auto"/>
      </w:divBdr>
    </w:div>
    <w:div w:id="674114871">
      <w:bodyDiv w:val="1"/>
      <w:marLeft w:val="0"/>
      <w:marRight w:val="0"/>
      <w:marTop w:val="0"/>
      <w:marBottom w:val="0"/>
      <w:divBdr>
        <w:top w:val="none" w:sz="0" w:space="0" w:color="auto"/>
        <w:left w:val="none" w:sz="0" w:space="0" w:color="auto"/>
        <w:bottom w:val="none" w:sz="0" w:space="0" w:color="auto"/>
        <w:right w:val="none" w:sz="0" w:space="0" w:color="auto"/>
      </w:divBdr>
      <w:divsChild>
        <w:div w:id="1887065091">
          <w:marLeft w:val="0"/>
          <w:marRight w:val="0"/>
          <w:marTop w:val="0"/>
          <w:marBottom w:val="0"/>
          <w:divBdr>
            <w:top w:val="none" w:sz="0" w:space="0" w:color="auto"/>
            <w:left w:val="none" w:sz="0" w:space="0" w:color="auto"/>
            <w:bottom w:val="none" w:sz="0" w:space="0" w:color="auto"/>
            <w:right w:val="none" w:sz="0" w:space="0" w:color="auto"/>
          </w:divBdr>
        </w:div>
      </w:divsChild>
    </w:div>
    <w:div w:id="687218426">
      <w:bodyDiv w:val="1"/>
      <w:marLeft w:val="0"/>
      <w:marRight w:val="0"/>
      <w:marTop w:val="0"/>
      <w:marBottom w:val="0"/>
      <w:divBdr>
        <w:top w:val="none" w:sz="0" w:space="0" w:color="auto"/>
        <w:left w:val="none" w:sz="0" w:space="0" w:color="auto"/>
        <w:bottom w:val="none" w:sz="0" w:space="0" w:color="auto"/>
        <w:right w:val="none" w:sz="0" w:space="0" w:color="auto"/>
      </w:divBdr>
    </w:div>
    <w:div w:id="1108892343">
      <w:bodyDiv w:val="1"/>
      <w:marLeft w:val="0"/>
      <w:marRight w:val="0"/>
      <w:marTop w:val="0"/>
      <w:marBottom w:val="0"/>
      <w:divBdr>
        <w:top w:val="none" w:sz="0" w:space="0" w:color="auto"/>
        <w:left w:val="none" w:sz="0" w:space="0" w:color="auto"/>
        <w:bottom w:val="none" w:sz="0" w:space="0" w:color="auto"/>
        <w:right w:val="none" w:sz="0" w:space="0" w:color="auto"/>
      </w:divBdr>
    </w:div>
    <w:div w:id="1717001411">
      <w:bodyDiv w:val="1"/>
      <w:marLeft w:val="0"/>
      <w:marRight w:val="0"/>
      <w:marTop w:val="0"/>
      <w:marBottom w:val="0"/>
      <w:divBdr>
        <w:top w:val="none" w:sz="0" w:space="0" w:color="auto"/>
        <w:left w:val="none" w:sz="0" w:space="0" w:color="auto"/>
        <w:bottom w:val="none" w:sz="0" w:space="0" w:color="auto"/>
        <w:right w:val="none" w:sz="0" w:space="0" w:color="auto"/>
      </w:divBdr>
    </w:div>
    <w:div w:id="1788086748">
      <w:bodyDiv w:val="1"/>
      <w:marLeft w:val="0"/>
      <w:marRight w:val="0"/>
      <w:marTop w:val="0"/>
      <w:marBottom w:val="0"/>
      <w:divBdr>
        <w:top w:val="none" w:sz="0" w:space="0" w:color="auto"/>
        <w:left w:val="none" w:sz="0" w:space="0" w:color="auto"/>
        <w:bottom w:val="none" w:sz="0" w:space="0" w:color="auto"/>
        <w:right w:val="none" w:sz="0" w:space="0" w:color="auto"/>
      </w:divBdr>
    </w:div>
    <w:div w:id="1847867972">
      <w:bodyDiv w:val="1"/>
      <w:marLeft w:val="0"/>
      <w:marRight w:val="0"/>
      <w:marTop w:val="0"/>
      <w:marBottom w:val="0"/>
      <w:divBdr>
        <w:top w:val="none" w:sz="0" w:space="0" w:color="auto"/>
        <w:left w:val="none" w:sz="0" w:space="0" w:color="auto"/>
        <w:bottom w:val="none" w:sz="0" w:space="0" w:color="auto"/>
        <w:right w:val="none" w:sz="0" w:space="0" w:color="auto"/>
      </w:divBdr>
    </w:div>
    <w:div w:id="1985811023">
      <w:bodyDiv w:val="1"/>
      <w:marLeft w:val="0"/>
      <w:marRight w:val="0"/>
      <w:marTop w:val="0"/>
      <w:marBottom w:val="0"/>
      <w:divBdr>
        <w:top w:val="none" w:sz="0" w:space="0" w:color="auto"/>
        <w:left w:val="none" w:sz="0" w:space="0" w:color="auto"/>
        <w:bottom w:val="none" w:sz="0" w:space="0" w:color="auto"/>
        <w:right w:val="none" w:sz="0" w:space="0" w:color="auto"/>
      </w:divBdr>
    </w:div>
    <w:div w:id="2076126020">
      <w:bodyDiv w:val="1"/>
      <w:marLeft w:val="0"/>
      <w:marRight w:val="0"/>
      <w:marTop w:val="0"/>
      <w:marBottom w:val="0"/>
      <w:divBdr>
        <w:top w:val="none" w:sz="0" w:space="0" w:color="auto"/>
        <w:left w:val="none" w:sz="0" w:space="0" w:color="auto"/>
        <w:bottom w:val="none" w:sz="0" w:space="0" w:color="auto"/>
        <w:right w:val="none" w:sz="0" w:space="0" w:color="auto"/>
      </w:divBdr>
    </w:div>
    <w:div w:id="2109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nd/3.0/d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ec.europa.eu/eurostat/statistics-explained/index.php?title=Glossary:International_standard_classification_of_education_(ISCED)/de"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pb.de" TargetMode="External"/><Relationship Id="rId14" Type="http://schemas.microsoft.com/office/2011/relationships/commentsExtended" Target="commentsExtended.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4DC3-0B9E-4FAA-B6CA-5D7166BB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6659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Zur Bevölkerung Deutschlands zählen alle Einwohner, die mit ihrer Hauptwohnung in der Bundesrepublik Deutschland gemeldet sind</vt:lpstr>
    </vt:vector>
  </TitlesOfParts>
  <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 Bevölkerung Deutschlands zählen alle Einwohner, die mit ihrer Hauptwohnung in der Bundesrepublik Deutschland gemeldet sind</dc:title>
  <dc:creator>Fossi</dc:creator>
  <cp:lastModifiedBy>Christian Hartmann</cp:lastModifiedBy>
  <cp:revision>3</cp:revision>
  <dcterms:created xsi:type="dcterms:W3CDTF">2022-06-07T07:32:00Z</dcterms:created>
  <dcterms:modified xsi:type="dcterms:W3CDTF">2022-06-07T07:32:00Z</dcterms:modified>
</cp:coreProperties>
</file>