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4D" w:rsidRDefault="00D9574D" w:rsidP="007443B1">
      <w:pPr>
        <w:rPr>
          <w:rStyle w:val="Fett"/>
          <w:rFonts w:ascii="Arial" w:hAnsi="Arial" w:cs="Arial"/>
          <w:shd w:val="clear" w:color="auto" w:fill="FFFFFF"/>
        </w:rPr>
      </w:pPr>
      <w:bookmarkStart w:id="0" w:name="_GoBack"/>
      <w:bookmarkEnd w:id="0"/>
      <w:r>
        <w:rPr>
          <w:rStyle w:val="Fett"/>
          <w:rFonts w:ascii="Arial" w:hAnsi="Arial" w:cs="Arial"/>
          <w:shd w:val="clear" w:color="auto" w:fill="FFFFFF"/>
        </w:rPr>
        <w:t xml:space="preserve">Je höher der Bildungsstand, desto niedriger das Risiko arbeitslos zu werden. Das gilt nicht nur für Deutschland und nicht nur für das Jahr 2020, sondern auch für vergangene Jahre und </w:t>
      </w:r>
      <w:r w:rsidR="00096ABB">
        <w:rPr>
          <w:rStyle w:val="Fett"/>
          <w:rFonts w:ascii="Arial" w:hAnsi="Arial" w:cs="Arial"/>
          <w:shd w:val="clear" w:color="auto" w:fill="FFFFFF"/>
        </w:rPr>
        <w:t xml:space="preserve">für </w:t>
      </w:r>
      <w:r>
        <w:rPr>
          <w:rStyle w:val="Fett"/>
          <w:rFonts w:ascii="Arial" w:hAnsi="Arial" w:cs="Arial"/>
          <w:shd w:val="clear" w:color="auto" w:fill="FFFFFF"/>
        </w:rPr>
        <w:t xml:space="preserve">fast alle Staaten </w:t>
      </w:r>
      <w:r w:rsidR="00096ABB">
        <w:rPr>
          <w:rStyle w:val="Fett"/>
          <w:rFonts w:ascii="Arial" w:hAnsi="Arial" w:cs="Arial"/>
          <w:shd w:val="clear" w:color="auto" w:fill="FFFFFF"/>
        </w:rPr>
        <w:t>Europas</w:t>
      </w:r>
      <w:r w:rsidR="00096ABB" w:rsidRPr="00096ABB">
        <w:rPr>
          <w:rStyle w:val="Fett"/>
          <w:rFonts w:ascii="Arial" w:hAnsi="Arial" w:cs="Arial"/>
          <w:shd w:val="clear" w:color="auto" w:fill="FFFFFF"/>
        </w:rPr>
        <w:t xml:space="preserve">. Bildung ist demnach ein zentraler Faktor zur Reduzierung von Arbeitslosigkeit. </w:t>
      </w:r>
    </w:p>
    <w:p w:rsidR="00D9574D" w:rsidRPr="00096ABB" w:rsidRDefault="00D9574D" w:rsidP="007443B1">
      <w:pPr>
        <w:rPr>
          <w:rStyle w:val="Fett"/>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FB3D9A" w:rsidRDefault="00CA5D69" w:rsidP="00CA5D69">
      <w:pPr>
        <w:rPr>
          <w:rFonts w:ascii="Arial" w:hAnsi="Arial" w:cs="Arial"/>
          <w:shd w:val="clear" w:color="auto" w:fill="FFFFFF"/>
        </w:rPr>
      </w:pPr>
    </w:p>
    <w:p w:rsidR="008D5A02" w:rsidRDefault="00CE7CE2" w:rsidP="00CA5D69">
      <w:pPr>
        <w:rPr>
          <w:rFonts w:ascii="Arial" w:hAnsi="Arial" w:cs="Arial"/>
          <w:shd w:val="clear" w:color="auto" w:fill="FFFFFF"/>
        </w:rPr>
      </w:pPr>
      <w:r w:rsidRPr="00FB3D9A">
        <w:rPr>
          <w:rFonts w:ascii="Arial" w:hAnsi="Arial" w:cs="Arial"/>
          <w:shd w:val="clear" w:color="auto" w:fill="FFFFFF"/>
        </w:rPr>
        <w:t>Im Jahr 20</w:t>
      </w:r>
      <w:r w:rsidR="00223C51" w:rsidRPr="00FB3D9A">
        <w:rPr>
          <w:rFonts w:ascii="Arial" w:hAnsi="Arial" w:cs="Arial"/>
          <w:shd w:val="clear" w:color="auto" w:fill="FFFFFF"/>
        </w:rPr>
        <w:t>20</w:t>
      </w:r>
      <w:r w:rsidRPr="00FB3D9A">
        <w:rPr>
          <w:rFonts w:ascii="Arial" w:hAnsi="Arial" w:cs="Arial"/>
          <w:shd w:val="clear" w:color="auto" w:fill="FFFFFF"/>
        </w:rPr>
        <w:t xml:space="preserve"> lag die Arbeitslosenquote in Deutschland laut Eurostat bei </w:t>
      </w:r>
      <w:r w:rsidR="00223C51" w:rsidRPr="00FB3D9A">
        <w:rPr>
          <w:rFonts w:ascii="Arial" w:hAnsi="Arial" w:cs="Arial"/>
          <w:shd w:val="clear" w:color="auto" w:fill="FFFFFF"/>
        </w:rPr>
        <w:t>3,8</w:t>
      </w:r>
      <w:r w:rsidRPr="00FB3D9A">
        <w:rPr>
          <w:rFonts w:ascii="Arial" w:hAnsi="Arial" w:cs="Arial"/>
          <w:shd w:val="clear" w:color="auto" w:fill="FFFFFF"/>
        </w:rPr>
        <w:t xml:space="preserve"> Prozent. Wird die Erwerbsbevölkerung nach dem höchsten erreichten Bildungsstand unterschieden, zeigt sich, dass die Arbeitslosenquote in erheblichem Maße durch den Bildungsabschluss beeinflusst wird. </w:t>
      </w:r>
      <w:r w:rsidR="004F095C" w:rsidRPr="00FB3D9A">
        <w:rPr>
          <w:rFonts w:ascii="Arial" w:hAnsi="Arial" w:cs="Arial"/>
          <w:shd w:val="clear" w:color="auto" w:fill="FFFFFF"/>
        </w:rPr>
        <w:t xml:space="preserve">Von der Erwerbsbevölkerung mit einem hohen Bildungsstand </w:t>
      </w:r>
      <w:r w:rsidRPr="00FB3D9A">
        <w:rPr>
          <w:rFonts w:ascii="Arial" w:hAnsi="Arial" w:cs="Arial"/>
          <w:shd w:val="clear" w:color="auto" w:fill="FFFFFF"/>
        </w:rPr>
        <w:t>waren im Jahr 20</w:t>
      </w:r>
      <w:r w:rsidR="00223C51" w:rsidRPr="00FB3D9A">
        <w:rPr>
          <w:rFonts w:ascii="Arial" w:hAnsi="Arial" w:cs="Arial"/>
          <w:shd w:val="clear" w:color="auto" w:fill="FFFFFF"/>
        </w:rPr>
        <w:t>20</w:t>
      </w:r>
      <w:r w:rsidRPr="00FB3D9A">
        <w:rPr>
          <w:rFonts w:ascii="Arial" w:hAnsi="Arial" w:cs="Arial"/>
          <w:shd w:val="clear" w:color="auto" w:fill="FFFFFF"/>
        </w:rPr>
        <w:t xml:space="preserve"> </w:t>
      </w:r>
      <w:r w:rsidR="004F095C" w:rsidRPr="00FB3D9A">
        <w:rPr>
          <w:rFonts w:ascii="Arial" w:hAnsi="Arial" w:cs="Arial"/>
          <w:shd w:val="clear" w:color="auto" w:fill="FFFFFF"/>
        </w:rPr>
        <w:t xml:space="preserve">deutschlandweit </w:t>
      </w:r>
      <w:r w:rsidRPr="00FB3D9A">
        <w:rPr>
          <w:rFonts w:ascii="Arial" w:hAnsi="Arial" w:cs="Arial"/>
          <w:shd w:val="clear" w:color="auto" w:fill="FFFFFF"/>
        </w:rPr>
        <w:t>lediglich 2,</w:t>
      </w:r>
      <w:r w:rsidR="00223C51" w:rsidRPr="00FB3D9A">
        <w:rPr>
          <w:rFonts w:ascii="Arial" w:hAnsi="Arial" w:cs="Arial"/>
          <w:shd w:val="clear" w:color="auto" w:fill="FFFFFF"/>
        </w:rPr>
        <w:t>6</w:t>
      </w:r>
      <w:r w:rsidRPr="00FB3D9A">
        <w:rPr>
          <w:rFonts w:ascii="Arial" w:hAnsi="Arial" w:cs="Arial"/>
          <w:shd w:val="clear" w:color="auto" w:fill="FFFFFF"/>
        </w:rPr>
        <w:t xml:space="preserve"> Prozent arbeitslos (Bildungsstand nach der Klassifikation ISCED – International Standard Classification of Education). Bei der Erwerbsbevölkerung mit einem mittleren Bildungsstand waren es im selben Jahr </w:t>
      </w:r>
      <w:r w:rsidR="00223C51" w:rsidRPr="00FB3D9A">
        <w:rPr>
          <w:rFonts w:ascii="Arial" w:hAnsi="Arial" w:cs="Arial"/>
          <w:shd w:val="clear" w:color="auto" w:fill="FFFFFF"/>
        </w:rPr>
        <w:t>3,1</w:t>
      </w:r>
      <w:r w:rsidRPr="00FB3D9A">
        <w:rPr>
          <w:rFonts w:ascii="Arial" w:hAnsi="Arial" w:cs="Arial"/>
          <w:shd w:val="clear" w:color="auto" w:fill="FFFFFF"/>
        </w:rPr>
        <w:t xml:space="preserve"> Prozent. </w:t>
      </w:r>
      <w:r w:rsidR="00DE3802">
        <w:rPr>
          <w:rFonts w:ascii="Arial" w:hAnsi="Arial" w:cs="Arial"/>
          <w:shd w:val="clear" w:color="auto" w:fill="FFFFFF"/>
        </w:rPr>
        <w:t xml:space="preserve">Hingegen </w:t>
      </w:r>
      <w:r w:rsidRPr="00FB3D9A">
        <w:rPr>
          <w:rFonts w:ascii="Arial" w:hAnsi="Arial" w:cs="Arial"/>
          <w:shd w:val="clear" w:color="auto" w:fill="FFFFFF"/>
        </w:rPr>
        <w:t xml:space="preserve">lag die Arbeitslosenquote der Erwerbsbevölkerung mit niedrigem Bildungsstand bei </w:t>
      </w:r>
      <w:r w:rsidR="00223C51" w:rsidRPr="00FB3D9A">
        <w:rPr>
          <w:rFonts w:ascii="Arial" w:hAnsi="Arial" w:cs="Arial"/>
          <w:shd w:val="clear" w:color="auto" w:fill="FFFFFF"/>
        </w:rPr>
        <w:t>8,8</w:t>
      </w:r>
      <w:r w:rsidRPr="00FB3D9A">
        <w:rPr>
          <w:rFonts w:ascii="Arial" w:hAnsi="Arial" w:cs="Arial"/>
          <w:shd w:val="clear" w:color="auto" w:fill="FFFFFF"/>
        </w:rPr>
        <w:t xml:space="preserve"> Prozent.</w:t>
      </w:r>
    </w:p>
    <w:p w:rsidR="00E91D96" w:rsidRDefault="00E91D96" w:rsidP="00CA5D69">
      <w:pPr>
        <w:rPr>
          <w:rFonts w:ascii="Arial" w:hAnsi="Arial" w:cs="Arial"/>
          <w:shd w:val="clear" w:color="auto" w:fill="FFFFFF"/>
        </w:rPr>
      </w:pPr>
    </w:p>
    <w:p w:rsidR="008F2E5D" w:rsidRDefault="004F095C" w:rsidP="008F2E5D">
      <w:pPr>
        <w:rPr>
          <w:rFonts w:ascii="Arial" w:hAnsi="Arial" w:cs="Arial"/>
          <w:shd w:val="clear" w:color="auto" w:fill="FFFFFF"/>
        </w:rPr>
      </w:pPr>
      <w:r w:rsidRPr="00802150">
        <w:rPr>
          <w:rFonts w:ascii="Arial" w:hAnsi="Arial" w:cs="Arial"/>
          <w:shd w:val="clear" w:color="auto" w:fill="FFFFFF"/>
        </w:rPr>
        <w:t xml:space="preserve">Dass die Arbeitslosenquote der Erwerbsbevölkerung mit einem niedrigen Bildungsstand höher ist als die Quote der Erwerbsbevölkerung mit einem mittleren Bildungsstand und die entsprechende Quote bei mittlerem Bildungsstand höher ist als bei einem hohen Bildungsstand, gilt </w:t>
      </w:r>
      <w:r w:rsidR="008F2E5D">
        <w:rPr>
          <w:rFonts w:ascii="Arial" w:hAnsi="Arial" w:cs="Arial"/>
          <w:shd w:val="clear" w:color="auto" w:fill="FFFFFF"/>
        </w:rPr>
        <w:t xml:space="preserve">in Deutschland </w:t>
      </w:r>
      <w:r w:rsidRPr="00802150">
        <w:rPr>
          <w:rFonts w:ascii="Arial" w:hAnsi="Arial" w:cs="Arial"/>
          <w:shd w:val="clear" w:color="auto" w:fill="FFFFFF"/>
        </w:rPr>
        <w:t xml:space="preserve">für alle hier betrachteten Jahre. </w:t>
      </w:r>
      <w:r w:rsidR="008F2E5D" w:rsidRPr="00FB3D9A">
        <w:rPr>
          <w:rFonts w:ascii="Arial" w:hAnsi="Arial" w:cs="Arial"/>
          <w:shd w:val="clear" w:color="auto" w:fill="FFFFFF"/>
        </w:rPr>
        <w:t xml:space="preserve">Der Zusammenhang zwischen hohem/mittlerem/niedrigem Bildungsstand und niedriger/mittlerer/hoher Arbeitslosenquote lässt sich für 2019/2020 außer in Zypern und Portugal </w:t>
      </w:r>
      <w:r w:rsidR="00A74FCB" w:rsidRPr="00FB3D9A">
        <w:rPr>
          <w:rFonts w:ascii="Arial" w:hAnsi="Arial" w:cs="Arial"/>
          <w:shd w:val="clear" w:color="auto" w:fill="FFFFFF"/>
        </w:rPr>
        <w:t xml:space="preserve">in allen </w:t>
      </w:r>
      <w:r w:rsidR="008F2E5D" w:rsidRPr="00FB3D9A">
        <w:rPr>
          <w:rFonts w:ascii="Arial" w:hAnsi="Arial" w:cs="Arial"/>
          <w:shd w:val="clear" w:color="auto" w:fill="FFFFFF"/>
        </w:rPr>
        <w:t xml:space="preserve">Staaten der Europäischen Union </w:t>
      </w:r>
      <w:r w:rsidR="00A74FCB" w:rsidRPr="00FB3D9A">
        <w:rPr>
          <w:rFonts w:ascii="Arial" w:hAnsi="Arial" w:cs="Arial"/>
          <w:shd w:val="clear" w:color="auto" w:fill="FFFFFF"/>
        </w:rPr>
        <w:t xml:space="preserve">feststellen. Ebenso </w:t>
      </w:r>
      <w:r w:rsidR="008F2E5D" w:rsidRPr="00FB3D9A">
        <w:rPr>
          <w:rFonts w:ascii="Arial" w:hAnsi="Arial" w:cs="Arial"/>
          <w:shd w:val="clear" w:color="auto" w:fill="FFFFFF"/>
        </w:rPr>
        <w:t>in Island, Montenegro, Nordmazedonien, Norwegen, der Schweiz und dem Vereinigten Königreich.</w:t>
      </w:r>
      <w:r w:rsidR="00C25B1B">
        <w:rPr>
          <w:rFonts w:ascii="Arial" w:hAnsi="Arial" w:cs="Arial"/>
          <w:shd w:val="clear" w:color="auto" w:fill="FFFFFF"/>
        </w:rPr>
        <w:t xml:space="preserve"> Bildung ist demnach ein zentraler Faktor zur Reduzierung von Arbeitslosigkeit.</w:t>
      </w:r>
    </w:p>
    <w:p w:rsidR="00DE3802" w:rsidRDefault="00DE3802" w:rsidP="008F2E5D">
      <w:pPr>
        <w:rPr>
          <w:rFonts w:ascii="Arial" w:hAnsi="Arial" w:cs="Arial"/>
          <w:shd w:val="clear" w:color="auto" w:fill="FFFFFF"/>
        </w:rPr>
      </w:pPr>
    </w:p>
    <w:p w:rsidR="008D5A02" w:rsidRDefault="00D91C85" w:rsidP="00D91C85">
      <w:pPr>
        <w:rPr>
          <w:rFonts w:ascii="Arial" w:hAnsi="Arial" w:cs="Arial"/>
          <w:shd w:val="clear" w:color="auto" w:fill="FFFFFF"/>
        </w:rPr>
      </w:pPr>
      <w:r w:rsidRPr="009A38E6">
        <w:rPr>
          <w:rFonts w:ascii="Arial" w:hAnsi="Arial" w:cs="Arial"/>
          <w:shd w:val="clear" w:color="auto" w:fill="FFFFFF"/>
        </w:rPr>
        <w:t xml:space="preserve">Ähnlich </w:t>
      </w:r>
      <w:r w:rsidR="00C25B1B" w:rsidRPr="009A38E6">
        <w:rPr>
          <w:rFonts w:ascii="Arial" w:hAnsi="Arial" w:cs="Arial"/>
          <w:shd w:val="clear" w:color="auto" w:fill="FFFFFF"/>
        </w:rPr>
        <w:t>auffällig</w:t>
      </w:r>
      <w:r w:rsidRPr="009A38E6">
        <w:rPr>
          <w:rFonts w:ascii="Arial" w:hAnsi="Arial" w:cs="Arial"/>
          <w:shd w:val="clear" w:color="auto" w:fill="FFFFFF"/>
        </w:rPr>
        <w:t xml:space="preserve"> </w:t>
      </w:r>
      <w:r w:rsidR="00C25B1B" w:rsidRPr="009A38E6">
        <w:rPr>
          <w:rFonts w:ascii="Arial" w:hAnsi="Arial" w:cs="Arial"/>
          <w:shd w:val="clear" w:color="auto" w:fill="FFFFFF"/>
        </w:rPr>
        <w:t xml:space="preserve">sind die Unterschiede bei den Arbeitslosenquoten, wenn verschiedene Altersgruppen verglichen werden. So lag nach Angaben </w:t>
      </w:r>
      <w:r w:rsidRPr="009A38E6">
        <w:rPr>
          <w:rFonts w:ascii="Arial" w:hAnsi="Arial" w:cs="Arial"/>
          <w:shd w:val="clear" w:color="auto" w:fill="FFFFFF"/>
        </w:rPr>
        <w:t>von Eurostat d</w:t>
      </w:r>
      <w:r w:rsidR="00C25B1B" w:rsidRPr="009A38E6">
        <w:rPr>
          <w:rFonts w:ascii="Arial" w:hAnsi="Arial" w:cs="Arial"/>
          <w:shd w:val="clear" w:color="auto" w:fill="FFFFFF"/>
        </w:rPr>
        <w:t xml:space="preserve">ie Arbeitslosenquote der 15- bis unter 20-Jährigen </w:t>
      </w:r>
      <w:r w:rsidRPr="009A38E6">
        <w:rPr>
          <w:rFonts w:ascii="Arial" w:hAnsi="Arial" w:cs="Arial"/>
          <w:shd w:val="clear" w:color="auto" w:fill="FFFFFF"/>
        </w:rPr>
        <w:t xml:space="preserve">im Jahr 2020 </w:t>
      </w:r>
      <w:r w:rsidR="00C25B1B" w:rsidRPr="009A38E6">
        <w:rPr>
          <w:rFonts w:ascii="Arial" w:hAnsi="Arial" w:cs="Arial"/>
          <w:shd w:val="clear" w:color="auto" w:fill="FFFFFF"/>
        </w:rPr>
        <w:t xml:space="preserve">bei </w:t>
      </w:r>
      <w:r w:rsidRPr="009A38E6">
        <w:rPr>
          <w:rFonts w:ascii="Arial" w:hAnsi="Arial" w:cs="Arial"/>
          <w:shd w:val="clear" w:color="auto" w:fill="FFFFFF"/>
        </w:rPr>
        <w:t>9,3</w:t>
      </w:r>
      <w:r w:rsidR="00C25B1B" w:rsidRPr="009A38E6">
        <w:rPr>
          <w:rFonts w:ascii="Arial" w:hAnsi="Arial" w:cs="Arial"/>
          <w:shd w:val="clear" w:color="auto" w:fill="FFFFFF"/>
        </w:rPr>
        <w:t xml:space="preserve"> Prozent</w:t>
      </w:r>
      <w:r w:rsidR="00E91D96">
        <w:rPr>
          <w:rFonts w:ascii="Arial" w:hAnsi="Arial" w:cs="Arial"/>
          <w:shd w:val="clear" w:color="auto" w:fill="FFFFFF"/>
        </w:rPr>
        <w:t>.</w:t>
      </w:r>
      <w:r w:rsidR="00DE3802">
        <w:rPr>
          <w:rFonts w:ascii="Arial" w:hAnsi="Arial" w:cs="Arial"/>
          <w:shd w:val="clear" w:color="auto" w:fill="FFFFFF"/>
        </w:rPr>
        <w:t xml:space="preserve"> S</w:t>
      </w:r>
      <w:r w:rsidR="00E91D96">
        <w:rPr>
          <w:rFonts w:ascii="Arial" w:hAnsi="Arial" w:cs="Arial"/>
          <w:shd w:val="clear" w:color="auto" w:fill="FFFFFF"/>
        </w:rPr>
        <w:t>ie w</w:t>
      </w:r>
      <w:r w:rsidRPr="009A38E6">
        <w:rPr>
          <w:rFonts w:ascii="Arial" w:hAnsi="Arial" w:cs="Arial"/>
          <w:shd w:val="clear" w:color="auto" w:fill="FFFFFF"/>
        </w:rPr>
        <w:t xml:space="preserve">ar damit mehr als doppelt so hoch wie die </w:t>
      </w:r>
      <w:r w:rsidR="00C25B1B" w:rsidRPr="009A38E6">
        <w:rPr>
          <w:rFonts w:ascii="Arial" w:hAnsi="Arial" w:cs="Arial"/>
          <w:shd w:val="clear" w:color="auto" w:fill="FFFFFF"/>
        </w:rPr>
        <w:t>Quote aller Erwerbspersonen (</w:t>
      </w:r>
      <w:r w:rsidRPr="009A38E6">
        <w:rPr>
          <w:rFonts w:ascii="Arial" w:hAnsi="Arial" w:cs="Arial"/>
          <w:shd w:val="clear" w:color="auto" w:fill="FFFFFF"/>
        </w:rPr>
        <w:t>3,8</w:t>
      </w:r>
      <w:r w:rsidR="00C25B1B" w:rsidRPr="009A38E6">
        <w:rPr>
          <w:rFonts w:ascii="Arial" w:hAnsi="Arial" w:cs="Arial"/>
          <w:shd w:val="clear" w:color="auto" w:fill="FFFFFF"/>
        </w:rPr>
        <w:t xml:space="preserve"> Prozent). </w:t>
      </w:r>
      <w:r w:rsidRPr="009A38E6">
        <w:rPr>
          <w:rFonts w:ascii="Arial" w:hAnsi="Arial" w:cs="Arial"/>
          <w:shd w:val="clear" w:color="auto" w:fill="FFFFFF"/>
        </w:rPr>
        <w:t xml:space="preserve">Hingegen lag die Arbeitslosenquote der </w:t>
      </w:r>
      <w:r w:rsidR="00C25B1B" w:rsidRPr="009A38E6">
        <w:rPr>
          <w:rFonts w:ascii="Arial" w:hAnsi="Arial" w:cs="Arial"/>
          <w:shd w:val="clear" w:color="auto" w:fill="FFFFFF"/>
        </w:rPr>
        <w:t>55- bis unter 65-jährigen Personen</w:t>
      </w:r>
      <w:r w:rsidRPr="009A38E6">
        <w:rPr>
          <w:rFonts w:ascii="Arial" w:hAnsi="Arial" w:cs="Arial"/>
          <w:shd w:val="clear" w:color="auto" w:fill="FFFFFF"/>
        </w:rPr>
        <w:t xml:space="preserve"> </w:t>
      </w:r>
      <w:r w:rsidR="00C25B1B" w:rsidRPr="009A38E6">
        <w:rPr>
          <w:rFonts w:ascii="Arial" w:hAnsi="Arial" w:cs="Arial"/>
          <w:shd w:val="clear" w:color="auto" w:fill="FFFFFF"/>
        </w:rPr>
        <w:t xml:space="preserve">im </w:t>
      </w:r>
      <w:r w:rsidRPr="009A38E6">
        <w:rPr>
          <w:rFonts w:ascii="Arial" w:hAnsi="Arial" w:cs="Arial"/>
          <w:shd w:val="clear" w:color="auto" w:fill="FFFFFF"/>
        </w:rPr>
        <w:t xml:space="preserve">selben </w:t>
      </w:r>
      <w:r w:rsidR="00C25B1B" w:rsidRPr="009A38E6">
        <w:rPr>
          <w:rFonts w:ascii="Arial" w:hAnsi="Arial" w:cs="Arial"/>
          <w:shd w:val="clear" w:color="auto" w:fill="FFFFFF"/>
        </w:rPr>
        <w:t xml:space="preserve">Jahr </w:t>
      </w:r>
      <w:r w:rsidRPr="009A38E6">
        <w:rPr>
          <w:rFonts w:ascii="Arial" w:hAnsi="Arial" w:cs="Arial"/>
          <w:shd w:val="clear" w:color="auto" w:fill="FFFFFF"/>
        </w:rPr>
        <w:t xml:space="preserve">bei 3,2 </w:t>
      </w:r>
      <w:r w:rsidR="00C25B1B" w:rsidRPr="009A38E6">
        <w:rPr>
          <w:rFonts w:ascii="Arial" w:hAnsi="Arial" w:cs="Arial"/>
          <w:shd w:val="clear" w:color="auto" w:fill="FFFFFF"/>
        </w:rPr>
        <w:t>Prozent</w:t>
      </w:r>
      <w:r w:rsidRPr="009A38E6">
        <w:rPr>
          <w:rFonts w:ascii="Arial" w:hAnsi="Arial" w:cs="Arial"/>
          <w:shd w:val="clear" w:color="auto" w:fill="FFFFFF"/>
        </w:rPr>
        <w:t xml:space="preserve"> und damit leicht niedriger als der Durchschnitt</w:t>
      </w:r>
      <w:r w:rsidR="00C25B1B" w:rsidRPr="009A38E6">
        <w:rPr>
          <w:rFonts w:ascii="Arial" w:hAnsi="Arial" w:cs="Arial"/>
          <w:shd w:val="clear" w:color="auto" w:fill="FFFFFF"/>
        </w:rPr>
        <w:t>.</w:t>
      </w:r>
    </w:p>
    <w:p w:rsidR="00DE3802" w:rsidRDefault="00DE3802" w:rsidP="00D91C85">
      <w:pPr>
        <w:rPr>
          <w:rFonts w:ascii="Arial" w:hAnsi="Arial" w:cs="Arial"/>
          <w:shd w:val="clear" w:color="auto" w:fill="FFFFFF"/>
        </w:rPr>
      </w:pPr>
    </w:p>
    <w:p w:rsidR="00D91C85" w:rsidRDefault="009A38E6" w:rsidP="00D91C85">
      <w:pPr>
        <w:rPr>
          <w:rFonts w:ascii="Arial" w:hAnsi="Arial" w:cs="Arial"/>
          <w:shd w:val="clear" w:color="auto" w:fill="FFFFFF"/>
        </w:rPr>
      </w:pPr>
      <w:r w:rsidRPr="009A38E6">
        <w:rPr>
          <w:rFonts w:ascii="Arial" w:hAnsi="Arial" w:cs="Arial"/>
          <w:shd w:val="clear" w:color="auto" w:fill="FFFFFF"/>
        </w:rPr>
        <w:t xml:space="preserve">Allerdings </w:t>
      </w:r>
      <w:r w:rsidR="00DE3802">
        <w:rPr>
          <w:rFonts w:ascii="Arial" w:hAnsi="Arial" w:cs="Arial"/>
          <w:shd w:val="clear" w:color="auto" w:fill="FFFFFF"/>
        </w:rPr>
        <w:t xml:space="preserve">ist </w:t>
      </w:r>
      <w:r w:rsidRPr="009A38E6">
        <w:rPr>
          <w:rFonts w:ascii="Arial" w:hAnsi="Arial" w:cs="Arial"/>
          <w:shd w:val="clear" w:color="auto" w:fill="FFFFFF"/>
        </w:rPr>
        <w:t xml:space="preserve">das Verhältnis der beiden Quoten zueinander </w:t>
      </w:r>
      <w:r w:rsidR="00DE3802">
        <w:rPr>
          <w:rFonts w:ascii="Arial" w:hAnsi="Arial" w:cs="Arial"/>
          <w:shd w:val="clear" w:color="auto" w:fill="FFFFFF"/>
        </w:rPr>
        <w:t xml:space="preserve">nicht so stabil wie beim Thema Bildung, sondern hat sich </w:t>
      </w:r>
      <w:r w:rsidRPr="009A38E6">
        <w:rPr>
          <w:rFonts w:ascii="Arial" w:hAnsi="Arial" w:cs="Arial"/>
          <w:shd w:val="clear" w:color="auto" w:fill="FFFFFF"/>
        </w:rPr>
        <w:t xml:space="preserve">im Laufe der Zeit verändert: </w:t>
      </w:r>
      <w:r w:rsidR="00D91C85" w:rsidRPr="009A38E6">
        <w:rPr>
          <w:rFonts w:ascii="Arial" w:hAnsi="Arial" w:cs="Arial"/>
          <w:shd w:val="clear" w:color="auto" w:fill="FFFFFF"/>
        </w:rPr>
        <w:t xml:space="preserve">Die Jugendarbeitslosenquote – also der Anteil der Arbeitslosen an der Erwerbsbevölkerung bei den 15- bis unter 20-Jährigen – war in den Jahren 1995 bis 2004 durchgehend niedriger als die </w:t>
      </w:r>
      <w:r w:rsidRPr="009A38E6">
        <w:rPr>
          <w:rFonts w:ascii="Arial" w:hAnsi="Arial" w:cs="Arial"/>
          <w:shd w:val="clear" w:color="auto" w:fill="FFFFFF"/>
        </w:rPr>
        <w:t xml:space="preserve">Arbeitslosenquote </w:t>
      </w:r>
      <w:r w:rsidR="00D91C85" w:rsidRPr="009A38E6">
        <w:rPr>
          <w:rFonts w:ascii="Arial" w:hAnsi="Arial" w:cs="Arial"/>
          <w:shd w:val="clear" w:color="auto" w:fill="FFFFFF"/>
        </w:rPr>
        <w:t xml:space="preserve">der 55- bis unter 65-Jährigen, seit 2005 ist sie durchgehend höher. Der Abstand zwischen den beiden Quoten hat sich nach und nach vergrößert, weil die Arbeitslosenquote der 55- bis unter 65-Jährigen </w:t>
      </w:r>
      <w:r w:rsidRPr="009A38E6">
        <w:rPr>
          <w:rFonts w:ascii="Arial" w:hAnsi="Arial" w:cs="Arial"/>
          <w:shd w:val="clear" w:color="auto" w:fill="FFFFFF"/>
        </w:rPr>
        <w:t xml:space="preserve">seit 2005 </w:t>
      </w:r>
      <w:r w:rsidR="00D91C85" w:rsidRPr="009A38E6">
        <w:rPr>
          <w:rFonts w:ascii="Arial" w:hAnsi="Arial" w:cs="Arial"/>
          <w:shd w:val="clear" w:color="auto" w:fill="FFFFFF"/>
        </w:rPr>
        <w:t xml:space="preserve">deutlich schneller gesunken ist als die </w:t>
      </w:r>
      <w:r w:rsidR="00E91D96">
        <w:rPr>
          <w:rFonts w:ascii="Arial" w:hAnsi="Arial" w:cs="Arial"/>
          <w:shd w:val="clear" w:color="auto" w:fill="FFFFFF"/>
        </w:rPr>
        <w:t xml:space="preserve">Quote </w:t>
      </w:r>
      <w:r w:rsidR="00D91C85" w:rsidRPr="009A38E6">
        <w:rPr>
          <w:rFonts w:ascii="Arial" w:hAnsi="Arial" w:cs="Arial"/>
          <w:shd w:val="clear" w:color="auto" w:fill="FFFFFF"/>
        </w:rPr>
        <w:t>der 15- bis unter 20-Jährigen.</w:t>
      </w:r>
    </w:p>
    <w:p w:rsidR="008D5A02" w:rsidRDefault="008D5A02" w:rsidP="00D91C85">
      <w:pPr>
        <w:rPr>
          <w:rFonts w:ascii="Arial" w:hAnsi="Arial" w:cs="Arial"/>
          <w:shd w:val="clear" w:color="auto" w:fill="FFFFFF"/>
        </w:rPr>
      </w:pPr>
    </w:p>
    <w:p w:rsidR="00AB2457" w:rsidRDefault="00C25B1B" w:rsidP="00CA5D69">
      <w:pPr>
        <w:rPr>
          <w:rFonts w:ascii="Arial" w:hAnsi="Arial" w:cs="Arial"/>
          <w:shd w:val="clear" w:color="auto" w:fill="FFFFFF"/>
        </w:rPr>
      </w:pPr>
      <w:r w:rsidRPr="00F2560B">
        <w:rPr>
          <w:rFonts w:ascii="Arial" w:hAnsi="Arial" w:cs="Arial"/>
          <w:shd w:val="clear" w:color="auto" w:fill="FFFFFF"/>
        </w:rPr>
        <w:t xml:space="preserve">Im </w:t>
      </w:r>
      <w:r w:rsidR="00E91D96">
        <w:rPr>
          <w:rFonts w:ascii="Arial" w:hAnsi="Arial" w:cs="Arial"/>
          <w:shd w:val="clear" w:color="auto" w:fill="FFFFFF"/>
        </w:rPr>
        <w:t xml:space="preserve">Vergleich </w:t>
      </w:r>
      <w:r w:rsidRPr="00F2560B">
        <w:rPr>
          <w:rFonts w:ascii="Arial" w:hAnsi="Arial" w:cs="Arial"/>
          <w:shd w:val="clear" w:color="auto" w:fill="FFFFFF"/>
        </w:rPr>
        <w:t xml:space="preserve">zu den Daten </w:t>
      </w:r>
      <w:r w:rsidR="00D91C85" w:rsidRPr="00F2560B">
        <w:rPr>
          <w:rFonts w:ascii="Arial" w:hAnsi="Arial" w:cs="Arial"/>
          <w:shd w:val="clear" w:color="auto" w:fill="FFFFFF"/>
        </w:rPr>
        <w:t xml:space="preserve">von Eurostat ist die </w:t>
      </w:r>
      <w:r w:rsidRPr="00F2560B">
        <w:rPr>
          <w:rFonts w:ascii="Arial" w:hAnsi="Arial" w:cs="Arial"/>
          <w:shd w:val="clear" w:color="auto" w:fill="FFFFFF"/>
        </w:rPr>
        <w:t xml:space="preserve">Arbeitslosenquote der </w:t>
      </w:r>
      <w:r w:rsidR="00D91C85" w:rsidRPr="00F2560B">
        <w:rPr>
          <w:rFonts w:ascii="Arial" w:hAnsi="Arial" w:cs="Arial"/>
          <w:shd w:val="clear" w:color="auto" w:fill="FFFFFF"/>
        </w:rPr>
        <w:t xml:space="preserve">15- bis unter 20-Jährigen laut </w:t>
      </w:r>
      <w:r w:rsidR="00DE3802">
        <w:rPr>
          <w:rFonts w:ascii="Arial" w:hAnsi="Arial" w:cs="Arial"/>
          <w:shd w:val="clear" w:color="auto" w:fill="FFFFFF"/>
        </w:rPr>
        <w:t xml:space="preserve">der </w:t>
      </w:r>
      <w:r w:rsidR="00D91C85">
        <w:rPr>
          <w:rFonts w:ascii="Arial" w:hAnsi="Arial" w:cs="Arial"/>
          <w:shd w:val="clear" w:color="auto" w:fill="FFFFFF"/>
        </w:rPr>
        <w:t>Bundesagentur für Arbeit (BA) sehr viel niedriger</w:t>
      </w:r>
      <w:r w:rsidR="00DE3802">
        <w:rPr>
          <w:rFonts w:ascii="Arial" w:hAnsi="Arial" w:cs="Arial"/>
          <w:shd w:val="clear" w:color="auto" w:fill="FFFFFF"/>
        </w:rPr>
        <w:t>:</w:t>
      </w:r>
      <w:r w:rsidR="00D91C85">
        <w:rPr>
          <w:rFonts w:ascii="Arial" w:hAnsi="Arial" w:cs="Arial"/>
          <w:shd w:val="clear" w:color="auto" w:fill="FFFFFF"/>
        </w:rPr>
        <w:t xml:space="preserve"> 2020 lag sie</w:t>
      </w:r>
      <w:r w:rsidR="00DE3802">
        <w:rPr>
          <w:rFonts w:ascii="Arial" w:hAnsi="Arial" w:cs="Arial"/>
          <w:shd w:val="clear" w:color="auto" w:fill="FFFFFF"/>
        </w:rPr>
        <w:t xml:space="preserve"> b</w:t>
      </w:r>
      <w:r w:rsidR="00D91C85">
        <w:rPr>
          <w:rFonts w:ascii="Arial" w:hAnsi="Arial" w:cs="Arial"/>
          <w:shd w:val="clear" w:color="auto" w:fill="FFFFFF"/>
        </w:rPr>
        <w:t>ei lediglich 3,7 Prozent.</w:t>
      </w:r>
      <w:r w:rsidR="008D5A02">
        <w:rPr>
          <w:rFonts w:ascii="Arial" w:hAnsi="Arial" w:cs="Arial"/>
          <w:shd w:val="clear" w:color="auto" w:fill="FFFFFF"/>
        </w:rPr>
        <w:t xml:space="preserve"> </w:t>
      </w:r>
      <w:r w:rsidR="002B28DB">
        <w:rPr>
          <w:rFonts w:ascii="Arial" w:hAnsi="Arial" w:cs="Arial"/>
          <w:shd w:val="clear" w:color="auto" w:fill="FFFFFF"/>
        </w:rPr>
        <w:t xml:space="preserve">Nach Angaben des </w:t>
      </w:r>
      <w:r w:rsidR="00AB2457" w:rsidRPr="00AB2457">
        <w:rPr>
          <w:rFonts w:ascii="Arial" w:hAnsi="Arial" w:cs="Arial"/>
          <w:shd w:val="clear" w:color="auto" w:fill="FFFFFF"/>
        </w:rPr>
        <w:t>Institut</w:t>
      </w:r>
      <w:r w:rsidR="002B28DB">
        <w:rPr>
          <w:rFonts w:ascii="Arial" w:hAnsi="Arial" w:cs="Arial"/>
          <w:shd w:val="clear" w:color="auto" w:fill="FFFFFF"/>
        </w:rPr>
        <w:t>s</w:t>
      </w:r>
      <w:r w:rsidR="00AB2457" w:rsidRPr="00AB2457">
        <w:rPr>
          <w:rFonts w:ascii="Arial" w:hAnsi="Arial" w:cs="Arial"/>
          <w:shd w:val="clear" w:color="auto" w:fill="FFFFFF"/>
        </w:rPr>
        <w:t xml:space="preserve"> für Arbeitsmarkt- und Berufsforschung (IAB)</w:t>
      </w:r>
      <w:r w:rsidR="002B28DB" w:rsidRPr="002B28DB">
        <w:rPr>
          <w:rFonts w:ascii="Arial" w:hAnsi="Arial" w:cs="Arial"/>
          <w:shd w:val="clear" w:color="auto" w:fill="FFFFFF"/>
        </w:rPr>
        <w:t xml:space="preserve"> sind für die Abweichungen mehrere Faktoren verantwortlich. </w:t>
      </w:r>
      <w:r w:rsidR="002B28DB">
        <w:rPr>
          <w:rFonts w:ascii="Arial" w:hAnsi="Arial" w:cs="Arial"/>
          <w:shd w:val="clear" w:color="auto" w:fill="FFFFFF"/>
        </w:rPr>
        <w:t>Be</w:t>
      </w:r>
      <w:r w:rsidR="002B28DB" w:rsidRPr="002B28DB">
        <w:rPr>
          <w:rFonts w:ascii="Arial" w:hAnsi="Arial" w:cs="Arial"/>
          <w:shd w:val="clear" w:color="auto" w:fill="FFFFFF"/>
        </w:rPr>
        <w:t xml:space="preserve">ispielsweise </w:t>
      </w:r>
      <w:r w:rsidR="002B28DB">
        <w:rPr>
          <w:rFonts w:ascii="Arial" w:hAnsi="Arial" w:cs="Arial"/>
          <w:shd w:val="clear" w:color="auto" w:fill="FFFFFF"/>
        </w:rPr>
        <w:t>werden von</w:t>
      </w:r>
      <w:r w:rsidR="00DE3802">
        <w:rPr>
          <w:rFonts w:ascii="Arial" w:hAnsi="Arial" w:cs="Arial"/>
          <w:shd w:val="clear" w:color="auto" w:fill="FFFFFF"/>
        </w:rPr>
        <w:t xml:space="preserve"> der </w:t>
      </w:r>
      <w:r w:rsidR="002B28DB">
        <w:rPr>
          <w:rFonts w:ascii="Arial" w:hAnsi="Arial" w:cs="Arial"/>
          <w:shd w:val="clear" w:color="auto" w:fill="FFFFFF"/>
        </w:rPr>
        <w:t xml:space="preserve">BA </w:t>
      </w:r>
      <w:r w:rsidR="002B28DB" w:rsidRPr="002B28DB">
        <w:rPr>
          <w:rFonts w:ascii="Arial" w:hAnsi="Arial" w:cs="Arial"/>
          <w:shd w:val="clear" w:color="auto" w:fill="FFFFFF"/>
        </w:rPr>
        <w:t xml:space="preserve">ausbildungssuchende Jugendliche nicht in der </w:t>
      </w:r>
      <w:r w:rsidR="002B28DB" w:rsidRPr="002B28DB">
        <w:rPr>
          <w:rFonts w:ascii="Arial" w:hAnsi="Arial" w:cs="Arial"/>
          <w:shd w:val="clear" w:color="auto" w:fill="FFFFFF"/>
        </w:rPr>
        <w:lastRenderedPageBreak/>
        <w:t>Arbeitslosen</w:t>
      </w:r>
      <w:r w:rsidR="002B28DB">
        <w:rPr>
          <w:rFonts w:ascii="Arial" w:hAnsi="Arial" w:cs="Arial"/>
          <w:shd w:val="clear" w:color="auto" w:fill="FFFFFF"/>
        </w:rPr>
        <w:t>s</w:t>
      </w:r>
      <w:r w:rsidR="002B28DB" w:rsidRPr="002B28DB">
        <w:rPr>
          <w:rFonts w:ascii="Arial" w:hAnsi="Arial" w:cs="Arial"/>
          <w:shd w:val="clear" w:color="auto" w:fill="FFFFFF"/>
        </w:rPr>
        <w:t>tatistik</w:t>
      </w:r>
      <w:r w:rsidR="002B28DB">
        <w:rPr>
          <w:rFonts w:ascii="Arial" w:hAnsi="Arial" w:cs="Arial"/>
          <w:shd w:val="clear" w:color="auto" w:fill="FFFFFF"/>
        </w:rPr>
        <w:t xml:space="preserve"> erfasst. Ebenso gelten </w:t>
      </w:r>
      <w:r w:rsidR="002B28DB" w:rsidRPr="002B28DB">
        <w:rPr>
          <w:rFonts w:ascii="Arial" w:hAnsi="Arial" w:cs="Arial"/>
          <w:shd w:val="clear" w:color="auto" w:fill="FFFFFF"/>
        </w:rPr>
        <w:t>Schüler und Studenten, die während ihrer Ausbildung/</w:t>
      </w:r>
      <w:r w:rsidR="002B28DB">
        <w:rPr>
          <w:rFonts w:ascii="Arial" w:hAnsi="Arial" w:cs="Arial"/>
          <w:shd w:val="clear" w:color="auto" w:fill="FFFFFF"/>
        </w:rPr>
        <w:t xml:space="preserve">ihres </w:t>
      </w:r>
      <w:r w:rsidR="002B28DB" w:rsidRPr="002B28DB">
        <w:rPr>
          <w:rFonts w:ascii="Arial" w:hAnsi="Arial" w:cs="Arial"/>
          <w:shd w:val="clear" w:color="auto" w:fill="FFFFFF"/>
        </w:rPr>
        <w:t>Studium</w:t>
      </w:r>
      <w:r w:rsidR="002B28DB">
        <w:rPr>
          <w:rFonts w:ascii="Arial" w:hAnsi="Arial" w:cs="Arial"/>
          <w:shd w:val="clear" w:color="auto" w:fill="FFFFFF"/>
        </w:rPr>
        <w:t>s</w:t>
      </w:r>
      <w:r w:rsidR="002B28DB" w:rsidRPr="002B28DB">
        <w:rPr>
          <w:rFonts w:ascii="Arial" w:hAnsi="Arial" w:cs="Arial"/>
          <w:shd w:val="clear" w:color="auto" w:fill="FFFFFF"/>
        </w:rPr>
        <w:t xml:space="preserve"> nach einem Job suchen</w:t>
      </w:r>
      <w:r w:rsidR="002B28DB">
        <w:rPr>
          <w:rFonts w:ascii="Arial" w:hAnsi="Arial" w:cs="Arial"/>
          <w:shd w:val="clear" w:color="auto" w:fill="FFFFFF"/>
        </w:rPr>
        <w:t>,</w:t>
      </w:r>
      <w:r w:rsidR="002B28DB" w:rsidRPr="002B28DB">
        <w:rPr>
          <w:rFonts w:ascii="Arial" w:hAnsi="Arial" w:cs="Arial"/>
          <w:shd w:val="clear" w:color="auto" w:fill="FFFFFF"/>
        </w:rPr>
        <w:t xml:space="preserve"> </w:t>
      </w:r>
      <w:r w:rsidR="002B28DB">
        <w:rPr>
          <w:rFonts w:ascii="Arial" w:hAnsi="Arial" w:cs="Arial"/>
          <w:shd w:val="clear" w:color="auto" w:fill="FFFFFF"/>
        </w:rPr>
        <w:t xml:space="preserve">in der amtlichen Statistik nicht </w:t>
      </w:r>
      <w:r w:rsidR="002B28DB" w:rsidRPr="002B28DB">
        <w:rPr>
          <w:rFonts w:ascii="Arial" w:hAnsi="Arial" w:cs="Arial"/>
          <w:shd w:val="clear" w:color="auto" w:fill="FFFFFF"/>
        </w:rPr>
        <w:t>als arbeitslos. Weiter melden sich viele Jugendliche nicht bei de</w:t>
      </w:r>
      <w:r w:rsidR="002B28DB">
        <w:rPr>
          <w:rFonts w:ascii="Arial" w:hAnsi="Arial" w:cs="Arial"/>
          <w:shd w:val="clear" w:color="auto" w:fill="FFFFFF"/>
        </w:rPr>
        <w:t xml:space="preserve">n Arbeitsagenturen, weil sie </w:t>
      </w:r>
      <w:r w:rsidR="002B28DB" w:rsidRPr="002B28DB">
        <w:rPr>
          <w:rFonts w:ascii="Arial" w:hAnsi="Arial" w:cs="Arial"/>
          <w:shd w:val="clear" w:color="auto" w:fill="FFFFFF"/>
        </w:rPr>
        <w:t>keinen Anspruch auf Leistungen haben</w:t>
      </w:r>
      <w:r w:rsidR="002B28DB">
        <w:rPr>
          <w:rFonts w:ascii="Arial" w:hAnsi="Arial" w:cs="Arial"/>
          <w:shd w:val="clear" w:color="auto" w:fill="FFFFFF"/>
        </w:rPr>
        <w:t xml:space="preserve"> – die Registrierung ist aber eine Voraussetzung für die statistische Erfassung</w:t>
      </w:r>
      <w:r w:rsidR="002B28DB" w:rsidRPr="002B28DB">
        <w:rPr>
          <w:rFonts w:ascii="Arial" w:hAnsi="Arial" w:cs="Arial"/>
          <w:shd w:val="clear" w:color="auto" w:fill="FFFFFF"/>
        </w:rPr>
        <w:t>.</w:t>
      </w:r>
    </w:p>
    <w:p w:rsidR="00DE3802" w:rsidRDefault="00DE3802"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8D5A02" w:rsidRDefault="00130C1E" w:rsidP="00130C1E">
      <w:pPr>
        <w:rPr>
          <w:rFonts w:ascii="Arial" w:hAnsi="Arial" w:cs="Arial"/>
          <w:shd w:val="clear" w:color="auto" w:fill="FFFFFF"/>
        </w:rPr>
      </w:pPr>
    </w:p>
    <w:p w:rsidR="00CE7CE2" w:rsidRPr="008D5A02" w:rsidRDefault="00821DDC" w:rsidP="00B55546">
      <w:pPr>
        <w:rPr>
          <w:rFonts w:ascii="Arial" w:hAnsi="Arial" w:cs="Arial"/>
          <w:shd w:val="clear" w:color="auto" w:fill="FFFFFF"/>
        </w:rPr>
      </w:pPr>
      <w:r w:rsidRPr="008D5A02">
        <w:rPr>
          <w:rFonts w:ascii="Arial" w:hAnsi="Arial" w:cs="Arial"/>
          <w:shd w:val="clear" w:color="auto" w:fill="FFFFFF"/>
        </w:rPr>
        <w:t>Eurostat: Online-Datenbank: Arbeitslosenquote nach Bildungsstand, Arbeitslosenquoten nach Geschlecht, Alter und Staatsangehörigkeit (Stand: 04/2021)</w:t>
      </w:r>
      <w:r w:rsidR="009B1418" w:rsidRPr="008D5A02">
        <w:rPr>
          <w:rFonts w:ascii="Arial" w:hAnsi="Arial" w:cs="Arial"/>
          <w:shd w:val="clear" w:color="auto" w:fill="FFFFFF"/>
        </w:rPr>
        <w:t>; Bundesagentur für Arbeit (BA): Arbeitslosigkeit im Zeitverlauf 03/2021</w:t>
      </w:r>
      <w:r w:rsidR="00B55546" w:rsidRPr="008D5A02">
        <w:rPr>
          <w:rFonts w:ascii="Arial" w:hAnsi="Arial" w:cs="Arial"/>
          <w:shd w:val="clear" w:color="auto" w:fill="FFFFFF"/>
        </w:rPr>
        <w:t>;</w:t>
      </w:r>
      <w:r w:rsidR="00AB2457" w:rsidRPr="008D5A02">
        <w:rPr>
          <w:rFonts w:ascii="Arial" w:hAnsi="Arial" w:cs="Arial"/>
          <w:shd w:val="clear" w:color="auto" w:fill="FFFFFF"/>
        </w:rPr>
        <w:t xml:space="preserve"> Institut für Arbeitsmarkt- und Berufsforschung (IAB):</w:t>
      </w:r>
      <w:r w:rsidR="00B55546" w:rsidRPr="008D5A02">
        <w:rPr>
          <w:rFonts w:ascii="Arial" w:hAnsi="Arial" w:cs="Arial"/>
          <w:shd w:val="clear" w:color="auto" w:fill="FFFFFF"/>
        </w:rPr>
        <w:t xml:space="preserve"> Forschungsbericht 06/2017: </w:t>
      </w:r>
      <w:proofErr w:type="spellStart"/>
      <w:r w:rsidR="00B55546" w:rsidRPr="008D5A02">
        <w:rPr>
          <w:rFonts w:ascii="Arial" w:hAnsi="Arial" w:cs="Arial"/>
          <w:shd w:val="clear" w:color="auto" w:fill="FFFFFF"/>
        </w:rPr>
        <w:t>What</w:t>
      </w:r>
      <w:proofErr w:type="spellEnd"/>
      <w:r w:rsidR="00B55546" w:rsidRPr="008D5A02">
        <w:rPr>
          <w:rFonts w:ascii="Arial" w:hAnsi="Arial" w:cs="Arial"/>
          <w:shd w:val="clear" w:color="auto" w:fill="FFFFFF"/>
        </w:rPr>
        <w:t xml:space="preserve"> </w:t>
      </w:r>
      <w:proofErr w:type="spellStart"/>
      <w:r w:rsidR="00B55546" w:rsidRPr="008D5A02">
        <w:rPr>
          <w:rFonts w:ascii="Arial" w:hAnsi="Arial" w:cs="Arial"/>
          <w:shd w:val="clear" w:color="auto" w:fill="FFFFFF"/>
        </w:rPr>
        <w:t>harmonised</w:t>
      </w:r>
      <w:proofErr w:type="spellEnd"/>
      <w:r w:rsidR="00B55546" w:rsidRPr="008D5A02">
        <w:rPr>
          <w:rFonts w:ascii="Arial" w:hAnsi="Arial" w:cs="Arial"/>
          <w:shd w:val="clear" w:color="auto" w:fill="FFFFFF"/>
        </w:rPr>
        <w:t xml:space="preserve"> and registered</w:t>
      </w:r>
      <w:r w:rsidR="00AB2457" w:rsidRPr="008D5A02">
        <w:rPr>
          <w:rFonts w:ascii="Arial" w:hAnsi="Arial" w:cs="Arial"/>
          <w:shd w:val="clear" w:color="auto" w:fill="FFFFFF"/>
        </w:rPr>
        <w:t xml:space="preserve"> </w:t>
      </w:r>
      <w:proofErr w:type="spellStart"/>
      <w:r w:rsidR="00B55546" w:rsidRPr="008D5A02">
        <w:rPr>
          <w:rFonts w:ascii="Arial" w:hAnsi="Arial" w:cs="Arial"/>
          <w:shd w:val="clear" w:color="auto" w:fill="FFFFFF"/>
        </w:rPr>
        <w:t>unemployment</w:t>
      </w:r>
      <w:proofErr w:type="spellEnd"/>
      <w:r w:rsidR="00B55546" w:rsidRPr="008D5A02">
        <w:rPr>
          <w:rFonts w:ascii="Arial" w:hAnsi="Arial" w:cs="Arial"/>
          <w:shd w:val="clear" w:color="auto" w:fill="FFFFFF"/>
        </w:rPr>
        <w:t xml:space="preserve"> </w:t>
      </w:r>
      <w:proofErr w:type="spellStart"/>
      <w:r w:rsidR="00B55546" w:rsidRPr="008D5A02">
        <w:rPr>
          <w:rFonts w:ascii="Arial" w:hAnsi="Arial" w:cs="Arial"/>
          <w:shd w:val="clear" w:color="auto" w:fill="FFFFFF"/>
        </w:rPr>
        <w:t>rates</w:t>
      </w:r>
      <w:proofErr w:type="spellEnd"/>
      <w:r w:rsidR="00B55546" w:rsidRPr="008D5A02">
        <w:rPr>
          <w:rFonts w:ascii="Arial" w:hAnsi="Arial" w:cs="Arial"/>
          <w:shd w:val="clear" w:color="auto" w:fill="FFFFFF"/>
        </w:rPr>
        <w:t xml:space="preserve"> do not </w:t>
      </w:r>
      <w:proofErr w:type="spellStart"/>
      <w:r w:rsidR="00B55546" w:rsidRPr="008D5A02">
        <w:rPr>
          <w:rFonts w:ascii="Arial" w:hAnsi="Arial" w:cs="Arial"/>
          <w:shd w:val="clear" w:color="auto" w:fill="FFFFFF"/>
        </w:rPr>
        <w:t>tell</w:t>
      </w:r>
      <w:proofErr w:type="spellEnd"/>
    </w:p>
    <w:p w:rsidR="008D5A02" w:rsidRPr="008D5A02" w:rsidRDefault="008D5A02" w:rsidP="00B55546">
      <w:pPr>
        <w:rPr>
          <w:rFonts w:ascii="Arial" w:hAnsi="Arial" w:cs="Arial"/>
          <w:shd w:val="clear" w:color="auto" w:fill="FFFFFF"/>
        </w:rPr>
      </w:pPr>
    </w:p>
    <w:p w:rsidR="00777492" w:rsidRDefault="00CA5D69" w:rsidP="00777492">
      <w:pPr>
        <w:rPr>
          <w:rFonts w:ascii="Arial" w:hAnsi="Arial"/>
          <w:color w:val="FF0000"/>
        </w:rPr>
      </w:pPr>
      <w:r w:rsidRPr="00CA5D69">
        <w:rPr>
          <w:rFonts w:ascii="Arial" w:hAnsi="Arial"/>
          <w:color w:val="FF0000"/>
        </w:rPr>
        <w:t>Begriffe, methodische Anmerkungen oder Lesehilfen</w:t>
      </w:r>
    </w:p>
    <w:p w:rsidR="008D5A02" w:rsidRPr="00AD7915" w:rsidRDefault="008D5A02" w:rsidP="009D43D4">
      <w:pPr>
        <w:rPr>
          <w:rFonts w:ascii="Arial" w:hAnsi="Arial" w:cs="Arial"/>
          <w:shd w:val="clear" w:color="auto" w:fill="FFFFFF"/>
        </w:rPr>
      </w:pPr>
    </w:p>
    <w:p w:rsidR="009D43D4" w:rsidRPr="00AD7915" w:rsidRDefault="009D43D4" w:rsidP="009D43D4">
      <w:pPr>
        <w:rPr>
          <w:rFonts w:ascii="Arial" w:hAnsi="Arial"/>
        </w:rPr>
      </w:pPr>
      <w:r w:rsidRPr="00AD7915">
        <w:rPr>
          <w:rStyle w:val="Fett"/>
          <w:rFonts w:ascii="Arial" w:hAnsi="Arial" w:cs="Arial"/>
          <w:shd w:val="clear" w:color="auto" w:fill="FFFFFF"/>
        </w:rPr>
        <w:t>Eurostat </w:t>
      </w:r>
      <w:r w:rsidRPr="00AD7915">
        <w:rPr>
          <w:rFonts w:ascii="Arial" w:hAnsi="Arial" w:cs="Arial"/>
          <w:shd w:val="clear" w:color="auto" w:fill="FFFFFF"/>
        </w:rPr>
        <w:t xml:space="preserve">zählt zu den </w:t>
      </w:r>
      <w:r w:rsidRPr="00AD7915">
        <w:rPr>
          <w:rFonts w:ascii="Arial" w:hAnsi="Arial" w:cs="Arial"/>
          <w:b/>
          <w:shd w:val="clear" w:color="auto" w:fill="FFFFFF"/>
        </w:rPr>
        <w:t>Arbeitslosen</w:t>
      </w:r>
      <w:r w:rsidRPr="00AD7915">
        <w:rPr>
          <w:rFonts w:ascii="Arial" w:hAnsi="Arial" w:cs="Arial"/>
          <w:shd w:val="clear" w:color="auto" w:fill="FFFFFF"/>
        </w:rPr>
        <w:t xml:space="preserve"> alle Personen von 15 bis unter 75 Jahren,</w:t>
      </w:r>
      <w:r w:rsidRPr="00AD7915">
        <w:rPr>
          <w:rFonts w:ascii="Arial" w:hAnsi="Arial" w:cs="Arial"/>
        </w:rPr>
        <w:br/>
      </w:r>
    </w:p>
    <w:p w:rsidR="009D43D4" w:rsidRPr="00AD7915" w:rsidRDefault="009D43D4" w:rsidP="009D43D4">
      <w:pPr>
        <w:pStyle w:val="Listenabsatz"/>
        <w:numPr>
          <w:ilvl w:val="0"/>
          <w:numId w:val="1"/>
        </w:numPr>
        <w:rPr>
          <w:rFonts w:ascii="Arial" w:hAnsi="Arial"/>
        </w:rPr>
      </w:pPr>
      <w:r w:rsidRPr="00AD7915">
        <w:rPr>
          <w:rFonts w:ascii="Arial" w:hAnsi="Arial"/>
        </w:rPr>
        <w:t>die während der Bezugswoche ohne Arbeit waren,</w:t>
      </w:r>
    </w:p>
    <w:p w:rsidR="009D43D4" w:rsidRPr="00AD7915" w:rsidRDefault="009D43D4" w:rsidP="009D43D4">
      <w:pPr>
        <w:pStyle w:val="Listenabsatz"/>
        <w:numPr>
          <w:ilvl w:val="0"/>
          <w:numId w:val="1"/>
        </w:numPr>
        <w:rPr>
          <w:rFonts w:ascii="Arial" w:hAnsi="Arial"/>
        </w:rPr>
      </w:pPr>
      <w:r w:rsidRPr="00AD7915">
        <w:rPr>
          <w:rFonts w:ascii="Arial" w:hAnsi="Arial"/>
        </w:rPr>
        <w:t xml:space="preserve">die innerhalb der letzten vier Wochen aktiv eine Beschäftigung gesucht haben und </w:t>
      </w:r>
    </w:p>
    <w:p w:rsidR="009D43D4" w:rsidRPr="00AD7915" w:rsidRDefault="009D43D4" w:rsidP="009D43D4">
      <w:pPr>
        <w:pStyle w:val="Listenabsatz"/>
        <w:numPr>
          <w:ilvl w:val="0"/>
          <w:numId w:val="1"/>
        </w:numPr>
        <w:rPr>
          <w:rFonts w:ascii="Arial" w:hAnsi="Arial"/>
        </w:rPr>
      </w:pPr>
      <w:r w:rsidRPr="00AD7915">
        <w:rPr>
          <w:rFonts w:ascii="Arial" w:hAnsi="Arial"/>
        </w:rPr>
        <w:t>die sofort bzw. innerhalb von zwei Wochen eine Beschäftigung aufnehmen könnten.</w:t>
      </w:r>
    </w:p>
    <w:p w:rsidR="009D43D4" w:rsidRPr="00AD7915" w:rsidRDefault="009D43D4" w:rsidP="009D43D4">
      <w:pPr>
        <w:rPr>
          <w:rFonts w:ascii="Arial" w:hAnsi="Arial"/>
        </w:rPr>
      </w:pPr>
    </w:p>
    <w:p w:rsidR="009D43D4" w:rsidRPr="00AD7915" w:rsidRDefault="009D43D4" w:rsidP="009D43D4">
      <w:pPr>
        <w:rPr>
          <w:rFonts w:ascii="Arial" w:hAnsi="Arial" w:cs="Arial"/>
          <w:shd w:val="clear" w:color="auto" w:fill="FFFFFF"/>
        </w:rPr>
      </w:pPr>
      <w:r w:rsidRPr="00AD7915">
        <w:rPr>
          <w:rFonts w:ascii="Arial" w:hAnsi="Arial" w:cs="Arial"/>
          <w:b/>
          <w:shd w:val="clear" w:color="auto" w:fill="FFFFFF"/>
        </w:rPr>
        <w:t>Erwerbstätige</w:t>
      </w:r>
      <w:r w:rsidRPr="00AD7915">
        <w:rPr>
          <w:rFonts w:ascii="Arial" w:hAnsi="Arial" w:cs="Arial"/>
          <w:shd w:val="clear" w:color="auto" w:fill="FFFFFF"/>
        </w:rPr>
        <w:t xml:space="preserve"> sind alle Personen im Alter von mindestens 15 Jahren, die in der Bezugswoche (der EU-Arbeitskräfteerhebung) gegen Entgelt oder zur Gewinnerzielung mindestens eine Stunde gearbeitet haben sowie alle Personen, die nur vorübergehend von ihrer Arbeit abwesend sind (z.B. aufgrund von Krankheit oder Urlaub).</w:t>
      </w:r>
    </w:p>
    <w:p w:rsidR="009D43D4" w:rsidRPr="00AD7915" w:rsidRDefault="009D43D4" w:rsidP="009D43D4">
      <w:pPr>
        <w:rPr>
          <w:rFonts w:ascii="Arial" w:hAnsi="Arial" w:cs="Arial"/>
          <w:shd w:val="clear" w:color="auto" w:fill="FFFFFF"/>
        </w:rPr>
      </w:pPr>
    </w:p>
    <w:p w:rsidR="009D43D4" w:rsidRPr="00AD7915" w:rsidRDefault="009D43D4" w:rsidP="009D43D4">
      <w:pPr>
        <w:rPr>
          <w:rFonts w:ascii="Arial" w:hAnsi="Arial" w:cs="Arial"/>
          <w:shd w:val="clear" w:color="auto" w:fill="FFFFFF"/>
        </w:rPr>
      </w:pPr>
      <w:r w:rsidRPr="00AD7915">
        <w:rPr>
          <w:rFonts w:ascii="Arial" w:hAnsi="Arial" w:cs="Arial"/>
          <w:shd w:val="clear" w:color="auto" w:fill="FFFFFF"/>
        </w:rPr>
        <w:t>Ausführliche Informationen zur </w:t>
      </w:r>
      <w:r w:rsidRPr="00AD7915">
        <w:rPr>
          <w:rStyle w:val="Fett"/>
          <w:rFonts w:ascii="Arial" w:hAnsi="Arial" w:cs="Arial"/>
          <w:shd w:val="clear" w:color="auto" w:fill="FFFFFF"/>
        </w:rPr>
        <w:t>ISCED-Klassifikation</w:t>
      </w:r>
      <w:r w:rsidRPr="00AD7915">
        <w:rPr>
          <w:rFonts w:ascii="Arial" w:hAnsi="Arial" w:cs="Arial"/>
          <w:shd w:val="clear" w:color="auto" w:fill="FFFFFF"/>
        </w:rPr>
        <w:t xml:space="preserve"> (International Standard Classification of Education) erhalten Sie bei Eurostat: </w:t>
      </w:r>
    </w:p>
    <w:p w:rsidR="009D43D4" w:rsidRPr="009E1646" w:rsidRDefault="009E1646" w:rsidP="009D43D4">
      <w:pPr>
        <w:rPr>
          <w:rFonts w:ascii="Arial" w:hAnsi="Arial" w:cs="Arial"/>
          <w:color w:val="363636"/>
        </w:rPr>
      </w:pPr>
      <w:hyperlink r:id="rId6" w:history="1">
        <w:r w:rsidR="009D43D4" w:rsidRPr="009E1646">
          <w:rPr>
            <w:rStyle w:val="Hyperlink"/>
            <w:rFonts w:ascii="Arial" w:hAnsi="Arial" w:cs="Arial"/>
          </w:rPr>
          <w:t>https://ec.europa.eu/eurostat/statistics-explained/index.php?title=Glossary:International_standard_classification_of_education_(ISCED)/de</w:t>
        </w:r>
      </w:hyperlink>
    </w:p>
    <w:p w:rsidR="009D43D4" w:rsidRPr="00AD7915" w:rsidRDefault="009D43D4" w:rsidP="009D43D4">
      <w:pPr>
        <w:rPr>
          <w:rFonts w:ascii="Arial" w:hAnsi="Arial" w:cs="Arial"/>
          <w:shd w:val="clear" w:color="auto" w:fill="FFFFFF"/>
        </w:rPr>
      </w:pPr>
    </w:p>
    <w:p w:rsidR="009B1418" w:rsidRPr="00427FB6" w:rsidRDefault="009B1418" w:rsidP="009B1418">
      <w:pPr>
        <w:rPr>
          <w:rFonts w:ascii="Arial" w:hAnsi="Arial" w:cs="Arial"/>
          <w:color w:val="363636"/>
          <w:shd w:val="clear" w:color="auto" w:fill="FFFFFF"/>
        </w:rPr>
      </w:pPr>
      <w:r w:rsidRPr="00AD7915">
        <w:rPr>
          <w:rFonts w:ascii="Arial" w:hAnsi="Arial" w:cs="Arial"/>
          <w:shd w:val="clear" w:color="auto" w:fill="FFFFFF"/>
        </w:rPr>
        <w:t>Weitere Informationen zur </w:t>
      </w:r>
      <w:r w:rsidRPr="00AD7915">
        <w:rPr>
          <w:rStyle w:val="Fett"/>
          <w:rFonts w:ascii="Arial" w:hAnsi="Arial" w:cs="Arial"/>
          <w:shd w:val="clear" w:color="auto" w:fill="FFFFFF"/>
        </w:rPr>
        <w:t>Arbeitslosigkeit in Europa</w:t>
      </w:r>
      <w:r w:rsidRPr="00AD7915">
        <w:rPr>
          <w:rFonts w:ascii="Arial" w:hAnsi="Arial" w:cs="Arial"/>
          <w:shd w:val="clear" w:color="auto" w:fill="FFFFFF"/>
        </w:rPr>
        <w:t xml:space="preserve"> erhalten Sie hier: </w:t>
      </w:r>
      <w:hyperlink r:id="rId7" w:history="1">
        <w:r w:rsidRPr="00427FB6">
          <w:rPr>
            <w:rStyle w:val="Hyperlink"/>
            <w:rFonts w:ascii="Arial" w:hAnsi="Arial" w:cs="Arial"/>
            <w:shd w:val="clear" w:color="auto" w:fill="FFFFFF"/>
          </w:rPr>
          <w:t>https://www.bpb.de/70606</w:t>
        </w:r>
      </w:hyperlink>
    </w:p>
    <w:p w:rsidR="00860CE0" w:rsidRPr="00AD7915" w:rsidRDefault="00860CE0" w:rsidP="001B7D15">
      <w:pPr>
        <w:rPr>
          <w:rFonts w:ascii="Arial" w:hAnsi="Arial" w:cs="Arial"/>
          <w:shd w:val="clear" w:color="auto" w:fill="FFFFFF"/>
        </w:rPr>
      </w:pPr>
    </w:p>
    <w:p w:rsidR="001B7D15" w:rsidRPr="00AD7915" w:rsidRDefault="009D43D4" w:rsidP="001B7D15">
      <w:pPr>
        <w:rPr>
          <w:rFonts w:ascii="Arial" w:hAnsi="Arial" w:cs="Arial"/>
          <w:sz w:val="20"/>
          <w:szCs w:val="20"/>
        </w:rPr>
      </w:pPr>
      <w:r w:rsidRPr="00AD7915">
        <w:rPr>
          <w:rFonts w:ascii="Arial" w:hAnsi="Arial" w:cs="Arial"/>
          <w:shd w:val="clear" w:color="auto" w:fill="FFFFFF"/>
        </w:rPr>
        <w:t xml:space="preserve">Im Gegensatz zu Eurostat </w:t>
      </w:r>
      <w:r w:rsidR="009B1418" w:rsidRPr="00AD7915">
        <w:rPr>
          <w:rFonts w:ascii="Arial" w:hAnsi="Arial" w:cs="Arial"/>
          <w:shd w:val="clear" w:color="auto" w:fill="FFFFFF"/>
        </w:rPr>
        <w:t xml:space="preserve">beruhen die Angaben zur Arbeitslosigkeit der </w:t>
      </w:r>
      <w:r w:rsidRPr="00AD7915">
        <w:rPr>
          <w:rFonts w:ascii="Arial" w:hAnsi="Arial" w:cs="Arial"/>
          <w:b/>
          <w:shd w:val="clear" w:color="auto" w:fill="FFFFFF"/>
        </w:rPr>
        <w:t>Bundesagentur für Arbeit</w:t>
      </w:r>
      <w:r w:rsidRPr="00AD7915">
        <w:rPr>
          <w:rFonts w:ascii="Arial" w:hAnsi="Arial" w:cs="Arial"/>
          <w:shd w:val="clear" w:color="auto" w:fill="FFFFFF"/>
        </w:rPr>
        <w:t xml:space="preserve"> (BA)</w:t>
      </w:r>
      <w:r w:rsidR="009B1418" w:rsidRPr="00AD7915">
        <w:rPr>
          <w:rFonts w:ascii="Arial" w:hAnsi="Arial" w:cs="Arial"/>
          <w:shd w:val="clear" w:color="auto" w:fill="FFFFFF"/>
        </w:rPr>
        <w:t xml:space="preserve"> auf dem Dritten Buch Sozialgesetzbuch (§ 16 SGB III). Danach sind </w:t>
      </w:r>
      <w:r w:rsidRPr="00AD7915">
        <w:rPr>
          <w:rFonts w:ascii="Arial" w:hAnsi="Arial" w:cs="Arial"/>
          <w:b/>
          <w:shd w:val="clear" w:color="auto" w:fill="FFFFFF"/>
        </w:rPr>
        <w:t>A</w:t>
      </w:r>
      <w:r w:rsidR="0042743F" w:rsidRPr="00AD7915">
        <w:rPr>
          <w:rStyle w:val="Fett"/>
          <w:rFonts w:ascii="Arial" w:hAnsi="Arial" w:cs="Arial"/>
          <w:shd w:val="clear" w:color="auto" w:fill="FFFFFF"/>
        </w:rPr>
        <w:t>rbeitslose </w:t>
      </w:r>
      <w:r w:rsidR="0042743F" w:rsidRPr="00AD7915">
        <w:rPr>
          <w:rFonts w:ascii="Arial" w:hAnsi="Arial" w:cs="Arial"/>
          <w:shd w:val="clear" w:color="auto" w:fill="FFFFFF"/>
        </w:rPr>
        <w:t>Personen, die vorübergehend nicht in einem Beschäftigungsverhältnis stehen oder nur eine weniger als 15 Stunden wöchentlich umfassende Beschäftigung ausüben, eine versicherungspflichtige, mindestens 15 Stunden wöchentlich umfassende Beschäftigung suchen und dabei den Vermittlungsbemühungen der Agentur für Arbeit oder des Jobcenters zur Verfügung stehen, also arbeitsfähig und -bereit sind. Zudem müssen sie in der Bundesrepublik Deutschland wohnen, nicht jünger als 15 Jahre sein, die Altersgrenze für den Renteneintritt noch nicht erreicht haben und sich persönlich bei einer Agentur für Arbeit oder einem Jobcenter arbeitslos gemeldet haben. Schüler, Studenten oder Teilnehmer an Maßnahmen der aktiven Arbeitsmarktpolitik gelten nicht als arbeitslos.</w:t>
      </w:r>
      <w:r w:rsidR="0042743F" w:rsidRPr="00AD7915">
        <w:rPr>
          <w:rFonts w:ascii="Arial" w:hAnsi="Arial" w:cs="Arial"/>
        </w:rPr>
        <w:br/>
      </w:r>
      <w:r w:rsidR="0042743F" w:rsidRPr="00AD7915">
        <w:rPr>
          <w:rFonts w:ascii="Arial" w:hAnsi="Arial" w:cs="Arial"/>
        </w:rPr>
        <w:lastRenderedPageBreak/>
        <w:br/>
      </w:r>
      <w:r w:rsidR="0042743F" w:rsidRPr="00AD7915">
        <w:rPr>
          <w:rFonts w:ascii="Arial" w:hAnsi="Arial" w:cs="Arial"/>
          <w:shd w:val="clear" w:color="auto" w:fill="FFFFFF"/>
        </w:rPr>
        <w:t>Die </w:t>
      </w:r>
      <w:r w:rsidR="0042743F" w:rsidRPr="00AD7915">
        <w:rPr>
          <w:rStyle w:val="Fett"/>
          <w:rFonts w:ascii="Arial" w:hAnsi="Arial" w:cs="Arial"/>
          <w:shd w:val="clear" w:color="auto" w:fill="FFFFFF"/>
        </w:rPr>
        <w:t>Arbeitslosenquote </w:t>
      </w:r>
      <w:r w:rsidR="0042743F" w:rsidRPr="00AD7915">
        <w:rPr>
          <w:rFonts w:ascii="Arial" w:hAnsi="Arial" w:cs="Arial"/>
          <w:shd w:val="clear" w:color="auto" w:fill="FFFFFF"/>
        </w:rPr>
        <w:t>entspricht dem prozentualen Anteil der Arbeitslosen an den Erwerbspersonen. Die Erwerbspersonen setzen sich aus den Erwerbstätigen und den Arbeitslosen zusammen. Je nach Definition werden die Arbeitslosen auf die abhängigen zivilen Erwerbspersonen (sozialversicherungspflichtig und geringfügig Beschäftigte, Beamte und Arbeitslose) oder auf alle zivilen Erwerbspersonen (abhängige zivile Erwerbspersonen, Selbstständige und mithelfende Familienangehörige) bezogen.</w:t>
      </w:r>
      <w:r w:rsidR="00536275" w:rsidRPr="00AD7915">
        <w:rPr>
          <w:rFonts w:ascii="Arial" w:hAnsi="Arial" w:cs="Arial"/>
        </w:rPr>
        <w:br/>
      </w:r>
      <w:r w:rsidR="00536275" w:rsidRPr="00AD7915">
        <w:rPr>
          <w:rFonts w:ascii="Arial" w:hAnsi="Arial" w:cs="Arial"/>
        </w:rPr>
        <w:br/>
      </w:r>
      <w:r w:rsidR="001B7D15" w:rsidRPr="00AD7915">
        <w:rPr>
          <w:rFonts w:ascii="Arial" w:hAnsi="Arial" w:cs="Arial"/>
          <w:sz w:val="20"/>
          <w:szCs w:val="20"/>
        </w:rPr>
        <w:t xml:space="preserve">Dieser Text ist unter der Creative Commons Lizenz </w:t>
      </w:r>
      <w:hyperlink r:id="rId8" w:tgtFrame="extern" w:history="1">
        <w:r w:rsidR="001B7D15" w:rsidRPr="00AD7915">
          <w:rPr>
            <w:rFonts w:ascii="Arial" w:hAnsi="Arial" w:cs="Arial"/>
            <w:sz w:val="20"/>
            <w:szCs w:val="20"/>
          </w:rPr>
          <w:t>by-nc-nd/3.0/de/</w:t>
        </w:r>
      </w:hyperlink>
      <w:r w:rsidR="001B7D15" w:rsidRPr="00AD7915">
        <w:rPr>
          <w:rFonts w:ascii="Arial" w:hAnsi="Arial" w:cs="Arial"/>
          <w:sz w:val="20"/>
          <w:szCs w:val="20"/>
        </w:rPr>
        <w:t xml:space="preserve"> veröffentlicht. </w:t>
      </w:r>
    </w:p>
    <w:p w:rsidR="001B7D15" w:rsidRPr="00AD7915" w:rsidRDefault="001B7D15">
      <w:pPr>
        <w:rPr>
          <w:rFonts w:ascii="Arial" w:hAnsi="Arial" w:cs="Arial"/>
        </w:rPr>
      </w:pPr>
      <w:r w:rsidRPr="00AD7915">
        <w:rPr>
          <w:rFonts w:ascii="Arial" w:hAnsi="Arial" w:cs="Arial"/>
          <w:sz w:val="20"/>
          <w:szCs w:val="20"/>
        </w:rPr>
        <w:t>Bundeszentrale für politische Bildung 20</w:t>
      </w:r>
      <w:r w:rsidR="00BD5C4D" w:rsidRPr="00AD7915">
        <w:rPr>
          <w:rFonts w:ascii="Arial" w:hAnsi="Arial" w:cs="Arial"/>
          <w:sz w:val="20"/>
          <w:szCs w:val="20"/>
        </w:rPr>
        <w:t>2</w:t>
      </w:r>
      <w:r w:rsidR="0050670A" w:rsidRPr="00AD7915">
        <w:rPr>
          <w:rFonts w:ascii="Arial" w:hAnsi="Arial" w:cs="Arial"/>
          <w:sz w:val="20"/>
          <w:szCs w:val="20"/>
        </w:rPr>
        <w:t>1</w:t>
      </w:r>
      <w:r w:rsidRPr="00AD7915">
        <w:rPr>
          <w:rFonts w:ascii="Arial" w:hAnsi="Arial" w:cs="Arial"/>
          <w:sz w:val="20"/>
          <w:szCs w:val="20"/>
        </w:rPr>
        <w:t xml:space="preserve"> | </w:t>
      </w:r>
      <w:hyperlink r:id="rId9" w:history="1">
        <w:r w:rsidRPr="00AD7915">
          <w:rPr>
            <w:rFonts w:ascii="Arial" w:hAnsi="Arial" w:cs="Arial"/>
            <w:sz w:val="20"/>
            <w:szCs w:val="20"/>
          </w:rPr>
          <w:t>www.bpb.de</w:t>
        </w:r>
      </w:hyperlink>
    </w:p>
    <w:sectPr w:rsidR="001B7D15" w:rsidRPr="00AD79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80310"/>
    <w:rsid w:val="000843E1"/>
    <w:rsid w:val="0009167D"/>
    <w:rsid w:val="00095BBC"/>
    <w:rsid w:val="00096ABB"/>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B606B"/>
    <w:rsid w:val="001B7D15"/>
    <w:rsid w:val="001B7F6A"/>
    <w:rsid w:val="001D198C"/>
    <w:rsid w:val="001D7E07"/>
    <w:rsid w:val="001E5E13"/>
    <w:rsid w:val="001F0077"/>
    <w:rsid w:val="001F7F43"/>
    <w:rsid w:val="00212FA5"/>
    <w:rsid w:val="0021766E"/>
    <w:rsid w:val="00223C51"/>
    <w:rsid w:val="00236386"/>
    <w:rsid w:val="00244199"/>
    <w:rsid w:val="00244394"/>
    <w:rsid w:val="00260769"/>
    <w:rsid w:val="00266714"/>
    <w:rsid w:val="002676AC"/>
    <w:rsid w:val="002766B9"/>
    <w:rsid w:val="0028024F"/>
    <w:rsid w:val="002B28DB"/>
    <w:rsid w:val="002B5C93"/>
    <w:rsid w:val="002C242C"/>
    <w:rsid w:val="002E7D46"/>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20BAC"/>
    <w:rsid w:val="004210B3"/>
    <w:rsid w:val="004242F8"/>
    <w:rsid w:val="004250EE"/>
    <w:rsid w:val="00425117"/>
    <w:rsid w:val="0042743F"/>
    <w:rsid w:val="00427FB6"/>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95C"/>
    <w:rsid w:val="004F0DF6"/>
    <w:rsid w:val="004F2EB9"/>
    <w:rsid w:val="004F5774"/>
    <w:rsid w:val="0050670A"/>
    <w:rsid w:val="0051310F"/>
    <w:rsid w:val="00514A82"/>
    <w:rsid w:val="005234DF"/>
    <w:rsid w:val="00536275"/>
    <w:rsid w:val="005533BA"/>
    <w:rsid w:val="005557C5"/>
    <w:rsid w:val="00563462"/>
    <w:rsid w:val="00577775"/>
    <w:rsid w:val="00594628"/>
    <w:rsid w:val="005B4D9E"/>
    <w:rsid w:val="005C7778"/>
    <w:rsid w:val="005E5C94"/>
    <w:rsid w:val="005F7382"/>
    <w:rsid w:val="00617540"/>
    <w:rsid w:val="00625C9B"/>
    <w:rsid w:val="00652ACF"/>
    <w:rsid w:val="00652DD2"/>
    <w:rsid w:val="006556F0"/>
    <w:rsid w:val="00670B9F"/>
    <w:rsid w:val="0068567A"/>
    <w:rsid w:val="006A3317"/>
    <w:rsid w:val="006B1677"/>
    <w:rsid w:val="006B2F04"/>
    <w:rsid w:val="006F1854"/>
    <w:rsid w:val="0070122C"/>
    <w:rsid w:val="00722C39"/>
    <w:rsid w:val="00740C0E"/>
    <w:rsid w:val="00743840"/>
    <w:rsid w:val="007443B1"/>
    <w:rsid w:val="00745A92"/>
    <w:rsid w:val="00756A6D"/>
    <w:rsid w:val="00766238"/>
    <w:rsid w:val="00777492"/>
    <w:rsid w:val="00793840"/>
    <w:rsid w:val="007B4AD0"/>
    <w:rsid w:val="007C3EFF"/>
    <w:rsid w:val="007D3B72"/>
    <w:rsid w:val="007E347B"/>
    <w:rsid w:val="007E4236"/>
    <w:rsid w:val="007E4C5C"/>
    <w:rsid w:val="007E7424"/>
    <w:rsid w:val="007F4155"/>
    <w:rsid w:val="00802150"/>
    <w:rsid w:val="00812651"/>
    <w:rsid w:val="00821DDC"/>
    <w:rsid w:val="008226BB"/>
    <w:rsid w:val="0082696E"/>
    <w:rsid w:val="00833813"/>
    <w:rsid w:val="00833EB8"/>
    <w:rsid w:val="00835E1B"/>
    <w:rsid w:val="00841E79"/>
    <w:rsid w:val="00841ECF"/>
    <w:rsid w:val="00843264"/>
    <w:rsid w:val="0085672F"/>
    <w:rsid w:val="008579A4"/>
    <w:rsid w:val="0086092F"/>
    <w:rsid w:val="00860CE0"/>
    <w:rsid w:val="00864E6C"/>
    <w:rsid w:val="0088239F"/>
    <w:rsid w:val="00892026"/>
    <w:rsid w:val="008A292E"/>
    <w:rsid w:val="008B2910"/>
    <w:rsid w:val="008C59DD"/>
    <w:rsid w:val="008D0676"/>
    <w:rsid w:val="008D0CEB"/>
    <w:rsid w:val="008D5A02"/>
    <w:rsid w:val="008E0F4F"/>
    <w:rsid w:val="008E550C"/>
    <w:rsid w:val="008F2E5D"/>
    <w:rsid w:val="00905F27"/>
    <w:rsid w:val="009135B0"/>
    <w:rsid w:val="009219CE"/>
    <w:rsid w:val="00922D13"/>
    <w:rsid w:val="00932EC5"/>
    <w:rsid w:val="009418DE"/>
    <w:rsid w:val="00950462"/>
    <w:rsid w:val="0095097C"/>
    <w:rsid w:val="00957E65"/>
    <w:rsid w:val="009635A6"/>
    <w:rsid w:val="00986482"/>
    <w:rsid w:val="0099599B"/>
    <w:rsid w:val="009A01C9"/>
    <w:rsid w:val="009A38E6"/>
    <w:rsid w:val="009A39DD"/>
    <w:rsid w:val="009B1418"/>
    <w:rsid w:val="009B34B6"/>
    <w:rsid w:val="009C5327"/>
    <w:rsid w:val="009C7AE9"/>
    <w:rsid w:val="009D43D4"/>
    <w:rsid w:val="009E0BFE"/>
    <w:rsid w:val="009E1646"/>
    <w:rsid w:val="009E3A9C"/>
    <w:rsid w:val="009E5785"/>
    <w:rsid w:val="009E690C"/>
    <w:rsid w:val="009F1743"/>
    <w:rsid w:val="00A11B2C"/>
    <w:rsid w:val="00A14D4F"/>
    <w:rsid w:val="00A20379"/>
    <w:rsid w:val="00A30C39"/>
    <w:rsid w:val="00A3520F"/>
    <w:rsid w:val="00A36099"/>
    <w:rsid w:val="00A37E7C"/>
    <w:rsid w:val="00A563F5"/>
    <w:rsid w:val="00A665D1"/>
    <w:rsid w:val="00A74FCB"/>
    <w:rsid w:val="00A853E6"/>
    <w:rsid w:val="00A86D33"/>
    <w:rsid w:val="00AA1895"/>
    <w:rsid w:val="00AB2457"/>
    <w:rsid w:val="00AB6CC0"/>
    <w:rsid w:val="00AC61BA"/>
    <w:rsid w:val="00AD308A"/>
    <w:rsid w:val="00AD5A2B"/>
    <w:rsid w:val="00AD7565"/>
    <w:rsid w:val="00AD7915"/>
    <w:rsid w:val="00AE73D2"/>
    <w:rsid w:val="00B046F9"/>
    <w:rsid w:val="00B15B38"/>
    <w:rsid w:val="00B26333"/>
    <w:rsid w:val="00B32082"/>
    <w:rsid w:val="00B330D7"/>
    <w:rsid w:val="00B33419"/>
    <w:rsid w:val="00B55546"/>
    <w:rsid w:val="00B6099E"/>
    <w:rsid w:val="00B73F14"/>
    <w:rsid w:val="00B74018"/>
    <w:rsid w:val="00B812AB"/>
    <w:rsid w:val="00BA27C4"/>
    <w:rsid w:val="00BA37F8"/>
    <w:rsid w:val="00BC5FEF"/>
    <w:rsid w:val="00BC60BC"/>
    <w:rsid w:val="00BD5C4D"/>
    <w:rsid w:val="00BE7B0C"/>
    <w:rsid w:val="00BF2D38"/>
    <w:rsid w:val="00BF5551"/>
    <w:rsid w:val="00C23848"/>
    <w:rsid w:val="00C25B1B"/>
    <w:rsid w:val="00C32A40"/>
    <w:rsid w:val="00C33977"/>
    <w:rsid w:val="00C46A1D"/>
    <w:rsid w:val="00C5712E"/>
    <w:rsid w:val="00C7374E"/>
    <w:rsid w:val="00C832FB"/>
    <w:rsid w:val="00C83F01"/>
    <w:rsid w:val="00C878A1"/>
    <w:rsid w:val="00C944A0"/>
    <w:rsid w:val="00CA5D69"/>
    <w:rsid w:val="00CC5C8D"/>
    <w:rsid w:val="00CC7933"/>
    <w:rsid w:val="00CD4881"/>
    <w:rsid w:val="00CE6004"/>
    <w:rsid w:val="00CE7CE2"/>
    <w:rsid w:val="00CF2201"/>
    <w:rsid w:val="00CF3BF7"/>
    <w:rsid w:val="00D10100"/>
    <w:rsid w:val="00D17469"/>
    <w:rsid w:val="00D239C1"/>
    <w:rsid w:val="00D31880"/>
    <w:rsid w:val="00D4298E"/>
    <w:rsid w:val="00D50139"/>
    <w:rsid w:val="00D6551E"/>
    <w:rsid w:val="00D67563"/>
    <w:rsid w:val="00D701D7"/>
    <w:rsid w:val="00D90271"/>
    <w:rsid w:val="00D91C85"/>
    <w:rsid w:val="00D9574D"/>
    <w:rsid w:val="00DA0F72"/>
    <w:rsid w:val="00DA6BAE"/>
    <w:rsid w:val="00DB1472"/>
    <w:rsid w:val="00DC1022"/>
    <w:rsid w:val="00DE3802"/>
    <w:rsid w:val="00DE45D7"/>
    <w:rsid w:val="00DF4935"/>
    <w:rsid w:val="00E120DD"/>
    <w:rsid w:val="00E17263"/>
    <w:rsid w:val="00E5688D"/>
    <w:rsid w:val="00E771E2"/>
    <w:rsid w:val="00E87B35"/>
    <w:rsid w:val="00E91D96"/>
    <w:rsid w:val="00EB0E7B"/>
    <w:rsid w:val="00ED0C9F"/>
    <w:rsid w:val="00ED7BBC"/>
    <w:rsid w:val="00EE5A3C"/>
    <w:rsid w:val="00EF2F99"/>
    <w:rsid w:val="00F02304"/>
    <w:rsid w:val="00F0757C"/>
    <w:rsid w:val="00F14B2A"/>
    <w:rsid w:val="00F20B03"/>
    <w:rsid w:val="00F23DFF"/>
    <w:rsid w:val="00F2560B"/>
    <w:rsid w:val="00F33357"/>
    <w:rsid w:val="00F35780"/>
    <w:rsid w:val="00F56CBA"/>
    <w:rsid w:val="00F62A17"/>
    <w:rsid w:val="00F71E76"/>
    <w:rsid w:val="00F833D1"/>
    <w:rsid w:val="00F86A3C"/>
    <w:rsid w:val="00FA4969"/>
    <w:rsid w:val="00FB357F"/>
    <w:rsid w:val="00FB3D9A"/>
    <w:rsid w:val="00FB4674"/>
    <w:rsid w:val="00FC1A3B"/>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777492"/>
    <w:pPr>
      <w:suppressAutoHyphens/>
      <w:spacing w:line="100" w:lineRule="atLeast"/>
      <w:ind w:left="720"/>
      <w:contextualSpacing/>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777492"/>
    <w:pPr>
      <w:suppressAutoHyphens/>
      <w:spacing w:line="100" w:lineRule="atLeast"/>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1990010682">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s://www.bpb.de/70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statistics-explained/index.php?title=Glossary:International_standard_classification_of_education_(ISCED)/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2021-10-04T12:19:00Z</dcterms:created>
  <dcterms:modified xsi:type="dcterms:W3CDTF">2021-10-11T19:42:00Z</dcterms:modified>
</cp:coreProperties>
</file>