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F4" w:rsidRPr="004B375E" w:rsidRDefault="008538F4" w:rsidP="008538F4">
      <w:pPr>
        <w:rPr>
          <w:rFonts w:ascii="Arial" w:hAnsi="Arial" w:cs="Arial"/>
          <w:b/>
          <w:shd w:val="clear" w:color="auto" w:fill="FFFFFF"/>
        </w:rPr>
      </w:pPr>
      <w:bookmarkStart w:id="0" w:name="_GoBack"/>
      <w:bookmarkEnd w:id="0"/>
      <w:r w:rsidRPr="004B375E">
        <w:rPr>
          <w:rFonts w:ascii="Arial" w:hAnsi="Arial" w:cs="Arial"/>
          <w:b/>
          <w:shd w:val="clear" w:color="auto" w:fill="FFFFFF"/>
        </w:rPr>
        <w:t>Werden die einzelnen Einkommensgruppen in Deutschland betrachtet, zeigt sich, dass die sogenannte Mittelschicht zwischen 1996 und 2016 geschrumpft ist</w:t>
      </w:r>
      <w:r w:rsidR="00857F8E" w:rsidRPr="004B375E">
        <w:rPr>
          <w:rFonts w:ascii="Arial" w:hAnsi="Arial" w:cs="Arial"/>
          <w:b/>
          <w:shd w:val="clear" w:color="auto" w:fill="FFFFFF"/>
        </w:rPr>
        <w:t>:</w:t>
      </w:r>
      <w:r w:rsidRPr="004B375E">
        <w:rPr>
          <w:rFonts w:ascii="Arial" w:hAnsi="Arial" w:cs="Arial"/>
          <w:b/>
          <w:shd w:val="clear" w:color="auto" w:fill="FFFFFF"/>
        </w:rPr>
        <w:t xml:space="preserve"> 1996 hatten noch 6</w:t>
      </w:r>
      <w:r w:rsidR="00857F8E" w:rsidRPr="004B375E">
        <w:rPr>
          <w:rFonts w:ascii="Arial" w:hAnsi="Arial" w:cs="Arial"/>
          <w:b/>
          <w:shd w:val="clear" w:color="auto" w:fill="FFFFFF"/>
        </w:rPr>
        <w:t>5</w:t>
      </w:r>
      <w:r w:rsidRPr="004B375E">
        <w:rPr>
          <w:rFonts w:ascii="Arial" w:hAnsi="Arial" w:cs="Arial"/>
          <w:b/>
          <w:shd w:val="clear" w:color="auto" w:fill="FFFFFF"/>
        </w:rPr>
        <w:t xml:space="preserve"> Prozent der Bevölkerung ein Einkommen, </w:t>
      </w:r>
      <w:r w:rsidR="0062494D" w:rsidRPr="004B375E">
        <w:rPr>
          <w:rFonts w:ascii="Arial" w:hAnsi="Arial" w:cs="Arial"/>
          <w:b/>
          <w:shd w:val="clear" w:color="auto" w:fill="FFFFFF"/>
        </w:rPr>
        <w:t>d</w:t>
      </w:r>
      <w:r w:rsidRPr="004B375E">
        <w:rPr>
          <w:rFonts w:ascii="Arial" w:hAnsi="Arial" w:cs="Arial"/>
          <w:b/>
          <w:shd w:val="clear" w:color="auto" w:fill="FFFFFF"/>
        </w:rPr>
        <w:t xml:space="preserve">as zwischen 70 und unter 150 Prozent des </w:t>
      </w:r>
      <w:r w:rsidR="00857F8E" w:rsidRPr="004B375E">
        <w:rPr>
          <w:rFonts w:ascii="Arial" w:hAnsi="Arial" w:cs="Arial"/>
          <w:b/>
          <w:shd w:val="clear" w:color="auto" w:fill="FFFFFF"/>
        </w:rPr>
        <w:t>mittleren E</w:t>
      </w:r>
      <w:r w:rsidRPr="004B375E">
        <w:rPr>
          <w:rFonts w:ascii="Arial" w:hAnsi="Arial" w:cs="Arial"/>
          <w:b/>
          <w:shd w:val="clear" w:color="auto" w:fill="FFFFFF"/>
        </w:rPr>
        <w:t>inkommens</w:t>
      </w:r>
      <w:r w:rsidR="00857F8E" w:rsidRPr="004B375E">
        <w:rPr>
          <w:rFonts w:ascii="Arial" w:hAnsi="Arial" w:cs="Arial"/>
          <w:b/>
          <w:shd w:val="clear" w:color="auto" w:fill="FFFFFF"/>
        </w:rPr>
        <w:t xml:space="preserve"> lag. Bis 2016 verringerte sich der </w:t>
      </w:r>
      <w:r w:rsidR="005138ED" w:rsidRPr="004B375E">
        <w:rPr>
          <w:rFonts w:ascii="Arial" w:hAnsi="Arial" w:cs="Arial"/>
          <w:b/>
          <w:shd w:val="clear" w:color="auto" w:fill="FFFFFF"/>
        </w:rPr>
        <w:t>Bevölkerungsa</w:t>
      </w:r>
      <w:r w:rsidR="00857F8E" w:rsidRPr="004B375E">
        <w:rPr>
          <w:rFonts w:ascii="Arial" w:hAnsi="Arial" w:cs="Arial"/>
          <w:b/>
          <w:shd w:val="clear" w:color="auto" w:fill="FFFFFF"/>
        </w:rPr>
        <w:t>nteil auf 56 Prozent. Auf der anderen Seite ist sowohl der Anteil der "Wohlhabenden" als auch der Anteil der Einkommensschwachen an der Bevölkerung gestiegen</w:t>
      </w:r>
      <w:r w:rsidRPr="004B375E">
        <w:rPr>
          <w:rFonts w:ascii="Arial" w:hAnsi="Arial" w:cs="Arial"/>
          <w:b/>
          <w:shd w:val="clear" w:color="auto" w:fill="FFFFFF"/>
        </w:rPr>
        <w:t>: Der Anteil de</w:t>
      </w:r>
      <w:r w:rsidR="00857F8E" w:rsidRPr="004B375E">
        <w:rPr>
          <w:rFonts w:ascii="Arial" w:hAnsi="Arial" w:cs="Arial"/>
          <w:b/>
          <w:shd w:val="clear" w:color="auto" w:fill="FFFFFF"/>
        </w:rPr>
        <w:t>r</w:t>
      </w:r>
      <w:r w:rsidRPr="004B375E">
        <w:rPr>
          <w:rFonts w:ascii="Arial" w:hAnsi="Arial" w:cs="Arial"/>
          <w:b/>
          <w:shd w:val="clear" w:color="auto" w:fill="FFFFFF"/>
        </w:rPr>
        <w:t xml:space="preserve"> </w:t>
      </w:r>
      <w:r w:rsidR="00857F8E" w:rsidRPr="004B375E">
        <w:rPr>
          <w:rFonts w:ascii="Arial" w:hAnsi="Arial" w:cs="Arial"/>
          <w:b/>
          <w:shd w:val="clear" w:color="auto" w:fill="FFFFFF"/>
        </w:rPr>
        <w:t>E</w:t>
      </w:r>
      <w:r w:rsidRPr="004B375E">
        <w:rPr>
          <w:rFonts w:ascii="Arial" w:hAnsi="Arial" w:cs="Arial"/>
          <w:b/>
          <w:shd w:val="clear" w:color="auto" w:fill="FFFFFF"/>
        </w:rPr>
        <w:t>inkommensschwachen</w:t>
      </w:r>
      <w:r w:rsidR="00857F8E" w:rsidRPr="004B375E">
        <w:rPr>
          <w:rFonts w:ascii="Arial" w:hAnsi="Arial" w:cs="Arial"/>
          <w:b/>
          <w:shd w:val="clear" w:color="auto" w:fill="FFFFFF"/>
        </w:rPr>
        <w:t xml:space="preserve"> </w:t>
      </w:r>
      <w:r w:rsidRPr="004B375E">
        <w:rPr>
          <w:rFonts w:ascii="Arial" w:hAnsi="Arial" w:cs="Arial"/>
          <w:b/>
          <w:shd w:val="clear" w:color="auto" w:fill="FFFFFF"/>
        </w:rPr>
        <w:t>erhöhte sich zwischen 1996 und 2016 von 18,4 auf 24,4 Prozent</w:t>
      </w:r>
      <w:r w:rsidR="00857F8E" w:rsidRPr="004B375E">
        <w:rPr>
          <w:rFonts w:ascii="Arial" w:hAnsi="Arial" w:cs="Arial"/>
          <w:b/>
          <w:shd w:val="clear" w:color="auto" w:fill="FFFFFF"/>
        </w:rPr>
        <w:t xml:space="preserve"> u</w:t>
      </w:r>
      <w:r w:rsidRPr="004B375E">
        <w:rPr>
          <w:rFonts w:ascii="Arial" w:hAnsi="Arial" w:cs="Arial"/>
          <w:b/>
          <w:shd w:val="clear" w:color="auto" w:fill="FFFFFF"/>
        </w:rPr>
        <w:t xml:space="preserve">nd der Anteil der </w:t>
      </w:r>
      <w:r w:rsidR="00857F8E" w:rsidRPr="004B375E">
        <w:rPr>
          <w:rFonts w:ascii="Arial" w:hAnsi="Arial" w:cs="Arial"/>
          <w:b/>
          <w:shd w:val="clear" w:color="auto" w:fill="FFFFFF"/>
        </w:rPr>
        <w:t>E</w:t>
      </w:r>
      <w:r w:rsidRPr="004B375E">
        <w:rPr>
          <w:rFonts w:ascii="Arial" w:hAnsi="Arial" w:cs="Arial"/>
          <w:b/>
          <w:shd w:val="clear" w:color="auto" w:fill="FFFFFF"/>
        </w:rPr>
        <w:t>inkommensstarken von 16,8 auf 19,6 Prozent.</w:t>
      </w:r>
    </w:p>
    <w:p w:rsidR="00857F8E" w:rsidRPr="004B375E" w:rsidRDefault="00857F8E" w:rsidP="008538F4">
      <w:pPr>
        <w:rPr>
          <w:rFonts w:ascii="Arial" w:hAnsi="Arial" w:cs="Arial"/>
          <w:b/>
          <w:shd w:val="clear" w:color="auto" w:fill="FFFFFF"/>
        </w:rPr>
      </w:pPr>
    </w:p>
    <w:p w:rsidR="00CA5D69" w:rsidRPr="00150D87" w:rsidRDefault="00CA5D69" w:rsidP="00CA5D69">
      <w:pPr>
        <w:rPr>
          <w:rFonts w:ascii="Arial" w:hAnsi="Arial" w:cs="Arial"/>
        </w:rPr>
      </w:pPr>
      <w:r w:rsidRPr="00150D87">
        <w:rPr>
          <w:rFonts w:ascii="Arial" w:hAnsi="Arial" w:cs="Arial"/>
          <w:color w:val="FF0000"/>
        </w:rPr>
        <w:t>Fakten</w:t>
      </w:r>
    </w:p>
    <w:p w:rsidR="00CA5D69" w:rsidRPr="004B375E" w:rsidRDefault="00CA5D69" w:rsidP="00CA5D69">
      <w:pPr>
        <w:rPr>
          <w:rFonts w:ascii="Arial" w:hAnsi="Arial" w:cs="Arial"/>
          <w:shd w:val="clear" w:color="auto" w:fill="FFFFFF"/>
        </w:rPr>
      </w:pPr>
    </w:p>
    <w:p w:rsidR="00096BAA" w:rsidRDefault="00092115" w:rsidP="00660D32">
      <w:pPr>
        <w:rPr>
          <w:rFonts w:ascii="Arial" w:hAnsi="Arial" w:cs="Arial"/>
          <w:shd w:val="clear" w:color="auto" w:fill="FFFFFF"/>
        </w:rPr>
      </w:pPr>
      <w:r w:rsidRPr="004B375E">
        <w:rPr>
          <w:rFonts w:ascii="Arial" w:hAnsi="Arial" w:cs="Arial"/>
          <w:shd w:val="clear" w:color="auto" w:fill="FFFFFF"/>
        </w:rPr>
        <w:t xml:space="preserve">Durch die </w:t>
      </w:r>
      <w:r w:rsidR="003E7FE9" w:rsidRPr="004B375E">
        <w:rPr>
          <w:rFonts w:ascii="Arial" w:hAnsi="Arial" w:cs="Arial"/>
          <w:shd w:val="clear" w:color="auto" w:fill="FFFFFF"/>
        </w:rPr>
        <w:t xml:space="preserve">Betrachtung </w:t>
      </w:r>
      <w:r w:rsidRPr="004B375E">
        <w:rPr>
          <w:rFonts w:ascii="Arial" w:hAnsi="Arial" w:cs="Arial"/>
          <w:shd w:val="clear" w:color="auto" w:fill="FFFFFF"/>
        </w:rPr>
        <w:t xml:space="preserve">von </w:t>
      </w:r>
      <w:r w:rsidR="003E7FE9" w:rsidRPr="004B375E">
        <w:rPr>
          <w:rFonts w:ascii="Arial" w:hAnsi="Arial" w:cs="Arial"/>
          <w:shd w:val="clear" w:color="auto" w:fill="FFFFFF"/>
        </w:rPr>
        <w:t>Einkommens</w:t>
      </w:r>
      <w:r w:rsidRPr="004B375E">
        <w:rPr>
          <w:rFonts w:ascii="Arial" w:hAnsi="Arial" w:cs="Arial"/>
          <w:shd w:val="clear" w:color="auto" w:fill="FFFFFF"/>
        </w:rPr>
        <w:t>gruppen k</w:t>
      </w:r>
      <w:r w:rsidR="003E7FE9" w:rsidRPr="004B375E">
        <w:rPr>
          <w:rFonts w:ascii="Arial" w:hAnsi="Arial" w:cs="Arial"/>
          <w:shd w:val="clear" w:color="auto" w:fill="FFFFFF"/>
        </w:rPr>
        <w:t xml:space="preserve">önnen </w:t>
      </w:r>
      <w:r w:rsidRPr="004B375E">
        <w:rPr>
          <w:rFonts w:ascii="Arial" w:hAnsi="Arial" w:cs="Arial"/>
          <w:shd w:val="clear" w:color="auto" w:fill="FFFFFF"/>
        </w:rPr>
        <w:t xml:space="preserve">zum Beispiel </w:t>
      </w:r>
      <w:r w:rsidR="003E7FE9" w:rsidRPr="004B375E">
        <w:rPr>
          <w:rFonts w:ascii="Arial" w:hAnsi="Arial" w:cs="Arial"/>
          <w:shd w:val="clear" w:color="auto" w:fill="FFFFFF"/>
        </w:rPr>
        <w:t xml:space="preserve">Aussagen darüber gemacht werden, wie </w:t>
      </w:r>
      <w:r w:rsidRPr="004B375E">
        <w:rPr>
          <w:rFonts w:ascii="Arial" w:hAnsi="Arial" w:cs="Arial"/>
          <w:shd w:val="clear" w:color="auto" w:fill="FFFFFF"/>
        </w:rPr>
        <w:t>groß der Anteil der Bevölkerung mit mittleren Einkommen</w:t>
      </w:r>
      <w:r w:rsidR="007E2418" w:rsidRPr="004B375E">
        <w:rPr>
          <w:rFonts w:ascii="Arial" w:hAnsi="Arial" w:cs="Arial"/>
          <w:shd w:val="clear" w:color="auto" w:fill="FFFFFF"/>
        </w:rPr>
        <w:t xml:space="preserve"> –</w:t>
      </w:r>
      <w:r w:rsidR="00096BAA" w:rsidRPr="004B375E">
        <w:rPr>
          <w:rFonts w:ascii="Arial" w:hAnsi="Arial" w:cs="Arial"/>
          <w:shd w:val="clear" w:color="auto" w:fill="FFFFFF"/>
        </w:rPr>
        <w:t xml:space="preserve"> </w:t>
      </w:r>
      <w:r w:rsidRPr="004B375E">
        <w:rPr>
          <w:rFonts w:ascii="Arial" w:hAnsi="Arial" w:cs="Arial"/>
          <w:shd w:val="clear" w:color="auto" w:fill="FFFFFF"/>
        </w:rPr>
        <w:t>also die Mittelschicht</w:t>
      </w:r>
      <w:r w:rsidR="007E2418" w:rsidRPr="004B375E">
        <w:rPr>
          <w:rFonts w:ascii="Arial" w:hAnsi="Arial" w:cs="Arial"/>
          <w:shd w:val="clear" w:color="auto" w:fill="FFFFFF"/>
        </w:rPr>
        <w:t xml:space="preserve"> – </w:t>
      </w:r>
      <w:r w:rsidRPr="004B375E">
        <w:rPr>
          <w:rFonts w:ascii="Arial" w:hAnsi="Arial" w:cs="Arial"/>
          <w:shd w:val="clear" w:color="auto" w:fill="FFFFFF"/>
        </w:rPr>
        <w:t xml:space="preserve">ist. </w:t>
      </w:r>
      <w:r w:rsidR="003E7FE9" w:rsidRPr="004B375E">
        <w:rPr>
          <w:rFonts w:ascii="Arial" w:hAnsi="Arial" w:cs="Arial"/>
          <w:shd w:val="clear" w:color="auto" w:fill="FFFFFF"/>
        </w:rPr>
        <w:t>Bei der</w:t>
      </w:r>
      <w:r w:rsidR="007E2418" w:rsidRPr="004B375E">
        <w:rPr>
          <w:rFonts w:ascii="Arial" w:hAnsi="Arial" w:cs="Arial"/>
          <w:shd w:val="clear" w:color="auto" w:fill="FFFFFF"/>
        </w:rPr>
        <w:t xml:space="preserve"> Bildung von Einkommensgruppen </w:t>
      </w:r>
      <w:r w:rsidR="003E7FE9" w:rsidRPr="004B375E">
        <w:rPr>
          <w:rFonts w:ascii="Arial" w:hAnsi="Arial" w:cs="Arial"/>
          <w:shd w:val="clear" w:color="auto" w:fill="FFFFFF"/>
        </w:rPr>
        <w:t xml:space="preserve">wird </w:t>
      </w:r>
      <w:r w:rsidR="007E2418" w:rsidRPr="004B375E">
        <w:rPr>
          <w:rFonts w:ascii="Arial" w:hAnsi="Arial" w:cs="Arial"/>
          <w:shd w:val="clear" w:color="auto" w:fill="FFFFFF"/>
        </w:rPr>
        <w:t xml:space="preserve">zunächst </w:t>
      </w:r>
      <w:r w:rsidR="003E7FE9" w:rsidRPr="004B375E">
        <w:rPr>
          <w:rFonts w:ascii="Arial" w:hAnsi="Arial" w:cs="Arial"/>
          <w:shd w:val="clear" w:color="auto" w:fill="FFFFFF"/>
        </w:rPr>
        <w:t>das Einkommen jeder einzelnen Person in Beziehung zum mittleren Einkommen (Median) gesetzt. Bei der Berechnung der einzelnen Einkommen werden die unterschiedlichen Haushaltsstrukturen und die Einspareffekte, die durch das Zusammenleben entstehen, berücksichtigt.</w:t>
      </w:r>
    </w:p>
    <w:p w:rsidR="00507D65" w:rsidRDefault="00507D65" w:rsidP="00660D32">
      <w:pPr>
        <w:rPr>
          <w:rFonts w:ascii="Arial" w:hAnsi="Arial" w:cs="Arial"/>
          <w:shd w:val="clear" w:color="auto" w:fill="FFFFFF"/>
        </w:rPr>
      </w:pPr>
    </w:p>
    <w:p w:rsidR="007E2418" w:rsidRPr="0011351D" w:rsidRDefault="003E7FE9" w:rsidP="00660D32">
      <w:pPr>
        <w:rPr>
          <w:rFonts w:ascii="Arial" w:hAnsi="Arial" w:cs="Arial"/>
          <w:shd w:val="clear" w:color="auto" w:fill="FFFFFF"/>
        </w:rPr>
      </w:pPr>
      <w:r w:rsidRPr="004B375E">
        <w:rPr>
          <w:rFonts w:ascii="Arial" w:hAnsi="Arial" w:cs="Arial"/>
          <w:shd w:val="clear" w:color="auto" w:fill="FFFFFF"/>
        </w:rPr>
        <w:t xml:space="preserve">Wenn das </w:t>
      </w:r>
      <w:r w:rsidR="008F25D3" w:rsidRPr="004B375E">
        <w:rPr>
          <w:rFonts w:ascii="Arial" w:hAnsi="Arial" w:cs="Arial"/>
          <w:shd w:val="clear" w:color="auto" w:fill="FFFFFF"/>
        </w:rPr>
        <w:t xml:space="preserve">gewichtete, verfügbare </w:t>
      </w:r>
      <w:r w:rsidRPr="004B375E">
        <w:rPr>
          <w:rFonts w:ascii="Arial" w:hAnsi="Arial" w:cs="Arial"/>
          <w:shd w:val="clear" w:color="auto" w:fill="FFFFFF"/>
        </w:rPr>
        <w:t xml:space="preserve">Einkommen einer Person bei 150 oder mehr Prozent des </w:t>
      </w:r>
      <w:r w:rsidR="008F25D3" w:rsidRPr="004B375E">
        <w:rPr>
          <w:rFonts w:ascii="Arial" w:hAnsi="Arial" w:cs="Arial"/>
          <w:shd w:val="clear" w:color="auto" w:fill="FFFFFF"/>
        </w:rPr>
        <w:t>mittleren E</w:t>
      </w:r>
      <w:r w:rsidRPr="004B375E">
        <w:rPr>
          <w:rFonts w:ascii="Arial" w:hAnsi="Arial" w:cs="Arial"/>
          <w:shd w:val="clear" w:color="auto" w:fill="FFFFFF"/>
        </w:rPr>
        <w:t>inkommens liegt, fällt diese Person in die einkommensstarke Gruppe und gehört damit zu den "Wohlhabenden". Zur einkommensschwachen Gruppe gehören nach der Kategorisierung des Deutschen Instituts für Wirtschaftsforschung (DIW) alle Personen, deren Einkommen bei weniger als 70 Prozent des Medianeinkommens liegt. Entsprechend werden alle Personen, die ein Einkommen zwischen 70 und unter 150 Prozent des Medianeinkommens haben, als Mittelschicht bezeichnet.</w:t>
      </w:r>
      <w:r w:rsidR="00507D65">
        <w:rPr>
          <w:rFonts w:ascii="Arial" w:hAnsi="Arial" w:cs="Arial"/>
          <w:shd w:val="clear" w:color="auto" w:fill="FFFFFF"/>
        </w:rPr>
        <w:t xml:space="preserve"> </w:t>
      </w:r>
      <w:r w:rsidR="00507D65" w:rsidRPr="0011351D">
        <w:rPr>
          <w:rFonts w:ascii="Arial" w:hAnsi="Arial" w:cs="Arial"/>
          <w:shd w:val="clear" w:color="auto" w:fill="FFFFFF"/>
        </w:rPr>
        <w:t>Im Jahr 2016 lag der Median bei 22.456 Euro (bedarfsgewichtetes verfügbares Einkommen</w:t>
      </w:r>
      <w:r w:rsidR="00CA65B7" w:rsidRPr="0011351D">
        <w:rPr>
          <w:rFonts w:ascii="Arial" w:hAnsi="Arial" w:cs="Arial"/>
          <w:shd w:val="clear" w:color="auto" w:fill="FFFFFF"/>
        </w:rPr>
        <w:t>,</w:t>
      </w:r>
      <w:r w:rsidR="00507D65" w:rsidRPr="0011351D">
        <w:rPr>
          <w:rFonts w:ascii="Arial" w:hAnsi="Arial" w:cs="Arial"/>
          <w:shd w:val="clear" w:color="auto" w:fill="FFFFFF"/>
        </w:rPr>
        <w:t xml:space="preserve"> in Preisen von 2015). Personen, die ein reales Nettoäquivalenzeinkommen (siehe "Begriffe, methodische Anmerkungen oder Lesehilfen") von 3</w:t>
      </w:r>
      <w:r w:rsidR="00EC6607" w:rsidRPr="0011351D">
        <w:rPr>
          <w:rFonts w:ascii="Arial" w:hAnsi="Arial" w:cs="Arial"/>
          <w:shd w:val="clear" w:color="auto" w:fill="FFFFFF"/>
        </w:rPr>
        <w:t>3</w:t>
      </w:r>
      <w:r w:rsidR="00507D65" w:rsidRPr="0011351D">
        <w:rPr>
          <w:rFonts w:ascii="Arial" w:hAnsi="Arial" w:cs="Arial"/>
          <w:shd w:val="clear" w:color="auto" w:fill="FFFFFF"/>
        </w:rPr>
        <w:t>.</w:t>
      </w:r>
      <w:r w:rsidR="00EC6607" w:rsidRPr="0011351D">
        <w:rPr>
          <w:rFonts w:ascii="Arial" w:hAnsi="Arial" w:cs="Arial"/>
          <w:shd w:val="clear" w:color="auto" w:fill="FFFFFF"/>
        </w:rPr>
        <w:t>684</w:t>
      </w:r>
      <w:r w:rsidR="00507D65" w:rsidRPr="0011351D">
        <w:rPr>
          <w:rFonts w:ascii="Arial" w:hAnsi="Arial" w:cs="Arial"/>
          <w:shd w:val="clear" w:color="auto" w:fill="FFFFFF"/>
        </w:rPr>
        <w:t xml:space="preserve"> Euro oder mehr hatten (≥ 150% des Median), gehörten demnach zur einkommensstarken Gruppe. Personen mit weniger als 1</w:t>
      </w:r>
      <w:r w:rsidR="00EC6607" w:rsidRPr="0011351D">
        <w:rPr>
          <w:rFonts w:ascii="Arial" w:hAnsi="Arial" w:cs="Arial"/>
          <w:shd w:val="clear" w:color="auto" w:fill="FFFFFF"/>
        </w:rPr>
        <w:t>5</w:t>
      </w:r>
      <w:r w:rsidR="00507D65" w:rsidRPr="0011351D">
        <w:rPr>
          <w:rFonts w:ascii="Arial" w:hAnsi="Arial" w:cs="Arial"/>
          <w:shd w:val="clear" w:color="auto" w:fill="FFFFFF"/>
        </w:rPr>
        <w:t>.</w:t>
      </w:r>
      <w:r w:rsidR="00EC6607" w:rsidRPr="0011351D">
        <w:rPr>
          <w:rFonts w:ascii="Arial" w:hAnsi="Arial" w:cs="Arial"/>
          <w:shd w:val="clear" w:color="auto" w:fill="FFFFFF"/>
        </w:rPr>
        <w:t>719</w:t>
      </w:r>
      <w:r w:rsidR="00507D65" w:rsidRPr="0011351D">
        <w:rPr>
          <w:rFonts w:ascii="Arial" w:hAnsi="Arial" w:cs="Arial"/>
          <w:shd w:val="clear" w:color="auto" w:fill="FFFFFF"/>
        </w:rPr>
        <w:t xml:space="preserve"> Euro (&lt; 70% des Median) gehörten zur einkommensschwachen Gruppe.</w:t>
      </w:r>
    </w:p>
    <w:p w:rsidR="00507D65" w:rsidRPr="0011351D" w:rsidRDefault="00507D65" w:rsidP="00660D32">
      <w:pPr>
        <w:rPr>
          <w:rFonts w:ascii="Arial" w:hAnsi="Arial" w:cs="Arial"/>
          <w:shd w:val="clear" w:color="auto" w:fill="FFFFFF"/>
        </w:rPr>
      </w:pPr>
    </w:p>
    <w:p w:rsidR="00BC3272" w:rsidRPr="004B375E" w:rsidRDefault="006446EA" w:rsidP="00AB7066">
      <w:pPr>
        <w:rPr>
          <w:rFonts w:ascii="Arial" w:hAnsi="Arial" w:cs="Arial"/>
          <w:shd w:val="clear" w:color="auto" w:fill="FFFFFF"/>
        </w:rPr>
      </w:pPr>
      <w:r w:rsidRPr="004B375E">
        <w:rPr>
          <w:rFonts w:ascii="Arial" w:hAnsi="Arial" w:cs="Arial"/>
          <w:shd w:val="clear" w:color="auto" w:fill="FFFFFF"/>
        </w:rPr>
        <w:t xml:space="preserve">Im Zeitraum </w:t>
      </w:r>
      <w:r w:rsidR="003E7FE9" w:rsidRPr="004B375E">
        <w:rPr>
          <w:rFonts w:ascii="Arial" w:hAnsi="Arial" w:cs="Arial"/>
          <w:shd w:val="clear" w:color="auto" w:fill="FFFFFF"/>
        </w:rPr>
        <w:t xml:space="preserve">1992 bis </w:t>
      </w:r>
      <w:r w:rsidRPr="004B375E">
        <w:rPr>
          <w:rFonts w:ascii="Arial" w:hAnsi="Arial" w:cs="Arial"/>
          <w:shd w:val="clear" w:color="auto" w:fill="FFFFFF"/>
        </w:rPr>
        <w:t xml:space="preserve">2016 war der Anteil der Mittelschicht im Jahr 1996 mit 64,7 Prozent am höchsten. Seitdem hat sich </w:t>
      </w:r>
      <w:r w:rsidR="00B35EDE" w:rsidRPr="004B375E">
        <w:rPr>
          <w:rFonts w:ascii="Arial" w:hAnsi="Arial" w:cs="Arial"/>
          <w:shd w:val="clear" w:color="auto" w:fill="FFFFFF"/>
        </w:rPr>
        <w:t xml:space="preserve">ihr </w:t>
      </w:r>
      <w:r w:rsidRPr="004B375E">
        <w:rPr>
          <w:rFonts w:ascii="Arial" w:hAnsi="Arial" w:cs="Arial"/>
          <w:shd w:val="clear" w:color="auto" w:fill="FFFFFF"/>
        </w:rPr>
        <w:t xml:space="preserve">Anteil </w:t>
      </w:r>
      <w:r w:rsidR="00B35EDE" w:rsidRPr="004B375E">
        <w:rPr>
          <w:rFonts w:ascii="Arial" w:hAnsi="Arial" w:cs="Arial"/>
          <w:shd w:val="clear" w:color="auto" w:fill="FFFFFF"/>
        </w:rPr>
        <w:t xml:space="preserve">an der Bevölkerung </w:t>
      </w:r>
      <w:r w:rsidRPr="004B375E">
        <w:rPr>
          <w:rFonts w:ascii="Arial" w:hAnsi="Arial" w:cs="Arial"/>
          <w:shd w:val="clear" w:color="auto" w:fill="FFFFFF"/>
        </w:rPr>
        <w:t xml:space="preserve">relativ stetig </w:t>
      </w:r>
      <w:r w:rsidR="00B35EDE" w:rsidRPr="004B375E">
        <w:rPr>
          <w:rFonts w:ascii="Arial" w:hAnsi="Arial" w:cs="Arial"/>
          <w:shd w:val="clear" w:color="auto" w:fill="FFFFFF"/>
        </w:rPr>
        <w:t xml:space="preserve">reduziert. Im Jahr 2016 gehörten nur noch </w:t>
      </w:r>
      <w:r w:rsidRPr="004B375E">
        <w:rPr>
          <w:rFonts w:ascii="Arial" w:hAnsi="Arial" w:cs="Arial"/>
          <w:shd w:val="clear" w:color="auto" w:fill="FFFFFF"/>
        </w:rPr>
        <w:t xml:space="preserve">56,0 Prozent </w:t>
      </w:r>
      <w:r w:rsidR="00B35EDE" w:rsidRPr="004B375E">
        <w:rPr>
          <w:rFonts w:ascii="Arial" w:hAnsi="Arial" w:cs="Arial"/>
          <w:shd w:val="clear" w:color="auto" w:fill="FFFFFF"/>
        </w:rPr>
        <w:t>der Bevölkerung zur Mittelschicht. Im Zweijahresvergleich 199</w:t>
      </w:r>
      <w:r w:rsidR="0062494D" w:rsidRPr="004B375E">
        <w:rPr>
          <w:rFonts w:ascii="Arial" w:hAnsi="Arial" w:cs="Arial"/>
          <w:shd w:val="clear" w:color="auto" w:fill="FFFFFF"/>
        </w:rPr>
        <w:t>6</w:t>
      </w:r>
      <w:r w:rsidR="00B35EDE" w:rsidRPr="004B375E">
        <w:rPr>
          <w:rFonts w:ascii="Arial" w:hAnsi="Arial" w:cs="Arial"/>
          <w:shd w:val="clear" w:color="auto" w:fill="FFFFFF"/>
        </w:rPr>
        <w:t xml:space="preserve">/2016 war das ein Rückgang um </w:t>
      </w:r>
      <w:r w:rsidR="00096BAA" w:rsidRPr="004B375E">
        <w:rPr>
          <w:rFonts w:ascii="Arial" w:hAnsi="Arial" w:cs="Arial"/>
          <w:shd w:val="clear" w:color="auto" w:fill="FFFFFF"/>
        </w:rPr>
        <w:t>8,7 Prozentpunkte bzw. 13,4 Prozent</w:t>
      </w:r>
      <w:r w:rsidRPr="004B375E">
        <w:rPr>
          <w:rFonts w:ascii="Arial" w:hAnsi="Arial" w:cs="Arial"/>
          <w:shd w:val="clear" w:color="auto" w:fill="FFFFFF"/>
        </w:rPr>
        <w:t xml:space="preserve">. Gleichzeitig </w:t>
      </w:r>
      <w:r w:rsidR="00B35EDE" w:rsidRPr="004B375E">
        <w:rPr>
          <w:rFonts w:ascii="Arial" w:hAnsi="Arial" w:cs="Arial"/>
          <w:shd w:val="clear" w:color="auto" w:fill="FFFFFF"/>
        </w:rPr>
        <w:t>gehört ein immer größerer Teil der Bevölkerung zur einkommensschwachen Gruppe: D</w:t>
      </w:r>
      <w:r w:rsidRPr="004B375E">
        <w:rPr>
          <w:rFonts w:ascii="Arial" w:hAnsi="Arial" w:cs="Arial"/>
          <w:shd w:val="clear" w:color="auto" w:fill="FFFFFF"/>
        </w:rPr>
        <w:t xml:space="preserve">er </w:t>
      </w:r>
      <w:r w:rsidR="003E7FE9" w:rsidRPr="004B375E">
        <w:rPr>
          <w:rFonts w:ascii="Arial" w:hAnsi="Arial" w:cs="Arial"/>
          <w:shd w:val="clear" w:color="auto" w:fill="FFFFFF"/>
        </w:rPr>
        <w:t>Anteil de</w:t>
      </w:r>
      <w:r w:rsidR="00B35EDE" w:rsidRPr="004B375E">
        <w:rPr>
          <w:rFonts w:ascii="Arial" w:hAnsi="Arial" w:cs="Arial"/>
          <w:shd w:val="clear" w:color="auto" w:fill="FFFFFF"/>
        </w:rPr>
        <w:t>s</w:t>
      </w:r>
      <w:r w:rsidR="003E7FE9" w:rsidRPr="004B375E">
        <w:rPr>
          <w:rFonts w:ascii="Arial" w:hAnsi="Arial" w:cs="Arial"/>
          <w:shd w:val="clear" w:color="auto" w:fill="FFFFFF"/>
        </w:rPr>
        <w:t xml:space="preserve"> einkommensschwachen Bevölkerungsteils an der Gesamtbevölkerung </w:t>
      </w:r>
      <w:r w:rsidR="00B35EDE" w:rsidRPr="004B375E">
        <w:rPr>
          <w:rFonts w:ascii="Arial" w:hAnsi="Arial" w:cs="Arial"/>
          <w:shd w:val="clear" w:color="auto" w:fill="FFFFFF"/>
        </w:rPr>
        <w:t xml:space="preserve">erhöhte sich zwischen 1996 und 2016 </w:t>
      </w:r>
      <w:r w:rsidR="003E7FE9" w:rsidRPr="004B375E">
        <w:rPr>
          <w:rFonts w:ascii="Arial" w:hAnsi="Arial" w:cs="Arial"/>
          <w:shd w:val="clear" w:color="auto" w:fill="FFFFFF"/>
        </w:rPr>
        <w:t>von 1</w:t>
      </w:r>
      <w:r w:rsidRPr="004B375E">
        <w:rPr>
          <w:rFonts w:ascii="Arial" w:hAnsi="Arial" w:cs="Arial"/>
          <w:shd w:val="clear" w:color="auto" w:fill="FFFFFF"/>
        </w:rPr>
        <w:t>8</w:t>
      </w:r>
      <w:r w:rsidR="003E7FE9" w:rsidRPr="004B375E">
        <w:rPr>
          <w:rFonts w:ascii="Arial" w:hAnsi="Arial" w:cs="Arial"/>
          <w:shd w:val="clear" w:color="auto" w:fill="FFFFFF"/>
        </w:rPr>
        <w:t>,</w:t>
      </w:r>
      <w:r w:rsidRPr="004B375E">
        <w:rPr>
          <w:rFonts w:ascii="Arial" w:hAnsi="Arial" w:cs="Arial"/>
          <w:shd w:val="clear" w:color="auto" w:fill="FFFFFF"/>
        </w:rPr>
        <w:t>4</w:t>
      </w:r>
      <w:r w:rsidR="003E7FE9" w:rsidRPr="004B375E">
        <w:rPr>
          <w:rFonts w:ascii="Arial" w:hAnsi="Arial" w:cs="Arial"/>
          <w:shd w:val="clear" w:color="auto" w:fill="FFFFFF"/>
        </w:rPr>
        <w:t xml:space="preserve"> auf 2</w:t>
      </w:r>
      <w:r w:rsidRPr="004B375E">
        <w:rPr>
          <w:rFonts w:ascii="Arial" w:hAnsi="Arial" w:cs="Arial"/>
          <w:shd w:val="clear" w:color="auto" w:fill="FFFFFF"/>
        </w:rPr>
        <w:t>4</w:t>
      </w:r>
      <w:r w:rsidR="003E7FE9" w:rsidRPr="004B375E">
        <w:rPr>
          <w:rFonts w:ascii="Arial" w:hAnsi="Arial" w:cs="Arial"/>
          <w:shd w:val="clear" w:color="auto" w:fill="FFFFFF"/>
        </w:rPr>
        <w:t xml:space="preserve">,4 Prozent (plus </w:t>
      </w:r>
      <w:r w:rsidR="00096BAA" w:rsidRPr="004B375E">
        <w:rPr>
          <w:rFonts w:ascii="Arial" w:hAnsi="Arial" w:cs="Arial"/>
          <w:shd w:val="clear" w:color="auto" w:fill="FFFFFF"/>
        </w:rPr>
        <w:t>6,0 Prozentpunkte bzw. 32</w:t>
      </w:r>
      <w:r w:rsidR="003E7FE9" w:rsidRPr="004B375E">
        <w:rPr>
          <w:rFonts w:ascii="Arial" w:hAnsi="Arial" w:cs="Arial"/>
          <w:shd w:val="clear" w:color="auto" w:fill="FFFFFF"/>
        </w:rPr>
        <w:t>,</w:t>
      </w:r>
      <w:r w:rsidR="00096BAA" w:rsidRPr="004B375E">
        <w:rPr>
          <w:rFonts w:ascii="Arial" w:hAnsi="Arial" w:cs="Arial"/>
          <w:shd w:val="clear" w:color="auto" w:fill="FFFFFF"/>
        </w:rPr>
        <w:t>6</w:t>
      </w:r>
      <w:r w:rsidR="003E7FE9" w:rsidRPr="004B375E">
        <w:rPr>
          <w:rFonts w:ascii="Arial" w:hAnsi="Arial" w:cs="Arial"/>
          <w:shd w:val="clear" w:color="auto" w:fill="FFFFFF"/>
        </w:rPr>
        <w:t xml:space="preserve"> Prozent). </w:t>
      </w:r>
      <w:r w:rsidR="00B35EDE" w:rsidRPr="004B375E">
        <w:rPr>
          <w:rFonts w:ascii="Arial" w:hAnsi="Arial" w:cs="Arial"/>
          <w:shd w:val="clear" w:color="auto" w:fill="FFFFFF"/>
        </w:rPr>
        <w:t xml:space="preserve">Und auch </w:t>
      </w:r>
      <w:r w:rsidR="003E7FE9" w:rsidRPr="004B375E">
        <w:rPr>
          <w:rFonts w:ascii="Arial" w:hAnsi="Arial" w:cs="Arial"/>
          <w:shd w:val="clear" w:color="auto" w:fill="FFFFFF"/>
        </w:rPr>
        <w:t xml:space="preserve">der Anteil der einkommensstarken Gruppe </w:t>
      </w:r>
      <w:r w:rsidR="00853D32" w:rsidRPr="004B375E">
        <w:rPr>
          <w:rFonts w:ascii="Arial" w:hAnsi="Arial" w:cs="Arial"/>
          <w:shd w:val="clear" w:color="auto" w:fill="FFFFFF"/>
        </w:rPr>
        <w:t xml:space="preserve">an der Bevölkerung </w:t>
      </w:r>
      <w:r w:rsidR="00B35EDE" w:rsidRPr="004B375E">
        <w:rPr>
          <w:rFonts w:ascii="Arial" w:hAnsi="Arial" w:cs="Arial"/>
          <w:shd w:val="clear" w:color="auto" w:fill="FFFFFF"/>
        </w:rPr>
        <w:t xml:space="preserve">stieg in dieser Zeit </w:t>
      </w:r>
      <w:r w:rsidR="003E7FE9" w:rsidRPr="004B375E">
        <w:rPr>
          <w:rFonts w:ascii="Arial" w:hAnsi="Arial" w:cs="Arial"/>
          <w:shd w:val="clear" w:color="auto" w:fill="FFFFFF"/>
        </w:rPr>
        <w:t xml:space="preserve">von </w:t>
      </w:r>
      <w:r w:rsidR="00096BAA" w:rsidRPr="004B375E">
        <w:rPr>
          <w:rFonts w:ascii="Arial" w:hAnsi="Arial" w:cs="Arial"/>
          <w:shd w:val="clear" w:color="auto" w:fill="FFFFFF"/>
        </w:rPr>
        <w:t>16</w:t>
      </w:r>
      <w:r w:rsidR="003E7FE9" w:rsidRPr="004B375E">
        <w:rPr>
          <w:rFonts w:ascii="Arial" w:hAnsi="Arial" w:cs="Arial"/>
          <w:shd w:val="clear" w:color="auto" w:fill="FFFFFF"/>
        </w:rPr>
        <w:t>,</w:t>
      </w:r>
      <w:r w:rsidR="00096BAA" w:rsidRPr="004B375E">
        <w:rPr>
          <w:rFonts w:ascii="Arial" w:hAnsi="Arial" w:cs="Arial"/>
          <w:shd w:val="clear" w:color="auto" w:fill="FFFFFF"/>
        </w:rPr>
        <w:t>8</w:t>
      </w:r>
      <w:r w:rsidR="003E7FE9" w:rsidRPr="004B375E">
        <w:rPr>
          <w:rFonts w:ascii="Arial" w:hAnsi="Arial" w:cs="Arial"/>
          <w:shd w:val="clear" w:color="auto" w:fill="FFFFFF"/>
        </w:rPr>
        <w:t xml:space="preserve"> auf </w:t>
      </w:r>
      <w:r w:rsidR="00096BAA" w:rsidRPr="004B375E">
        <w:rPr>
          <w:rFonts w:ascii="Arial" w:hAnsi="Arial" w:cs="Arial"/>
          <w:shd w:val="clear" w:color="auto" w:fill="FFFFFF"/>
        </w:rPr>
        <w:t>19</w:t>
      </w:r>
      <w:r w:rsidR="003E7FE9" w:rsidRPr="004B375E">
        <w:rPr>
          <w:rFonts w:ascii="Arial" w:hAnsi="Arial" w:cs="Arial"/>
          <w:shd w:val="clear" w:color="auto" w:fill="FFFFFF"/>
        </w:rPr>
        <w:t>,</w:t>
      </w:r>
      <w:r w:rsidR="00096BAA" w:rsidRPr="004B375E">
        <w:rPr>
          <w:rFonts w:ascii="Arial" w:hAnsi="Arial" w:cs="Arial"/>
          <w:shd w:val="clear" w:color="auto" w:fill="FFFFFF"/>
        </w:rPr>
        <w:t>6</w:t>
      </w:r>
      <w:r w:rsidR="003E7FE9" w:rsidRPr="004B375E">
        <w:rPr>
          <w:rFonts w:ascii="Arial" w:hAnsi="Arial" w:cs="Arial"/>
          <w:shd w:val="clear" w:color="auto" w:fill="FFFFFF"/>
        </w:rPr>
        <w:t xml:space="preserve"> Prozent (plus </w:t>
      </w:r>
      <w:r w:rsidR="00096BAA" w:rsidRPr="004B375E">
        <w:rPr>
          <w:rFonts w:ascii="Arial" w:hAnsi="Arial" w:cs="Arial"/>
          <w:shd w:val="clear" w:color="auto" w:fill="FFFFFF"/>
        </w:rPr>
        <w:t xml:space="preserve">2,8 Prozentpunkte </w:t>
      </w:r>
    </w:p>
    <w:p w:rsidR="002D098E" w:rsidRPr="004B375E" w:rsidRDefault="00096BAA" w:rsidP="00AB7066">
      <w:pPr>
        <w:rPr>
          <w:rFonts w:ascii="Arial" w:hAnsi="Arial" w:cs="Arial"/>
          <w:shd w:val="clear" w:color="auto" w:fill="FFFFFF"/>
        </w:rPr>
      </w:pPr>
      <w:r w:rsidRPr="004B375E">
        <w:rPr>
          <w:rFonts w:ascii="Arial" w:hAnsi="Arial" w:cs="Arial"/>
          <w:shd w:val="clear" w:color="auto" w:fill="FFFFFF"/>
        </w:rPr>
        <w:t xml:space="preserve">bzw. 16,7 </w:t>
      </w:r>
      <w:r w:rsidR="003E7FE9" w:rsidRPr="004B375E">
        <w:rPr>
          <w:rFonts w:ascii="Arial" w:hAnsi="Arial" w:cs="Arial"/>
          <w:shd w:val="clear" w:color="auto" w:fill="FFFFFF"/>
        </w:rPr>
        <w:t>Prozent).</w:t>
      </w:r>
      <w:r w:rsidR="000521D2" w:rsidRPr="004B375E">
        <w:rPr>
          <w:rFonts w:ascii="Arial" w:hAnsi="Arial" w:cs="Arial"/>
          <w:shd w:val="clear" w:color="auto" w:fill="FFFFFF"/>
        </w:rPr>
        <w:t xml:space="preserve"> </w:t>
      </w:r>
      <w:r w:rsidR="003E7FE9" w:rsidRPr="004B375E">
        <w:rPr>
          <w:rFonts w:ascii="Arial" w:hAnsi="Arial" w:cs="Arial"/>
          <w:shd w:val="clear" w:color="auto" w:fill="FFFFFF"/>
        </w:rPr>
        <w:t xml:space="preserve">Bezogen auf </w:t>
      </w:r>
      <w:r w:rsidR="00B64A5D" w:rsidRPr="004B375E">
        <w:rPr>
          <w:rFonts w:ascii="Arial" w:hAnsi="Arial" w:cs="Arial"/>
          <w:shd w:val="clear" w:color="auto" w:fill="FFFFFF"/>
        </w:rPr>
        <w:t xml:space="preserve">die </w:t>
      </w:r>
      <w:r w:rsidR="003E7FE9" w:rsidRPr="004B375E">
        <w:rPr>
          <w:rFonts w:ascii="Arial" w:hAnsi="Arial" w:cs="Arial"/>
          <w:shd w:val="clear" w:color="auto" w:fill="FFFFFF"/>
        </w:rPr>
        <w:t>Einkommens</w:t>
      </w:r>
      <w:r w:rsidR="006446EA" w:rsidRPr="004B375E">
        <w:rPr>
          <w:rFonts w:ascii="Arial" w:hAnsi="Arial" w:cs="Arial"/>
          <w:shd w:val="clear" w:color="auto" w:fill="FFFFFF"/>
        </w:rPr>
        <w:t xml:space="preserve">gruppen </w:t>
      </w:r>
      <w:r w:rsidR="00853D32" w:rsidRPr="004B375E">
        <w:rPr>
          <w:rFonts w:ascii="Arial" w:hAnsi="Arial" w:cs="Arial"/>
          <w:shd w:val="clear" w:color="auto" w:fill="FFFFFF"/>
        </w:rPr>
        <w:t>spiegelt sich in diesen Daten das wider</w:t>
      </w:r>
      <w:r w:rsidR="003E7FE9" w:rsidRPr="004B375E">
        <w:rPr>
          <w:rFonts w:ascii="Arial" w:hAnsi="Arial" w:cs="Arial"/>
          <w:shd w:val="clear" w:color="auto" w:fill="FFFFFF"/>
        </w:rPr>
        <w:t xml:space="preserve">, was unter dem Begriff der schrumpfenden Mittelschicht diskutiert wird: Während die Bevölkerungsanteile </w:t>
      </w:r>
      <w:r w:rsidR="006446EA" w:rsidRPr="004B375E">
        <w:rPr>
          <w:rFonts w:ascii="Arial" w:hAnsi="Arial" w:cs="Arial"/>
          <w:shd w:val="clear" w:color="auto" w:fill="FFFFFF"/>
        </w:rPr>
        <w:t xml:space="preserve">in den </w:t>
      </w:r>
      <w:r w:rsidR="003E7FE9" w:rsidRPr="004B375E">
        <w:rPr>
          <w:rFonts w:ascii="Arial" w:hAnsi="Arial" w:cs="Arial"/>
          <w:shd w:val="clear" w:color="auto" w:fill="FFFFFF"/>
        </w:rPr>
        <w:t>unteren und oberen Einkommens</w:t>
      </w:r>
      <w:r w:rsidR="006446EA" w:rsidRPr="004B375E">
        <w:rPr>
          <w:rFonts w:ascii="Arial" w:hAnsi="Arial" w:cs="Arial"/>
          <w:shd w:val="clear" w:color="auto" w:fill="FFFFFF"/>
        </w:rPr>
        <w:t xml:space="preserve">gruppen </w:t>
      </w:r>
      <w:r w:rsidR="003E7FE9" w:rsidRPr="004B375E">
        <w:rPr>
          <w:rFonts w:ascii="Arial" w:hAnsi="Arial" w:cs="Arial"/>
          <w:shd w:val="clear" w:color="auto" w:fill="FFFFFF"/>
        </w:rPr>
        <w:t>zunehmen, geh</w:t>
      </w:r>
      <w:r w:rsidR="002D098E" w:rsidRPr="004B375E">
        <w:rPr>
          <w:rFonts w:ascii="Arial" w:hAnsi="Arial" w:cs="Arial"/>
          <w:shd w:val="clear" w:color="auto" w:fill="FFFFFF"/>
        </w:rPr>
        <w:t xml:space="preserve">en die Bevölkerungsanteile </w:t>
      </w:r>
      <w:r w:rsidR="003E7FE9" w:rsidRPr="004B375E">
        <w:rPr>
          <w:rFonts w:ascii="Arial" w:hAnsi="Arial" w:cs="Arial"/>
          <w:shd w:val="clear" w:color="auto" w:fill="FFFFFF"/>
        </w:rPr>
        <w:t>in den mittleren Schichten zurück.</w:t>
      </w:r>
    </w:p>
    <w:p w:rsidR="000521D2" w:rsidRPr="004B375E" w:rsidRDefault="000521D2" w:rsidP="00AB7066">
      <w:pPr>
        <w:rPr>
          <w:rFonts w:ascii="Arial" w:hAnsi="Arial" w:cs="Arial"/>
          <w:shd w:val="clear" w:color="auto" w:fill="FFFFFF"/>
        </w:rPr>
      </w:pPr>
    </w:p>
    <w:p w:rsidR="00660D32" w:rsidRPr="004B375E" w:rsidRDefault="003E7FE9" w:rsidP="00660D32">
      <w:pPr>
        <w:rPr>
          <w:rFonts w:ascii="Arial" w:hAnsi="Arial" w:cs="Arial"/>
          <w:shd w:val="clear" w:color="auto" w:fill="FFFFFF"/>
        </w:rPr>
      </w:pPr>
      <w:r w:rsidRPr="004B375E">
        <w:rPr>
          <w:rFonts w:ascii="Arial" w:hAnsi="Arial" w:cs="Arial"/>
          <w:shd w:val="clear" w:color="auto" w:fill="FFFFFF"/>
        </w:rPr>
        <w:lastRenderedPageBreak/>
        <w:t xml:space="preserve">Werden nur die Bevölkerungsteile mit sehr niedrigen und sehr hohen Einkommen betrachtet, wird die Spreizung noch deutlicher: Die Personen, die von relativer Einkommensarmut betroffen sind – also die, die über weniger als 50 Prozent des </w:t>
      </w:r>
      <w:r w:rsidR="000A4187" w:rsidRPr="004B375E">
        <w:rPr>
          <w:rFonts w:ascii="Arial" w:hAnsi="Arial" w:cs="Arial"/>
          <w:shd w:val="clear" w:color="auto" w:fill="FFFFFF"/>
        </w:rPr>
        <w:t xml:space="preserve">mittleren </w:t>
      </w:r>
      <w:r w:rsidR="002D098E" w:rsidRPr="004B375E">
        <w:rPr>
          <w:rFonts w:ascii="Arial" w:hAnsi="Arial" w:cs="Arial"/>
          <w:shd w:val="clear" w:color="auto" w:fill="FFFFFF"/>
        </w:rPr>
        <w:t>E</w:t>
      </w:r>
      <w:r w:rsidRPr="004B375E">
        <w:rPr>
          <w:rFonts w:ascii="Arial" w:hAnsi="Arial" w:cs="Arial"/>
          <w:shd w:val="clear" w:color="auto" w:fill="FFFFFF"/>
        </w:rPr>
        <w:t>inkommens verfügen – machten 199</w:t>
      </w:r>
      <w:r w:rsidR="002D098E" w:rsidRPr="004B375E">
        <w:rPr>
          <w:rFonts w:ascii="Arial" w:hAnsi="Arial" w:cs="Arial"/>
          <w:shd w:val="clear" w:color="auto" w:fill="FFFFFF"/>
        </w:rPr>
        <w:t>2</w:t>
      </w:r>
      <w:r w:rsidRPr="004B375E">
        <w:rPr>
          <w:rFonts w:ascii="Arial" w:hAnsi="Arial" w:cs="Arial"/>
          <w:shd w:val="clear" w:color="auto" w:fill="FFFFFF"/>
        </w:rPr>
        <w:t xml:space="preserve"> </w:t>
      </w:r>
      <w:r w:rsidR="000A4187" w:rsidRPr="004B375E">
        <w:rPr>
          <w:rFonts w:ascii="Arial" w:hAnsi="Arial" w:cs="Arial"/>
          <w:shd w:val="clear" w:color="auto" w:fill="FFFFFF"/>
        </w:rPr>
        <w:t>lediglich</w:t>
      </w:r>
      <w:r w:rsidRPr="004B375E">
        <w:rPr>
          <w:rFonts w:ascii="Arial" w:hAnsi="Arial" w:cs="Arial"/>
          <w:shd w:val="clear" w:color="auto" w:fill="FFFFFF"/>
        </w:rPr>
        <w:t xml:space="preserve"> </w:t>
      </w:r>
      <w:r w:rsidR="002D098E" w:rsidRPr="004B375E">
        <w:rPr>
          <w:rFonts w:ascii="Arial" w:hAnsi="Arial" w:cs="Arial"/>
          <w:shd w:val="clear" w:color="auto" w:fill="FFFFFF"/>
        </w:rPr>
        <w:t>5</w:t>
      </w:r>
      <w:r w:rsidRPr="004B375E">
        <w:rPr>
          <w:rFonts w:ascii="Arial" w:hAnsi="Arial" w:cs="Arial"/>
          <w:shd w:val="clear" w:color="auto" w:fill="FFFFFF"/>
        </w:rPr>
        <w:t>,</w:t>
      </w:r>
      <w:r w:rsidR="002D098E" w:rsidRPr="004B375E">
        <w:rPr>
          <w:rFonts w:ascii="Arial" w:hAnsi="Arial" w:cs="Arial"/>
          <w:shd w:val="clear" w:color="auto" w:fill="FFFFFF"/>
        </w:rPr>
        <w:t>6</w:t>
      </w:r>
      <w:r w:rsidRPr="004B375E">
        <w:rPr>
          <w:rFonts w:ascii="Arial" w:hAnsi="Arial" w:cs="Arial"/>
          <w:shd w:val="clear" w:color="auto" w:fill="FFFFFF"/>
        </w:rPr>
        <w:t xml:space="preserve"> Prozent der Bevölkerung aus. 201</w:t>
      </w:r>
      <w:r w:rsidR="002D098E" w:rsidRPr="004B375E">
        <w:rPr>
          <w:rFonts w:ascii="Arial" w:hAnsi="Arial" w:cs="Arial"/>
          <w:shd w:val="clear" w:color="auto" w:fill="FFFFFF"/>
        </w:rPr>
        <w:t>6</w:t>
      </w:r>
      <w:r w:rsidRPr="004B375E">
        <w:rPr>
          <w:rFonts w:ascii="Arial" w:hAnsi="Arial" w:cs="Arial"/>
          <w:shd w:val="clear" w:color="auto" w:fill="FFFFFF"/>
        </w:rPr>
        <w:t xml:space="preserve"> lag der entsprechende Anteil bei </w:t>
      </w:r>
      <w:r w:rsidR="002D098E" w:rsidRPr="004B375E">
        <w:rPr>
          <w:rFonts w:ascii="Arial" w:hAnsi="Arial" w:cs="Arial"/>
          <w:shd w:val="clear" w:color="auto" w:fill="FFFFFF"/>
        </w:rPr>
        <w:t>10</w:t>
      </w:r>
      <w:r w:rsidRPr="004B375E">
        <w:rPr>
          <w:rFonts w:ascii="Arial" w:hAnsi="Arial" w:cs="Arial"/>
          <w:shd w:val="clear" w:color="auto" w:fill="FFFFFF"/>
        </w:rPr>
        <w:t>,</w:t>
      </w:r>
      <w:r w:rsidR="002D098E" w:rsidRPr="004B375E">
        <w:rPr>
          <w:rFonts w:ascii="Arial" w:hAnsi="Arial" w:cs="Arial"/>
          <w:shd w:val="clear" w:color="auto" w:fill="FFFFFF"/>
        </w:rPr>
        <w:t>5</w:t>
      </w:r>
      <w:r w:rsidRPr="004B375E">
        <w:rPr>
          <w:rFonts w:ascii="Arial" w:hAnsi="Arial" w:cs="Arial"/>
          <w:shd w:val="clear" w:color="auto" w:fill="FFFFFF"/>
        </w:rPr>
        <w:t xml:space="preserve"> Prozent. Auf der anderen Seite erhöhte sich auch der Anteil der Personen, die in den Bereich des Einkommensreichtums fallen – also Personen, deren verfügbares</w:t>
      </w:r>
      <w:r w:rsidR="002D098E" w:rsidRPr="004B375E">
        <w:rPr>
          <w:rFonts w:ascii="Arial" w:hAnsi="Arial" w:cs="Arial"/>
          <w:shd w:val="clear" w:color="auto" w:fill="FFFFFF"/>
        </w:rPr>
        <w:t>,</w:t>
      </w:r>
      <w:r w:rsidRPr="004B375E">
        <w:rPr>
          <w:rFonts w:ascii="Arial" w:hAnsi="Arial" w:cs="Arial"/>
          <w:shd w:val="clear" w:color="auto" w:fill="FFFFFF"/>
        </w:rPr>
        <w:t xml:space="preserve"> bedarfsgewichtetes Einkommen bei mehr als 200 Prozent des </w:t>
      </w:r>
      <w:r w:rsidR="000A4187" w:rsidRPr="004B375E">
        <w:rPr>
          <w:rFonts w:ascii="Arial" w:hAnsi="Arial" w:cs="Arial"/>
          <w:shd w:val="clear" w:color="auto" w:fill="FFFFFF"/>
        </w:rPr>
        <w:t>mittleren E</w:t>
      </w:r>
      <w:r w:rsidRPr="004B375E">
        <w:rPr>
          <w:rFonts w:ascii="Arial" w:hAnsi="Arial" w:cs="Arial"/>
          <w:shd w:val="clear" w:color="auto" w:fill="FFFFFF"/>
        </w:rPr>
        <w:t>inkommens liegt</w:t>
      </w:r>
      <w:r w:rsidR="002D098E" w:rsidRPr="004B375E">
        <w:rPr>
          <w:rFonts w:ascii="Arial" w:hAnsi="Arial" w:cs="Arial"/>
          <w:shd w:val="clear" w:color="auto" w:fill="FFFFFF"/>
        </w:rPr>
        <w:t>:</w:t>
      </w:r>
      <w:r w:rsidRPr="004B375E">
        <w:rPr>
          <w:rFonts w:ascii="Arial" w:hAnsi="Arial" w:cs="Arial"/>
          <w:shd w:val="clear" w:color="auto" w:fill="FFFFFF"/>
        </w:rPr>
        <w:t xml:space="preserve"> 199</w:t>
      </w:r>
      <w:r w:rsidR="002D098E" w:rsidRPr="004B375E">
        <w:rPr>
          <w:rFonts w:ascii="Arial" w:hAnsi="Arial" w:cs="Arial"/>
          <w:shd w:val="clear" w:color="auto" w:fill="FFFFFF"/>
        </w:rPr>
        <w:t>2</w:t>
      </w:r>
      <w:r w:rsidRPr="004B375E">
        <w:rPr>
          <w:rFonts w:ascii="Arial" w:hAnsi="Arial" w:cs="Arial"/>
          <w:shd w:val="clear" w:color="auto" w:fill="FFFFFF"/>
        </w:rPr>
        <w:t xml:space="preserve"> verfügten </w:t>
      </w:r>
      <w:r w:rsidR="002D098E" w:rsidRPr="004B375E">
        <w:rPr>
          <w:rFonts w:ascii="Arial" w:hAnsi="Arial" w:cs="Arial"/>
          <w:shd w:val="clear" w:color="auto" w:fill="FFFFFF"/>
        </w:rPr>
        <w:t>5,5</w:t>
      </w:r>
      <w:r w:rsidRPr="004B375E">
        <w:rPr>
          <w:rFonts w:ascii="Arial" w:hAnsi="Arial" w:cs="Arial"/>
          <w:shd w:val="clear" w:color="auto" w:fill="FFFFFF"/>
        </w:rPr>
        <w:t xml:space="preserve"> Prozent der Bevölkerung über ein Einkommen in dieser Höhe, im Jahr 201</w:t>
      </w:r>
      <w:r w:rsidR="002D098E" w:rsidRPr="004B375E">
        <w:rPr>
          <w:rFonts w:ascii="Arial" w:hAnsi="Arial" w:cs="Arial"/>
          <w:shd w:val="clear" w:color="auto" w:fill="FFFFFF"/>
        </w:rPr>
        <w:t>6</w:t>
      </w:r>
      <w:r w:rsidRPr="004B375E">
        <w:rPr>
          <w:rFonts w:ascii="Arial" w:hAnsi="Arial" w:cs="Arial"/>
          <w:shd w:val="clear" w:color="auto" w:fill="FFFFFF"/>
        </w:rPr>
        <w:t xml:space="preserve"> waren es 7,</w:t>
      </w:r>
      <w:r w:rsidR="002D098E" w:rsidRPr="004B375E">
        <w:rPr>
          <w:rFonts w:ascii="Arial" w:hAnsi="Arial" w:cs="Arial"/>
          <w:shd w:val="clear" w:color="auto" w:fill="FFFFFF"/>
        </w:rPr>
        <w:t>7</w:t>
      </w:r>
      <w:r w:rsidRPr="004B375E">
        <w:rPr>
          <w:rFonts w:ascii="Arial" w:hAnsi="Arial" w:cs="Arial"/>
          <w:shd w:val="clear" w:color="auto" w:fill="FFFFFF"/>
        </w:rPr>
        <w:t xml:space="preserve"> Prozent.</w:t>
      </w:r>
    </w:p>
    <w:p w:rsidR="000521D2" w:rsidRPr="004B375E" w:rsidRDefault="000521D2" w:rsidP="00660D32">
      <w:pPr>
        <w:rPr>
          <w:rFonts w:ascii="Arial" w:hAnsi="Arial" w:cs="Arial"/>
          <w:shd w:val="clear" w:color="auto" w:fill="FFFFFF"/>
        </w:rPr>
      </w:pPr>
    </w:p>
    <w:p w:rsidR="00CA5D69" w:rsidRPr="00150D87" w:rsidRDefault="00CA5D69" w:rsidP="00CA5D69">
      <w:pPr>
        <w:rPr>
          <w:rFonts w:ascii="Arial" w:hAnsi="Arial" w:cs="Arial"/>
          <w:color w:val="FF0000"/>
        </w:rPr>
      </w:pPr>
      <w:r w:rsidRPr="00150D87">
        <w:rPr>
          <w:rFonts w:ascii="Arial" w:hAnsi="Arial" w:cs="Arial"/>
          <w:color w:val="FF0000"/>
        </w:rPr>
        <w:t>Datenquelle</w:t>
      </w:r>
    </w:p>
    <w:p w:rsidR="00130C1E" w:rsidRPr="004B375E" w:rsidRDefault="00130C1E" w:rsidP="00130C1E">
      <w:pPr>
        <w:rPr>
          <w:rFonts w:ascii="Arial" w:hAnsi="Arial" w:cs="Arial"/>
          <w:shd w:val="clear" w:color="auto" w:fill="FFFFFF"/>
        </w:rPr>
      </w:pPr>
    </w:p>
    <w:p w:rsidR="00DC76C9" w:rsidRPr="00050BA3" w:rsidRDefault="0069421D" w:rsidP="00DC76C9">
      <w:pPr>
        <w:autoSpaceDE w:val="0"/>
        <w:autoSpaceDN w:val="0"/>
        <w:adjustRightInd w:val="0"/>
        <w:rPr>
          <w:rFonts w:ascii="Arial" w:hAnsi="Arial" w:cs="Arial"/>
          <w:shd w:val="clear" w:color="auto" w:fill="FFFFFF"/>
        </w:rPr>
      </w:pPr>
      <w:r w:rsidRPr="004B375E">
        <w:rPr>
          <w:rFonts w:ascii="Arial" w:hAnsi="Arial" w:cs="Arial"/>
          <w:shd w:val="clear" w:color="auto" w:fill="FFFFFF"/>
        </w:rPr>
        <w:t xml:space="preserve">SOEPv34, </w:t>
      </w:r>
      <w:r w:rsidR="007E2418" w:rsidRPr="004B375E">
        <w:rPr>
          <w:rFonts w:ascii="Arial" w:hAnsi="Arial" w:cs="Arial"/>
          <w:shd w:val="clear" w:color="auto" w:fill="FFFFFF"/>
        </w:rPr>
        <w:t>Personen in Privathaushalten</w:t>
      </w:r>
      <w:r w:rsidR="00DC76C9">
        <w:rPr>
          <w:rFonts w:ascii="Arial" w:hAnsi="Arial" w:cs="Arial"/>
          <w:shd w:val="clear" w:color="auto" w:fill="FFFFFF"/>
        </w:rPr>
        <w:t>;</w:t>
      </w:r>
      <w:r w:rsidR="00DC76C9" w:rsidRPr="00050BA3">
        <w:rPr>
          <w:rFonts w:ascii="Arial" w:hAnsi="Arial" w:cs="Arial"/>
          <w:shd w:val="clear" w:color="auto" w:fill="FFFFFF"/>
        </w:rPr>
        <w:t xml:space="preserve"> Berechnungen des Deutschen Instituts für Wirtschaftsforschung (DIW) Berlin</w:t>
      </w:r>
    </w:p>
    <w:p w:rsidR="007E2418" w:rsidRPr="004B375E" w:rsidRDefault="007E2418" w:rsidP="00130C1E">
      <w:pPr>
        <w:rPr>
          <w:rFonts w:ascii="Arial" w:hAnsi="Arial" w:cs="Arial"/>
          <w:shd w:val="clear" w:color="auto" w:fill="FFFFFF"/>
        </w:rPr>
      </w:pPr>
    </w:p>
    <w:p w:rsidR="00CA5D69" w:rsidRPr="00150D87" w:rsidRDefault="00CA5D69" w:rsidP="00CA5D69">
      <w:pPr>
        <w:rPr>
          <w:rFonts w:ascii="Arial" w:hAnsi="Arial" w:cs="Arial"/>
          <w:color w:val="FF0000"/>
        </w:rPr>
      </w:pPr>
      <w:r w:rsidRPr="00150D87">
        <w:rPr>
          <w:rFonts w:ascii="Arial" w:hAnsi="Arial" w:cs="Arial"/>
          <w:color w:val="FF0000"/>
        </w:rPr>
        <w:t>Begriffe, methodische Anmerkungen oder Lesehilfen</w:t>
      </w:r>
    </w:p>
    <w:p w:rsidR="00130C1E" w:rsidRPr="004B375E" w:rsidRDefault="00130C1E" w:rsidP="00130C1E">
      <w:pPr>
        <w:rPr>
          <w:rFonts w:ascii="Arial" w:hAnsi="Arial" w:cs="Arial"/>
          <w:shd w:val="clear" w:color="auto" w:fill="FFFFFF"/>
        </w:rPr>
      </w:pPr>
    </w:p>
    <w:p w:rsidR="000B2FA0" w:rsidRDefault="000B2FA0" w:rsidP="000B2FA0">
      <w:pPr>
        <w:autoSpaceDE w:val="0"/>
        <w:autoSpaceDN w:val="0"/>
        <w:adjustRightInd w:val="0"/>
        <w:rPr>
          <w:rFonts w:ascii="Arial" w:hAnsi="Arial" w:cs="Arial"/>
        </w:rPr>
      </w:pPr>
      <w:bookmarkStart w:id="1" w:name="bedarfsgewichtet"/>
      <w:bookmarkEnd w:id="1"/>
      <w:r w:rsidRPr="00DA0473">
        <w:rPr>
          <w:rFonts w:ascii="Arial" w:hAnsi="Arial" w:cs="Arial"/>
          <w:shd w:val="clear" w:color="auto" w:fill="FFFFFF"/>
        </w:rPr>
        <w:t>Informationen zu</w:t>
      </w:r>
      <w:r>
        <w:rPr>
          <w:rFonts w:ascii="Arial" w:hAnsi="Arial" w:cs="Arial"/>
          <w:shd w:val="clear" w:color="auto" w:fill="FFFFFF"/>
        </w:rPr>
        <w:t xml:space="preserve">r </w:t>
      </w:r>
      <w:r>
        <w:rPr>
          <w:rFonts w:ascii="Arial" w:hAnsi="Arial" w:cs="Arial"/>
          <w:b/>
          <w:shd w:val="clear" w:color="auto" w:fill="FFFFFF"/>
        </w:rPr>
        <w:t xml:space="preserve">Einkommensverteilung in Deutschland </w:t>
      </w:r>
      <w:r w:rsidRPr="00DA0473">
        <w:rPr>
          <w:rFonts w:ascii="Arial" w:hAnsi="Arial" w:cs="Arial"/>
          <w:shd w:val="clear" w:color="auto" w:fill="FFFFFF"/>
        </w:rPr>
        <w:t>erhalten Sie hier</w:t>
      </w:r>
      <w:r>
        <w:rPr>
          <w:rFonts w:ascii="Arial" w:hAnsi="Arial" w:cs="Arial"/>
          <w:shd w:val="clear" w:color="auto" w:fill="FFFFFF"/>
        </w:rPr>
        <w:t xml:space="preserve">: </w:t>
      </w:r>
      <w:hyperlink r:id="rId5" w:history="1">
        <w:r w:rsidRPr="0072019D">
          <w:rPr>
            <w:rStyle w:val="Hyperlink"/>
            <w:rFonts w:ascii="Arial" w:hAnsi="Arial" w:cs="Arial"/>
          </w:rPr>
          <w:t>https://www.bpb.de/61769</w:t>
        </w:r>
      </w:hyperlink>
    </w:p>
    <w:p w:rsidR="000B2FA0" w:rsidRDefault="000B2FA0" w:rsidP="000B2FA0">
      <w:pPr>
        <w:autoSpaceDE w:val="0"/>
        <w:autoSpaceDN w:val="0"/>
        <w:adjustRightInd w:val="0"/>
        <w:rPr>
          <w:rFonts w:ascii="Arial" w:hAnsi="Arial" w:cs="Arial"/>
        </w:rPr>
      </w:pPr>
    </w:p>
    <w:p w:rsidR="00753F55" w:rsidRPr="004B375E" w:rsidRDefault="008075EB" w:rsidP="00130C1E">
      <w:pPr>
        <w:rPr>
          <w:rFonts w:ascii="Arial" w:hAnsi="Arial" w:cs="Arial"/>
          <w:shd w:val="clear" w:color="auto" w:fill="FFFFFF"/>
        </w:rPr>
      </w:pPr>
      <w:r w:rsidRPr="004B375E">
        <w:rPr>
          <w:rFonts w:ascii="Arial" w:hAnsi="Arial" w:cs="Arial"/>
          <w:shd w:val="clear" w:color="auto" w:fill="FFFFFF"/>
        </w:rPr>
        <w:t>Um sowohl die unterschiedlichen Haushaltsstrukturen als auch die Einspareffekte zu berücksichtigen, die durch das Zusammenleben entstehen (durch gemeinsam genutzten Wohnraum, beim Energieverbrauch pro Kopf oder bei Haushaltsanschaffungen), werden die Einkommen bei der Einkommensberechnung gewichtet (</w:t>
      </w:r>
      <w:r w:rsidRPr="004B375E">
        <w:rPr>
          <w:rStyle w:val="Fett"/>
          <w:rFonts w:ascii="Arial" w:hAnsi="Arial" w:cs="Arial"/>
          <w:shd w:val="clear" w:color="auto" w:fill="FFFFFF"/>
        </w:rPr>
        <w:t>Äquivalenzeinkommen</w:t>
      </w:r>
      <w:r w:rsidRPr="004B375E">
        <w:rPr>
          <w:rFonts w:ascii="Arial" w:hAnsi="Arial" w:cs="Arial"/>
          <w:shd w:val="clear" w:color="auto" w:fill="FFFFFF"/>
        </w:rPr>
        <w:t>).</w:t>
      </w:r>
      <w:r w:rsidRPr="004B375E">
        <w:rPr>
          <w:rFonts w:ascii="Arial" w:hAnsi="Arial" w:cs="Arial"/>
        </w:rPr>
        <w:br/>
      </w:r>
      <w:r w:rsidRPr="004B375E">
        <w:rPr>
          <w:rFonts w:ascii="Arial" w:hAnsi="Arial" w:cs="Arial"/>
          <w:shd w:val="clear" w:color="auto" w:fill="FFFFFF"/>
        </w:rPr>
        <w:br/>
        <w:t>Zur Ermittlung des Einkommens wird zunächst das von allen Haushaltsmitgliedern tatsächlich erzielte Haushaltseinkommen zusammengefasst. Dieses setzt sich zusammen aus dem Einkommen aus selbstständiger und unselbstständiger Erwerbstätigkeit, dem Einkommen aus Vermögen, Renten und Pensionen sowie empfangenen laufenden Sozialtransfers – wie zum Beispiel Arbeitslosengeld, Sozialhilfe oder Kindergeld. Direkte Steuern und Sozialbeiträge werden abgezogen.</w:t>
      </w:r>
      <w:r w:rsidRPr="004B375E">
        <w:rPr>
          <w:rFonts w:ascii="Arial" w:hAnsi="Arial" w:cs="Arial"/>
          <w:shd w:val="clear" w:color="auto" w:fill="FFFFFF"/>
        </w:rPr>
        <w:br/>
      </w:r>
    </w:p>
    <w:p w:rsidR="00AD3BCC" w:rsidRPr="004B375E" w:rsidRDefault="00753F55" w:rsidP="00130C1E">
      <w:pPr>
        <w:rPr>
          <w:rFonts w:ascii="Arial" w:hAnsi="Arial" w:cs="Arial"/>
          <w:shd w:val="clear" w:color="auto" w:fill="FFFFFF"/>
        </w:rPr>
      </w:pPr>
      <w:r w:rsidRPr="004B375E">
        <w:rPr>
          <w:rFonts w:ascii="Arial" w:hAnsi="Arial" w:cs="Arial"/>
          <w:shd w:val="clear" w:color="auto" w:fill="FFFFFF"/>
        </w:rPr>
        <w:t>Anschließend wird das verfügbare Einkommen gewichtet bzw. das sogenannte </w:t>
      </w:r>
      <w:r w:rsidRPr="004B375E">
        <w:rPr>
          <w:rStyle w:val="Fett"/>
          <w:rFonts w:ascii="Arial" w:hAnsi="Arial" w:cs="Arial"/>
          <w:shd w:val="clear" w:color="auto" w:fill="FFFFFF"/>
        </w:rPr>
        <w:t>Äquivalenzeinkommen </w:t>
      </w:r>
      <w:r w:rsidRPr="004B375E">
        <w:rPr>
          <w:rFonts w:ascii="Arial" w:hAnsi="Arial" w:cs="Arial"/>
          <w:shd w:val="clear" w:color="auto" w:fill="FFFFFF"/>
        </w:rPr>
        <w:t>ermittelt. Dazu wird das verfügbare Haushaltseinkommen unter Berücksichtigung eines Gewichtungsschlüssels (Äquivalenzskala) geteilt. Die Äquivalenzskala weist dabei der ersten erwachsenen Person stets das Gewicht 1 zu. Weitere Erwachsene und Kinder ab 14 Jahren erhalten das Gewicht 0,5, Kinder unter 14 Jahren das Gewicht 0,3.</w:t>
      </w:r>
      <w:r w:rsidRPr="004B375E">
        <w:rPr>
          <w:rFonts w:ascii="Arial" w:hAnsi="Arial" w:cs="Arial"/>
        </w:rPr>
        <w:br/>
      </w:r>
      <w:r w:rsidR="008075EB" w:rsidRPr="004B375E">
        <w:rPr>
          <w:rFonts w:ascii="Arial" w:hAnsi="Arial" w:cs="Arial"/>
          <w:shd w:val="clear" w:color="auto" w:fill="FFFFFF"/>
        </w:rPr>
        <w:br/>
      </w:r>
      <w:r w:rsidRPr="004B375E">
        <w:rPr>
          <w:rStyle w:val="Fett"/>
          <w:rFonts w:ascii="Arial" w:hAnsi="Arial" w:cs="Arial"/>
          <w:shd w:val="clear" w:color="auto" w:fill="FFFFFF"/>
        </w:rPr>
        <w:t>Ein Beispiel: </w:t>
      </w:r>
      <w:r w:rsidRPr="004B375E">
        <w:rPr>
          <w:rFonts w:ascii="Arial" w:hAnsi="Arial" w:cs="Arial"/>
          <w:shd w:val="clear" w:color="auto" w:fill="FFFFFF"/>
        </w:rPr>
        <w:t>Eine Familie mit zwei Erwachsenen und zwei Kindern unter 14 Jahren hat nach der Äquivalenzskala das Gesamtgewicht 2,1 (1 plus 0,5 plus 0,3 plus 0,3). Zu Berechnung des Äquivalenzeinkommens muss das verfügbare Haushaltseinkommen demnach durch 2,1 – und nicht durch die Anzahl der Personen – geteilt werden. Bei einem verfügbaren Haushaltseinkommen von beispielsweise 2.100 Euro hat jedes der vier Haushaltsmitglieder ein Äquivalenzeinkommen von 1.000 Euro.</w:t>
      </w:r>
      <w:r w:rsidR="008075EB" w:rsidRPr="004B375E">
        <w:rPr>
          <w:rFonts w:ascii="Arial" w:hAnsi="Arial" w:cs="Arial"/>
        </w:rPr>
        <w:br/>
      </w:r>
      <w:r w:rsidR="008075EB" w:rsidRPr="004B375E">
        <w:rPr>
          <w:rFonts w:ascii="Arial" w:hAnsi="Arial" w:cs="Arial"/>
          <w:shd w:val="clear" w:color="auto" w:fill="FFFFFF"/>
        </w:rPr>
        <w:br/>
      </w:r>
      <w:r w:rsidR="003E7FE9" w:rsidRPr="004B375E">
        <w:rPr>
          <w:rFonts w:ascii="Arial" w:hAnsi="Arial" w:cs="Arial"/>
          <w:shd w:val="clear" w:color="auto" w:fill="FFFFFF"/>
        </w:rPr>
        <w:t>Um das mittlere Einkommen zu berechnen, wird hier der </w:t>
      </w:r>
      <w:r w:rsidR="003E7FE9" w:rsidRPr="004B375E">
        <w:rPr>
          <w:rStyle w:val="Fett"/>
          <w:rFonts w:ascii="Arial" w:hAnsi="Arial" w:cs="Arial"/>
          <w:shd w:val="clear" w:color="auto" w:fill="FFFFFF"/>
        </w:rPr>
        <w:t>Median (Zentralwert) </w:t>
      </w:r>
      <w:r w:rsidR="003E7FE9" w:rsidRPr="004B375E">
        <w:rPr>
          <w:rFonts w:ascii="Arial" w:hAnsi="Arial" w:cs="Arial"/>
          <w:shd w:val="clear" w:color="auto" w:fill="FFFFFF"/>
        </w:rPr>
        <w:t xml:space="preserve">verwendet. </w:t>
      </w:r>
      <w:r w:rsidR="008075EB" w:rsidRPr="004B375E">
        <w:rPr>
          <w:rFonts w:ascii="Arial" w:hAnsi="Arial" w:cs="Arial"/>
          <w:shd w:val="clear" w:color="auto" w:fill="FFFFFF"/>
        </w:rPr>
        <w:t>Dabei werden alle Personen</w:t>
      </w:r>
      <w:r w:rsidR="00AD3BCC" w:rsidRPr="004B375E">
        <w:rPr>
          <w:rFonts w:ascii="Arial" w:hAnsi="Arial" w:cs="Arial"/>
          <w:shd w:val="clear" w:color="auto" w:fill="FFFFFF"/>
        </w:rPr>
        <w:t xml:space="preserve"> </w:t>
      </w:r>
      <w:r w:rsidR="008075EB" w:rsidRPr="004B375E">
        <w:rPr>
          <w:rFonts w:ascii="Arial" w:hAnsi="Arial" w:cs="Arial"/>
          <w:shd w:val="clear" w:color="auto" w:fill="FFFFFF"/>
        </w:rPr>
        <w:t xml:space="preserve">ihrem gewichteten </w:t>
      </w:r>
      <w:r w:rsidR="008075EB" w:rsidRPr="004B375E">
        <w:rPr>
          <w:rFonts w:ascii="Arial" w:hAnsi="Arial" w:cs="Arial"/>
          <w:shd w:val="clear" w:color="auto" w:fill="FFFFFF"/>
        </w:rPr>
        <w:lastRenderedPageBreak/>
        <w:t>Einkommen nach aufsteigend sortiert. Der Median ist der Einkommenswert der</w:t>
      </w:r>
      <w:r w:rsidR="00AD3BCC" w:rsidRPr="004B375E">
        <w:rPr>
          <w:rFonts w:ascii="Arial" w:hAnsi="Arial" w:cs="Arial"/>
          <w:shd w:val="clear" w:color="auto" w:fill="FFFFFF"/>
        </w:rPr>
        <w:t>jenigen</w:t>
      </w:r>
      <w:r w:rsidR="00C72EFF" w:rsidRPr="004B375E">
        <w:rPr>
          <w:rFonts w:ascii="Arial" w:hAnsi="Arial" w:cs="Arial"/>
          <w:shd w:val="clear" w:color="auto" w:fill="FFFFFF"/>
        </w:rPr>
        <w:t xml:space="preserve"> </w:t>
      </w:r>
      <w:r w:rsidR="008075EB" w:rsidRPr="004B375E">
        <w:rPr>
          <w:rFonts w:ascii="Arial" w:hAnsi="Arial" w:cs="Arial"/>
          <w:shd w:val="clear" w:color="auto" w:fill="FFFFFF"/>
        </w:rPr>
        <w:t>Person, d</w:t>
      </w:r>
      <w:r w:rsidR="00AD3BCC" w:rsidRPr="004B375E">
        <w:rPr>
          <w:rFonts w:ascii="Arial" w:hAnsi="Arial" w:cs="Arial"/>
          <w:shd w:val="clear" w:color="auto" w:fill="FFFFFF"/>
        </w:rPr>
        <w:t>ie</w:t>
      </w:r>
      <w:r w:rsidR="008075EB" w:rsidRPr="004B375E">
        <w:rPr>
          <w:rFonts w:ascii="Arial" w:hAnsi="Arial" w:cs="Arial"/>
          <w:shd w:val="clear" w:color="auto" w:fill="FFFFFF"/>
        </w:rPr>
        <w:t xml:space="preserve"> die Bevölkerung</w:t>
      </w:r>
      <w:r w:rsidR="00AD3BCC" w:rsidRPr="004B375E">
        <w:rPr>
          <w:rFonts w:ascii="Arial" w:hAnsi="Arial" w:cs="Arial"/>
          <w:shd w:val="clear" w:color="auto" w:fill="FFFFFF"/>
        </w:rPr>
        <w:t xml:space="preserve"> </w:t>
      </w:r>
      <w:r w:rsidR="008075EB" w:rsidRPr="004B375E">
        <w:rPr>
          <w:rFonts w:ascii="Arial" w:hAnsi="Arial" w:cs="Arial"/>
          <w:shd w:val="clear" w:color="auto" w:fill="FFFFFF"/>
        </w:rPr>
        <w:t xml:space="preserve">in genau zwei Hälften teilt. Das heißt, die eine Hälfte hat ein höheres, die andere ein niedrigeres gewichtetes Einkommen. 60 Prozent dieses Medianwertes stellen die Armutsgefährdungsgrenze dar, 200 Prozent – in manchen Veröffentlichungen auch 300 Prozent – die </w:t>
      </w:r>
      <w:proofErr w:type="spellStart"/>
      <w:r w:rsidR="008075EB" w:rsidRPr="004B375E">
        <w:rPr>
          <w:rFonts w:ascii="Arial" w:hAnsi="Arial" w:cs="Arial"/>
          <w:shd w:val="clear" w:color="auto" w:fill="FFFFFF"/>
        </w:rPr>
        <w:t>Einkommensreichtumsgrenze</w:t>
      </w:r>
      <w:proofErr w:type="spellEnd"/>
      <w:r w:rsidR="008075EB" w:rsidRPr="004B375E">
        <w:rPr>
          <w:rFonts w:ascii="Arial" w:hAnsi="Arial" w:cs="Arial"/>
          <w:shd w:val="clear" w:color="auto" w:fill="FFFFFF"/>
        </w:rPr>
        <w:t>.</w:t>
      </w:r>
    </w:p>
    <w:p w:rsidR="00130C1E" w:rsidRPr="004B375E" w:rsidRDefault="008075EB" w:rsidP="00130C1E">
      <w:pPr>
        <w:rPr>
          <w:rFonts w:ascii="Arial" w:hAnsi="Arial" w:cs="Arial"/>
          <w:shd w:val="clear" w:color="auto" w:fill="FFFFFF"/>
        </w:rPr>
      </w:pPr>
      <w:r w:rsidRPr="004B375E">
        <w:rPr>
          <w:rFonts w:ascii="Arial" w:hAnsi="Arial" w:cs="Arial"/>
          <w:shd w:val="clear" w:color="auto" w:fill="FFFFFF"/>
        </w:rPr>
        <w:br/>
        <w:t>Das </w:t>
      </w:r>
      <w:r w:rsidRPr="004B375E">
        <w:rPr>
          <w:rStyle w:val="Fett"/>
          <w:rFonts w:ascii="Arial" w:hAnsi="Arial" w:cs="Arial"/>
          <w:shd w:val="clear" w:color="auto" w:fill="FFFFFF"/>
        </w:rPr>
        <w:t>Sozio-</w:t>
      </w:r>
      <w:proofErr w:type="spellStart"/>
      <w:r w:rsidRPr="004B375E">
        <w:rPr>
          <w:rStyle w:val="Fett"/>
          <w:rFonts w:ascii="Arial" w:hAnsi="Arial" w:cs="Arial"/>
          <w:shd w:val="clear" w:color="auto" w:fill="FFFFFF"/>
        </w:rPr>
        <w:t>oekonomische</w:t>
      </w:r>
      <w:proofErr w:type="spellEnd"/>
      <w:r w:rsidRPr="004B375E">
        <w:rPr>
          <w:rStyle w:val="Fett"/>
          <w:rFonts w:ascii="Arial" w:hAnsi="Arial" w:cs="Arial"/>
          <w:shd w:val="clear" w:color="auto" w:fill="FFFFFF"/>
        </w:rPr>
        <w:t xml:space="preserve"> Panel (SOEP)</w:t>
      </w:r>
      <w:r w:rsidRPr="004B375E">
        <w:rPr>
          <w:rFonts w:ascii="Arial" w:hAnsi="Arial" w:cs="Arial"/>
          <w:shd w:val="clear" w:color="auto" w:fill="FFFFFF"/>
        </w:rPr>
        <w:t> ist eine repräsentative Wiederholungsbefragung, die vom Deutschen Institut für Wirtschaftsforschung (DIW Berlin) beauftragt wird.</w:t>
      </w:r>
    </w:p>
    <w:p w:rsidR="003E7FE9" w:rsidRPr="004B375E" w:rsidRDefault="003E7FE9" w:rsidP="00130C1E">
      <w:pPr>
        <w:rPr>
          <w:rFonts w:ascii="Arial" w:hAnsi="Arial" w:cs="Arial"/>
          <w:shd w:val="clear" w:color="auto" w:fill="FFFFFF"/>
        </w:rPr>
      </w:pPr>
    </w:p>
    <w:p w:rsidR="001B7D15" w:rsidRPr="004B375E" w:rsidRDefault="001B7D15" w:rsidP="001B7D15">
      <w:pPr>
        <w:rPr>
          <w:rFonts w:ascii="Arial" w:hAnsi="Arial" w:cs="Arial"/>
          <w:sz w:val="20"/>
          <w:szCs w:val="20"/>
        </w:rPr>
      </w:pPr>
      <w:r w:rsidRPr="004B375E">
        <w:rPr>
          <w:rFonts w:ascii="Arial" w:hAnsi="Arial" w:cs="Arial"/>
          <w:sz w:val="20"/>
          <w:szCs w:val="20"/>
        </w:rPr>
        <w:t xml:space="preserve">Dieser Text ist unter der Creative Commons Lizenz </w:t>
      </w:r>
      <w:hyperlink r:id="rId6" w:tgtFrame="extern" w:history="1">
        <w:r w:rsidRPr="004B375E">
          <w:rPr>
            <w:rFonts w:ascii="Arial" w:hAnsi="Arial" w:cs="Arial"/>
            <w:sz w:val="20"/>
            <w:szCs w:val="20"/>
          </w:rPr>
          <w:t>by-nc-nd/3.0/de/</w:t>
        </w:r>
      </w:hyperlink>
      <w:r w:rsidRPr="004B375E">
        <w:rPr>
          <w:rFonts w:ascii="Arial" w:hAnsi="Arial" w:cs="Arial"/>
          <w:sz w:val="20"/>
          <w:szCs w:val="20"/>
        </w:rPr>
        <w:t xml:space="preserve"> veröffentlicht. </w:t>
      </w:r>
    </w:p>
    <w:p w:rsidR="001B7D15" w:rsidRPr="004B375E" w:rsidRDefault="001B7D15">
      <w:pPr>
        <w:rPr>
          <w:rFonts w:ascii="Arial" w:hAnsi="Arial" w:cs="Arial"/>
          <w:i/>
        </w:rPr>
      </w:pPr>
      <w:r w:rsidRPr="004B375E">
        <w:rPr>
          <w:rFonts w:ascii="Arial" w:hAnsi="Arial" w:cs="Arial"/>
          <w:sz w:val="20"/>
          <w:szCs w:val="20"/>
        </w:rPr>
        <w:t>Bundeszentrale für politische Bildung 20</w:t>
      </w:r>
      <w:r w:rsidR="00BD5C4D" w:rsidRPr="004B375E">
        <w:rPr>
          <w:rFonts w:ascii="Arial" w:hAnsi="Arial" w:cs="Arial"/>
          <w:sz w:val="20"/>
          <w:szCs w:val="20"/>
        </w:rPr>
        <w:t>20</w:t>
      </w:r>
      <w:r w:rsidRPr="004B375E">
        <w:rPr>
          <w:rFonts w:ascii="Arial" w:hAnsi="Arial" w:cs="Arial"/>
          <w:sz w:val="20"/>
          <w:szCs w:val="20"/>
        </w:rPr>
        <w:t xml:space="preserve"> | </w:t>
      </w:r>
      <w:hyperlink r:id="rId7" w:history="1">
        <w:r w:rsidRPr="004B375E">
          <w:rPr>
            <w:rFonts w:ascii="Arial" w:hAnsi="Arial" w:cs="Arial"/>
            <w:sz w:val="20"/>
            <w:szCs w:val="20"/>
          </w:rPr>
          <w:t>www.bpb.de</w:t>
        </w:r>
      </w:hyperlink>
    </w:p>
    <w:sectPr w:rsidR="001B7D15" w:rsidRPr="004B37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024BC"/>
    <w:rsid w:val="0001349B"/>
    <w:rsid w:val="000238CC"/>
    <w:rsid w:val="000521D2"/>
    <w:rsid w:val="0005792D"/>
    <w:rsid w:val="00070D8B"/>
    <w:rsid w:val="00076264"/>
    <w:rsid w:val="0009167D"/>
    <w:rsid w:val="00092115"/>
    <w:rsid w:val="00096BAA"/>
    <w:rsid w:val="000A06C1"/>
    <w:rsid w:val="000A20AA"/>
    <w:rsid w:val="000A4187"/>
    <w:rsid w:val="000A7F9D"/>
    <w:rsid w:val="000B2FA0"/>
    <w:rsid w:val="000C730A"/>
    <w:rsid w:val="000E2813"/>
    <w:rsid w:val="000F5548"/>
    <w:rsid w:val="000F55F6"/>
    <w:rsid w:val="00101A74"/>
    <w:rsid w:val="00104423"/>
    <w:rsid w:val="00111F49"/>
    <w:rsid w:val="0011351D"/>
    <w:rsid w:val="001200F4"/>
    <w:rsid w:val="001221A4"/>
    <w:rsid w:val="001269EF"/>
    <w:rsid w:val="00130C1E"/>
    <w:rsid w:val="00142AB4"/>
    <w:rsid w:val="00150D87"/>
    <w:rsid w:val="00163721"/>
    <w:rsid w:val="001662E8"/>
    <w:rsid w:val="001713B1"/>
    <w:rsid w:val="001715AF"/>
    <w:rsid w:val="00171D83"/>
    <w:rsid w:val="0017448A"/>
    <w:rsid w:val="00174B87"/>
    <w:rsid w:val="00183A44"/>
    <w:rsid w:val="001863C2"/>
    <w:rsid w:val="00186DC5"/>
    <w:rsid w:val="0019340D"/>
    <w:rsid w:val="00197439"/>
    <w:rsid w:val="001B04AD"/>
    <w:rsid w:val="001B606B"/>
    <w:rsid w:val="001B7D15"/>
    <w:rsid w:val="001D198C"/>
    <w:rsid w:val="001D7E07"/>
    <w:rsid w:val="001E5E13"/>
    <w:rsid w:val="001F0077"/>
    <w:rsid w:val="001F7F43"/>
    <w:rsid w:val="0021766E"/>
    <w:rsid w:val="00222902"/>
    <w:rsid w:val="00223687"/>
    <w:rsid w:val="00236386"/>
    <w:rsid w:val="00244199"/>
    <w:rsid w:val="00244394"/>
    <w:rsid w:val="00260769"/>
    <w:rsid w:val="00265449"/>
    <w:rsid w:val="00266714"/>
    <w:rsid w:val="002676AC"/>
    <w:rsid w:val="002766B9"/>
    <w:rsid w:val="0028024F"/>
    <w:rsid w:val="002B5C93"/>
    <w:rsid w:val="002C242C"/>
    <w:rsid w:val="002D098E"/>
    <w:rsid w:val="002E7D46"/>
    <w:rsid w:val="00363D8E"/>
    <w:rsid w:val="003657B1"/>
    <w:rsid w:val="0038111C"/>
    <w:rsid w:val="003A6FDC"/>
    <w:rsid w:val="003B1043"/>
    <w:rsid w:val="003B2FF1"/>
    <w:rsid w:val="003B5A46"/>
    <w:rsid w:val="003C1F2C"/>
    <w:rsid w:val="003D3ABC"/>
    <w:rsid w:val="003E0426"/>
    <w:rsid w:val="003E0C4A"/>
    <w:rsid w:val="003E25B4"/>
    <w:rsid w:val="003E7FE9"/>
    <w:rsid w:val="003F711C"/>
    <w:rsid w:val="00402B2C"/>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1675"/>
    <w:rsid w:val="00491D2E"/>
    <w:rsid w:val="00494DF9"/>
    <w:rsid w:val="004A2795"/>
    <w:rsid w:val="004A6A0F"/>
    <w:rsid w:val="004B375E"/>
    <w:rsid w:val="004D59F0"/>
    <w:rsid w:val="004E6618"/>
    <w:rsid w:val="004F0DF6"/>
    <w:rsid w:val="004F2EB9"/>
    <w:rsid w:val="004F5774"/>
    <w:rsid w:val="00500D14"/>
    <w:rsid w:val="00507D65"/>
    <w:rsid w:val="0051310F"/>
    <w:rsid w:val="005138ED"/>
    <w:rsid w:val="00514A82"/>
    <w:rsid w:val="005234DF"/>
    <w:rsid w:val="005533BA"/>
    <w:rsid w:val="005557C5"/>
    <w:rsid w:val="00563462"/>
    <w:rsid w:val="00566A11"/>
    <w:rsid w:val="00577775"/>
    <w:rsid w:val="00594628"/>
    <w:rsid w:val="005B4D9E"/>
    <w:rsid w:val="005C7778"/>
    <w:rsid w:val="005D753F"/>
    <w:rsid w:val="005E10EE"/>
    <w:rsid w:val="005E5C94"/>
    <w:rsid w:val="005F7382"/>
    <w:rsid w:val="00617540"/>
    <w:rsid w:val="0062494D"/>
    <w:rsid w:val="00625C9B"/>
    <w:rsid w:val="00637A59"/>
    <w:rsid w:val="006446EA"/>
    <w:rsid w:val="00652ACF"/>
    <w:rsid w:val="00652DD2"/>
    <w:rsid w:val="00654C74"/>
    <w:rsid w:val="006556F0"/>
    <w:rsid w:val="00660D32"/>
    <w:rsid w:val="0068567A"/>
    <w:rsid w:val="0069421D"/>
    <w:rsid w:val="006A3317"/>
    <w:rsid w:val="006B1677"/>
    <w:rsid w:val="006B1683"/>
    <w:rsid w:val="006B2F04"/>
    <w:rsid w:val="006B47AA"/>
    <w:rsid w:val="0070122C"/>
    <w:rsid w:val="00722C39"/>
    <w:rsid w:val="00740C0E"/>
    <w:rsid w:val="00743840"/>
    <w:rsid w:val="007443B1"/>
    <w:rsid w:val="00753F55"/>
    <w:rsid w:val="00756A6D"/>
    <w:rsid w:val="00766238"/>
    <w:rsid w:val="00793840"/>
    <w:rsid w:val="007A16CB"/>
    <w:rsid w:val="007B2CF6"/>
    <w:rsid w:val="007B4AD0"/>
    <w:rsid w:val="007C3EFF"/>
    <w:rsid w:val="007D3B72"/>
    <w:rsid w:val="007E2418"/>
    <w:rsid w:val="007E347B"/>
    <w:rsid w:val="007E4236"/>
    <w:rsid w:val="007E4C5C"/>
    <w:rsid w:val="007E7424"/>
    <w:rsid w:val="007F4155"/>
    <w:rsid w:val="008075EB"/>
    <w:rsid w:val="00812651"/>
    <w:rsid w:val="0082696E"/>
    <w:rsid w:val="00833813"/>
    <w:rsid w:val="00833EB8"/>
    <w:rsid w:val="00835E1B"/>
    <w:rsid w:val="00841E79"/>
    <w:rsid w:val="00841ECF"/>
    <w:rsid w:val="00843264"/>
    <w:rsid w:val="008538F4"/>
    <w:rsid w:val="00853D32"/>
    <w:rsid w:val="0085672F"/>
    <w:rsid w:val="008579A4"/>
    <w:rsid w:val="00857F8E"/>
    <w:rsid w:val="0086092F"/>
    <w:rsid w:val="00864E6C"/>
    <w:rsid w:val="0088239F"/>
    <w:rsid w:val="00892026"/>
    <w:rsid w:val="008A292E"/>
    <w:rsid w:val="008B2910"/>
    <w:rsid w:val="008B62DE"/>
    <w:rsid w:val="008C59DD"/>
    <w:rsid w:val="008D0676"/>
    <w:rsid w:val="008D0CEB"/>
    <w:rsid w:val="008E0F4F"/>
    <w:rsid w:val="008E550C"/>
    <w:rsid w:val="008F25D3"/>
    <w:rsid w:val="009135B0"/>
    <w:rsid w:val="009219CE"/>
    <w:rsid w:val="00922D13"/>
    <w:rsid w:val="00932EC5"/>
    <w:rsid w:val="009418DE"/>
    <w:rsid w:val="00950462"/>
    <w:rsid w:val="0095097C"/>
    <w:rsid w:val="00957E65"/>
    <w:rsid w:val="009635A6"/>
    <w:rsid w:val="00986482"/>
    <w:rsid w:val="0099599B"/>
    <w:rsid w:val="009A01C9"/>
    <w:rsid w:val="009A39DD"/>
    <w:rsid w:val="009B34B6"/>
    <w:rsid w:val="009C7AE9"/>
    <w:rsid w:val="009D30FE"/>
    <w:rsid w:val="009E0BFE"/>
    <w:rsid w:val="009E3A9C"/>
    <w:rsid w:val="009E5785"/>
    <w:rsid w:val="009E5EF9"/>
    <w:rsid w:val="009F1743"/>
    <w:rsid w:val="00A14D4F"/>
    <w:rsid w:val="00A20379"/>
    <w:rsid w:val="00A30C39"/>
    <w:rsid w:val="00A3520F"/>
    <w:rsid w:val="00A36099"/>
    <w:rsid w:val="00A37E7C"/>
    <w:rsid w:val="00A403D6"/>
    <w:rsid w:val="00A563F5"/>
    <w:rsid w:val="00A665D1"/>
    <w:rsid w:val="00A853E6"/>
    <w:rsid w:val="00A86D33"/>
    <w:rsid w:val="00AA1895"/>
    <w:rsid w:val="00AB7066"/>
    <w:rsid w:val="00AC61BA"/>
    <w:rsid w:val="00AD308A"/>
    <w:rsid w:val="00AD3BCC"/>
    <w:rsid w:val="00AD5A2B"/>
    <w:rsid w:val="00AD7565"/>
    <w:rsid w:val="00AE73D2"/>
    <w:rsid w:val="00AF03D4"/>
    <w:rsid w:val="00B046F9"/>
    <w:rsid w:val="00B06259"/>
    <w:rsid w:val="00B15B38"/>
    <w:rsid w:val="00B22067"/>
    <w:rsid w:val="00B22309"/>
    <w:rsid w:val="00B26333"/>
    <w:rsid w:val="00B32082"/>
    <w:rsid w:val="00B330D7"/>
    <w:rsid w:val="00B33419"/>
    <w:rsid w:val="00B35EDE"/>
    <w:rsid w:val="00B431A3"/>
    <w:rsid w:val="00B6099E"/>
    <w:rsid w:val="00B64A5D"/>
    <w:rsid w:val="00B73F14"/>
    <w:rsid w:val="00B74018"/>
    <w:rsid w:val="00B812AB"/>
    <w:rsid w:val="00BA27C4"/>
    <w:rsid w:val="00BA37F8"/>
    <w:rsid w:val="00BB2542"/>
    <w:rsid w:val="00BC3272"/>
    <w:rsid w:val="00BC53BE"/>
    <w:rsid w:val="00BC5FEF"/>
    <w:rsid w:val="00BC60BC"/>
    <w:rsid w:val="00BD5C4D"/>
    <w:rsid w:val="00BF24A8"/>
    <w:rsid w:val="00BF2D38"/>
    <w:rsid w:val="00BF5551"/>
    <w:rsid w:val="00C23848"/>
    <w:rsid w:val="00C32A40"/>
    <w:rsid w:val="00C33977"/>
    <w:rsid w:val="00C46A1D"/>
    <w:rsid w:val="00C5712E"/>
    <w:rsid w:val="00C6415A"/>
    <w:rsid w:val="00C72DF7"/>
    <w:rsid w:val="00C72EFF"/>
    <w:rsid w:val="00C7374E"/>
    <w:rsid w:val="00C832FB"/>
    <w:rsid w:val="00C83F01"/>
    <w:rsid w:val="00C878A1"/>
    <w:rsid w:val="00CA5D69"/>
    <w:rsid w:val="00CA65B7"/>
    <w:rsid w:val="00CC5C8D"/>
    <w:rsid w:val="00CC7933"/>
    <w:rsid w:val="00CD4881"/>
    <w:rsid w:val="00CE6004"/>
    <w:rsid w:val="00CF2201"/>
    <w:rsid w:val="00CF3BF7"/>
    <w:rsid w:val="00D10100"/>
    <w:rsid w:val="00D1157E"/>
    <w:rsid w:val="00D17469"/>
    <w:rsid w:val="00D239C1"/>
    <w:rsid w:val="00D42842"/>
    <w:rsid w:val="00D4298E"/>
    <w:rsid w:val="00D50139"/>
    <w:rsid w:val="00D6551E"/>
    <w:rsid w:val="00D67563"/>
    <w:rsid w:val="00D701D7"/>
    <w:rsid w:val="00D90271"/>
    <w:rsid w:val="00DA0F72"/>
    <w:rsid w:val="00DB13C4"/>
    <w:rsid w:val="00DB1472"/>
    <w:rsid w:val="00DC1022"/>
    <w:rsid w:val="00DC76C9"/>
    <w:rsid w:val="00DD565B"/>
    <w:rsid w:val="00DE45D7"/>
    <w:rsid w:val="00DE7056"/>
    <w:rsid w:val="00DF3E64"/>
    <w:rsid w:val="00DF4935"/>
    <w:rsid w:val="00E17263"/>
    <w:rsid w:val="00E27E54"/>
    <w:rsid w:val="00E4623F"/>
    <w:rsid w:val="00E771E2"/>
    <w:rsid w:val="00E87B35"/>
    <w:rsid w:val="00EB0E7B"/>
    <w:rsid w:val="00EC06C6"/>
    <w:rsid w:val="00EC6607"/>
    <w:rsid w:val="00ED0C9F"/>
    <w:rsid w:val="00ED53B8"/>
    <w:rsid w:val="00ED7BBC"/>
    <w:rsid w:val="00EE5A3C"/>
    <w:rsid w:val="00EF2F99"/>
    <w:rsid w:val="00F02304"/>
    <w:rsid w:val="00F0757C"/>
    <w:rsid w:val="00F14B2A"/>
    <w:rsid w:val="00F20B03"/>
    <w:rsid w:val="00F23DFF"/>
    <w:rsid w:val="00F33357"/>
    <w:rsid w:val="00F35780"/>
    <w:rsid w:val="00F541AF"/>
    <w:rsid w:val="00F56CBA"/>
    <w:rsid w:val="00F6252C"/>
    <w:rsid w:val="00F62A17"/>
    <w:rsid w:val="00F71E76"/>
    <w:rsid w:val="00F833D1"/>
    <w:rsid w:val="00F86A3C"/>
    <w:rsid w:val="00F97979"/>
    <w:rsid w:val="00FA4969"/>
    <w:rsid w:val="00FB2C2B"/>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s://www.bpb.de/617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5817</Characters>
  <Application>Microsoft Office Word</Application>
  <DocSecurity>0</DocSecurity>
  <Lines>114</Lines>
  <Paragraphs>16</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10</cp:revision>
  <dcterms:created xsi:type="dcterms:W3CDTF">2020-08-10T14:12:00Z</dcterms:created>
  <dcterms:modified xsi:type="dcterms:W3CDTF">2020-11-05T08:34:00Z</dcterms:modified>
</cp:coreProperties>
</file>