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70" w:rsidRPr="00A81970" w:rsidRDefault="00A81970" w:rsidP="00A81970">
      <w:pPr>
        <w:rPr>
          <w:rFonts w:ascii="Arial" w:hAnsi="Arial" w:cs="Arial"/>
          <w:b/>
          <w:shd w:val="clear" w:color="auto" w:fill="FFFFFF"/>
        </w:rPr>
      </w:pPr>
      <w:bookmarkStart w:id="0" w:name="_GoBack"/>
      <w:bookmarkEnd w:id="0"/>
      <w:r>
        <w:rPr>
          <w:rFonts w:ascii="Arial" w:hAnsi="Arial" w:cs="Arial"/>
          <w:b/>
          <w:shd w:val="clear" w:color="auto" w:fill="FFFFFF"/>
        </w:rPr>
        <w:t xml:space="preserve">Im Jahr 2018 hatten die </w:t>
      </w:r>
      <w:r w:rsidRPr="00A81970">
        <w:rPr>
          <w:rFonts w:ascii="Arial" w:hAnsi="Arial" w:cs="Arial"/>
          <w:b/>
          <w:shd w:val="clear" w:color="auto" w:fill="FFFFFF"/>
        </w:rPr>
        <w:t xml:space="preserve">oberen 10 Prozent der Einkommensteuerpflichtigen </w:t>
      </w:r>
      <w:r>
        <w:rPr>
          <w:rFonts w:ascii="Arial" w:hAnsi="Arial" w:cs="Arial"/>
          <w:b/>
          <w:shd w:val="clear" w:color="auto" w:fill="FFFFFF"/>
        </w:rPr>
        <w:t xml:space="preserve">einen Anteil von </w:t>
      </w:r>
      <w:r w:rsidRPr="00A81970">
        <w:rPr>
          <w:rFonts w:ascii="Arial" w:hAnsi="Arial" w:cs="Arial"/>
          <w:b/>
          <w:shd w:val="clear" w:color="auto" w:fill="FFFFFF"/>
        </w:rPr>
        <w:t>36,6 Prozent am</w:t>
      </w:r>
      <w:r>
        <w:rPr>
          <w:rFonts w:ascii="Arial" w:hAnsi="Arial" w:cs="Arial"/>
          <w:b/>
          <w:shd w:val="clear" w:color="auto" w:fill="FFFFFF"/>
        </w:rPr>
        <w:t xml:space="preserve"> Gesamtbetrag der Einkünfte. Ihr Anteil am g</w:t>
      </w:r>
      <w:r w:rsidRPr="00A81970">
        <w:rPr>
          <w:rFonts w:ascii="Arial" w:hAnsi="Arial" w:cs="Arial"/>
          <w:b/>
          <w:shd w:val="clear" w:color="auto" w:fill="FFFFFF"/>
        </w:rPr>
        <w:t>esamten Einkommensteueraufkommen</w:t>
      </w:r>
      <w:r>
        <w:rPr>
          <w:rFonts w:ascii="Arial" w:hAnsi="Arial" w:cs="Arial"/>
          <w:b/>
          <w:shd w:val="clear" w:color="auto" w:fill="FFFFFF"/>
        </w:rPr>
        <w:t xml:space="preserve"> lag mit fast 55</w:t>
      </w:r>
      <w:r w:rsidRPr="00A81970">
        <w:rPr>
          <w:rFonts w:ascii="Arial" w:hAnsi="Arial" w:cs="Arial"/>
          <w:b/>
          <w:shd w:val="clear" w:color="auto" w:fill="FFFFFF"/>
        </w:rPr>
        <w:t xml:space="preserve"> Prozent </w:t>
      </w:r>
      <w:r>
        <w:rPr>
          <w:rFonts w:ascii="Arial" w:hAnsi="Arial" w:cs="Arial"/>
          <w:b/>
          <w:shd w:val="clear" w:color="auto" w:fill="FFFFFF"/>
        </w:rPr>
        <w:t>noch mal deutlich höher.</w:t>
      </w:r>
      <w:r w:rsidRPr="00A81970">
        <w:rPr>
          <w:rFonts w:ascii="Arial" w:hAnsi="Arial" w:cs="Arial"/>
          <w:b/>
          <w:shd w:val="clear" w:color="auto" w:fill="FFFFFF"/>
        </w:rPr>
        <w:t xml:space="preserve"> Bei den untersten 50 Prozent der Einkommensteuerpflichtigen</w:t>
      </w:r>
      <w:r>
        <w:rPr>
          <w:rFonts w:ascii="Arial" w:hAnsi="Arial" w:cs="Arial"/>
          <w:b/>
          <w:shd w:val="clear" w:color="auto" w:fill="FFFFFF"/>
        </w:rPr>
        <w:t xml:space="preserve"> lag der Anteil am Gesamtbetrag der Einkünfte</w:t>
      </w:r>
      <w:r w:rsidRPr="00A81970">
        <w:rPr>
          <w:rFonts w:ascii="Arial" w:hAnsi="Arial" w:cs="Arial"/>
          <w:b/>
          <w:shd w:val="clear" w:color="auto" w:fill="FFFFFF"/>
        </w:rPr>
        <w:t xml:space="preserve"> </w:t>
      </w:r>
      <w:r>
        <w:rPr>
          <w:rFonts w:ascii="Arial" w:hAnsi="Arial" w:cs="Arial"/>
          <w:b/>
          <w:shd w:val="clear" w:color="auto" w:fill="FFFFFF"/>
        </w:rPr>
        <w:t xml:space="preserve">bei </w:t>
      </w:r>
      <w:r w:rsidRPr="00A81970">
        <w:rPr>
          <w:rFonts w:ascii="Arial" w:hAnsi="Arial" w:cs="Arial"/>
          <w:b/>
          <w:shd w:val="clear" w:color="auto" w:fill="FFFFFF"/>
        </w:rPr>
        <w:t>17,2 Prozent</w:t>
      </w:r>
      <w:r w:rsidR="007827E8">
        <w:rPr>
          <w:rFonts w:ascii="Arial" w:hAnsi="Arial" w:cs="Arial"/>
          <w:b/>
          <w:shd w:val="clear" w:color="auto" w:fill="FFFFFF"/>
        </w:rPr>
        <w:t>. I</w:t>
      </w:r>
      <w:r>
        <w:rPr>
          <w:rFonts w:ascii="Arial" w:hAnsi="Arial" w:cs="Arial"/>
          <w:b/>
          <w:shd w:val="clear" w:color="auto" w:fill="FFFFFF"/>
        </w:rPr>
        <w:t xml:space="preserve">hr Anteil am </w:t>
      </w:r>
      <w:r w:rsidRPr="00A81970">
        <w:rPr>
          <w:rFonts w:ascii="Arial" w:hAnsi="Arial" w:cs="Arial"/>
          <w:b/>
          <w:shd w:val="clear" w:color="auto" w:fill="FFFFFF"/>
        </w:rPr>
        <w:t>Einkommensteueraufkommen</w:t>
      </w:r>
      <w:r>
        <w:rPr>
          <w:rFonts w:ascii="Arial" w:hAnsi="Arial" w:cs="Arial"/>
          <w:b/>
          <w:shd w:val="clear" w:color="auto" w:fill="FFFFFF"/>
        </w:rPr>
        <w:t xml:space="preserve"> betrug </w:t>
      </w:r>
      <w:r w:rsidRPr="00A81970">
        <w:rPr>
          <w:rFonts w:ascii="Arial" w:hAnsi="Arial" w:cs="Arial"/>
          <w:b/>
          <w:shd w:val="clear" w:color="auto" w:fill="FFFFFF"/>
        </w:rPr>
        <w:t>lediglich 6,4 Prozent. Durch die sogenannte Steuerprogression werden hohe Einkommen also relativ stärker besteuert als niedrige Einkommen.</w:t>
      </w:r>
    </w:p>
    <w:p w:rsidR="00A81970" w:rsidRPr="00A81970" w:rsidRDefault="00A81970" w:rsidP="00A81970">
      <w:pPr>
        <w:rPr>
          <w:rFonts w:ascii="Arial" w:hAnsi="Arial" w:cs="Arial"/>
          <w:b/>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C27587" w:rsidRDefault="00CA5D69" w:rsidP="00CA5D69">
      <w:pPr>
        <w:rPr>
          <w:rFonts w:ascii="Arial" w:hAnsi="Arial" w:cs="Arial"/>
          <w:i/>
          <w:shd w:val="clear" w:color="auto" w:fill="FFFFFF"/>
        </w:rPr>
      </w:pPr>
    </w:p>
    <w:p w:rsidR="00B108C7" w:rsidRDefault="00B108C7" w:rsidP="00B108C7">
      <w:pPr>
        <w:rPr>
          <w:rFonts w:ascii="Arial" w:hAnsi="Arial" w:cs="Arial"/>
          <w:shd w:val="clear" w:color="auto" w:fill="FFFFFF"/>
        </w:rPr>
      </w:pPr>
      <w:r w:rsidRPr="007D37CA">
        <w:rPr>
          <w:rFonts w:ascii="Arial" w:hAnsi="Arial" w:cs="Arial"/>
          <w:shd w:val="clear" w:color="auto" w:fill="FFFFFF"/>
        </w:rPr>
        <w:t>D</w:t>
      </w:r>
      <w:r w:rsidR="00C27587" w:rsidRPr="007D37CA">
        <w:rPr>
          <w:rFonts w:ascii="Arial" w:hAnsi="Arial" w:cs="Arial"/>
          <w:shd w:val="clear" w:color="auto" w:fill="FFFFFF"/>
        </w:rPr>
        <w:t>ie – gemessen an der Höhe der Einkünfte – oberen 10 Prozent der Einkommensteuerpflichtigen zahlten im Jahr 201</w:t>
      </w:r>
      <w:r w:rsidRPr="007D37CA">
        <w:rPr>
          <w:rFonts w:ascii="Arial" w:hAnsi="Arial" w:cs="Arial"/>
          <w:shd w:val="clear" w:color="auto" w:fill="FFFFFF"/>
        </w:rPr>
        <w:t>8</w:t>
      </w:r>
      <w:r w:rsidR="00C27587" w:rsidRPr="007D37CA">
        <w:rPr>
          <w:rFonts w:ascii="Arial" w:hAnsi="Arial" w:cs="Arial"/>
          <w:shd w:val="clear" w:color="auto" w:fill="FFFFFF"/>
        </w:rPr>
        <w:t xml:space="preserve"> 54,</w:t>
      </w:r>
      <w:r w:rsidRPr="007D37CA">
        <w:rPr>
          <w:rFonts w:ascii="Arial" w:hAnsi="Arial" w:cs="Arial"/>
          <w:shd w:val="clear" w:color="auto" w:fill="FFFFFF"/>
        </w:rPr>
        <w:t>8</w:t>
      </w:r>
      <w:r w:rsidR="00C27587" w:rsidRPr="007D37CA">
        <w:rPr>
          <w:rFonts w:ascii="Arial" w:hAnsi="Arial" w:cs="Arial"/>
          <w:shd w:val="clear" w:color="auto" w:fill="FFFFFF"/>
        </w:rPr>
        <w:t xml:space="preserve"> Prozent des gesamten Einkommensteueraufkommens. Bei den untersten 50 Prozent der Einkommensteuerpflichtigen (1. bis einschließlich 5. Dezil) lag der entsprechende Anteil bei lediglich </w:t>
      </w:r>
      <w:r w:rsidRPr="007D37CA">
        <w:rPr>
          <w:rFonts w:ascii="Arial" w:hAnsi="Arial" w:cs="Arial"/>
          <w:shd w:val="clear" w:color="auto" w:fill="FFFFFF"/>
        </w:rPr>
        <w:t>6</w:t>
      </w:r>
      <w:r w:rsidR="00C27587" w:rsidRPr="007D37CA">
        <w:rPr>
          <w:rFonts w:ascii="Arial" w:hAnsi="Arial" w:cs="Arial"/>
          <w:shd w:val="clear" w:color="auto" w:fill="FFFFFF"/>
        </w:rPr>
        <w:t>,4 Prozent. Dabei belief sich der Anteil der oberen 10 Prozent der Einkommensteuerpflichtigen am Gesamtbetrag der Einkünfte auf 36,</w:t>
      </w:r>
      <w:r w:rsidR="007D37CA">
        <w:rPr>
          <w:rFonts w:ascii="Arial" w:hAnsi="Arial" w:cs="Arial"/>
          <w:shd w:val="clear" w:color="auto" w:fill="FFFFFF"/>
        </w:rPr>
        <w:t>6</w:t>
      </w:r>
      <w:r w:rsidR="00C27587" w:rsidRPr="007D37CA">
        <w:rPr>
          <w:rFonts w:ascii="Arial" w:hAnsi="Arial" w:cs="Arial"/>
          <w:shd w:val="clear" w:color="auto" w:fill="FFFFFF"/>
        </w:rPr>
        <w:t xml:space="preserve"> Prozent und der Anteil der untersten 50 Prozent auf 1</w:t>
      </w:r>
      <w:r w:rsidR="007D37CA" w:rsidRPr="007D37CA">
        <w:rPr>
          <w:rFonts w:ascii="Arial" w:hAnsi="Arial" w:cs="Arial"/>
          <w:shd w:val="clear" w:color="auto" w:fill="FFFFFF"/>
        </w:rPr>
        <w:t>7</w:t>
      </w:r>
      <w:r w:rsidR="00C27587" w:rsidRPr="007D37CA">
        <w:rPr>
          <w:rFonts w:ascii="Arial" w:hAnsi="Arial" w:cs="Arial"/>
          <w:shd w:val="clear" w:color="auto" w:fill="FFFFFF"/>
        </w:rPr>
        <w:t>,2 Prozent. Beim obersten Prozent lag der Anteil am Gesamtbetrag der Einkünfte bei 1</w:t>
      </w:r>
      <w:r w:rsidR="007D37CA" w:rsidRPr="007D37CA">
        <w:rPr>
          <w:rFonts w:ascii="Arial" w:hAnsi="Arial" w:cs="Arial"/>
          <w:shd w:val="clear" w:color="auto" w:fill="FFFFFF"/>
        </w:rPr>
        <w:t>1</w:t>
      </w:r>
      <w:r w:rsidR="00C27587" w:rsidRPr="007D37CA">
        <w:rPr>
          <w:rFonts w:ascii="Arial" w:hAnsi="Arial" w:cs="Arial"/>
          <w:shd w:val="clear" w:color="auto" w:fill="FFFFFF"/>
        </w:rPr>
        <w:t>,</w:t>
      </w:r>
      <w:r w:rsidR="007D37CA" w:rsidRPr="007D37CA">
        <w:rPr>
          <w:rFonts w:ascii="Arial" w:hAnsi="Arial" w:cs="Arial"/>
          <w:shd w:val="clear" w:color="auto" w:fill="FFFFFF"/>
        </w:rPr>
        <w:t>7</w:t>
      </w:r>
      <w:r w:rsidR="00C27587" w:rsidRPr="007D37CA">
        <w:rPr>
          <w:rFonts w:ascii="Arial" w:hAnsi="Arial" w:cs="Arial"/>
          <w:shd w:val="clear" w:color="auto" w:fill="FFFFFF"/>
        </w:rPr>
        <w:t xml:space="preserve"> Prozent, der Anteil am Einkommensteueraufkommen betrug 22,0 Prozent</w:t>
      </w:r>
      <w:r w:rsidR="007D37CA" w:rsidRPr="007D37CA">
        <w:rPr>
          <w:rFonts w:ascii="Arial" w:hAnsi="Arial" w:cs="Arial"/>
          <w:shd w:val="clear" w:color="auto" w:fill="FFFFFF"/>
        </w:rPr>
        <w:t xml:space="preserve">. Die </w:t>
      </w:r>
      <w:r w:rsidR="00C27587" w:rsidRPr="007D37CA">
        <w:rPr>
          <w:rFonts w:ascii="Arial" w:hAnsi="Arial" w:cs="Arial"/>
          <w:shd w:val="clear" w:color="auto" w:fill="FFFFFF"/>
        </w:rPr>
        <w:t xml:space="preserve">untersten 20 Prozent </w:t>
      </w:r>
      <w:r w:rsidR="007D37CA" w:rsidRPr="007D37CA">
        <w:rPr>
          <w:rFonts w:ascii="Arial" w:hAnsi="Arial" w:cs="Arial"/>
          <w:shd w:val="clear" w:color="auto" w:fill="FFFFFF"/>
        </w:rPr>
        <w:t xml:space="preserve">bezogen lediglich 2,4 </w:t>
      </w:r>
      <w:r w:rsidR="00C27587" w:rsidRPr="007D37CA">
        <w:rPr>
          <w:rFonts w:ascii="Arial" w:hAnsi="Arial" w:cs="Arial"/>
          <w:shd w:val="clear" w:color="auto" w:fill="FFFFFF"/>
        </w:rPr>
        <w:t>Prozent</w:t>
      </w:r>
      <w:r w:rsidR="007D37CA" w:rsidRPr="007D37CA">
        <w:rPr>
          <w:rFonts w:ascii="Arial" w:hAnsi="Arial" w:cs="Arial"/>
          <w:shd w:val="clear" w:color="auto" w:fill="FFFFFF"/>
        </w:rPr>
        <w:t xml:space="preserve"> der Einkünfte, ihr Anteil am Einkommensteueraufkommen lag bei nur 0,2 Prozent</w:t>
      </w:r>
      <w:r w:rsidR="00C27587" w:rsidRPr="007D37CA">
        <w:rPr>
          <w:rFonts w:ascii="Arial" w:hAnsi="Arial" w:cs="Arial"/>
          <w:shd w:val="clear" w:color="auto" w:fill="FFFFFF"/>
        </w:rPr>
        <w:t>. Durch die sogenannte Steuerprogression werden hohe Einkommen also relativ stärker besteuert als niedrige Einkommen.</w:t>
      </w:r>
    </w:p>
    <w:p w:rsidR="008209D8" w:rsidRDefault="008209D8" w:rsidP="00B108C7">
      <w:pPr>
        <w:rPr>
          <w:rFonts w:ascii="Arial" w:hAnsi="Arial" w:cs="Arial"/>
          <w:shd w:val="clear" w:color="auto" w:fill="FFFFFF"/>
        </w:rPr>
      </w:pPr>
    </w:p>
    <w:p w:rsidR="008209D8" w:rsidRDefault="00C27587" w:rsidP="00CA5D69">
      <w:pPr>
        <w:rPr>
          <w:rFonts w:ascii="Arial" w:hAnsi="Arial" w:cs="Arial"/>
          <w:shd w:val="clear" w:color="auto" w:fill="FFFFFF"/>
        </w:rPr>
      </w:pPr>
      <w:r w:rsidRPr="0083061B">
        <w:rPr>
          <w:rFonts w:ascii="Arial" w:hAnsi="Arial" w:cs="Arial"/>
          <w:shd w:val="clear" w:color="auto" w:fill="FFFFFF"/>
        </w:rPr>
        <w:t>Um im Jahr 201</w:t>
      </w:r>
      <w:r w:rsidR="00705888" w:rsidRPr="0083061B">
        <w:rPr>
          <w:rFonts w:ascii="Arial" w:hAnsi="Arial" w:cs="Arial"/>
          <w:shd w:val="clear" w:color="auto" w:fill="FFFFFF"/>
        </w:rPr>
        <w:t>8</w:t>
      </w:r>
      <w:r w:rsidRPr="0083061B">
        <w:rPr>
          <w:rFonts w:ascii="Arial" w:hAnsi="Arial" w:cs="Arial"/>
          <w:shd w:val="clear" w:color="auto" w:fill="FFFFFF"/>
        </w:rPr>
        <w:t xml:space="preserve"> zu den – wiederum gemessen an der Höhe der Einkünfte – oberen 10 Prozent der Einkommensteuerpflichtigen zu gehören, mussten die jährlichen Einkünfte bei </w:t>
      </w:r>
      <w:r w:rsidR="0083061B" w:rsidRPr="0083061B">
        <w:rPr>
          <w:rFonts w:ascii="Arial" w:hAnsi="Arial" w:cs="Arial"/>
          <w:shd w:val="clear" w:color="auto" w:fill="FFFFFF"/>
        </w:rPr>
        <w:t>86</w:t>
      </w:r>
      <w:r w:rsidRPr="0083061B">
        <w:rPr>
          <w:rFonts w:ascii="Arial" w:hAnsi="Arial" w:cs="Arial"/>
          <w:shd w:val="clear" w:color="auto" w:fill="FFFFFF"/>
        </w:rPr>
        <w:t>.</w:t>
      </w:r>
      <w:r w:rsidR="0083061B" w:rsidRPr="0083061B">
        <w:rPr>
          <w:rFonts w:ascii="Arial" w:hAnsi="Arial" w:cs="Arial"/>
          <w:shd w:val="clear" w:color="auto" w:fill="FFFFFF"/>
        </w:rPr>
        <w:t>445</w:t>
      </w:r>
      <w:r w:rsidRPr="0083061B">
        <w:rPr>
          <w:rFonts w:ascii="Arial" w:hAnsi="Arial" w:cs="Arial"/>
          <w:shd w:val="clear" w:color="auto" w:fill="FFFFFF"/>
        </w:rPr>
        <w:t xml:space="preserve"> Euro oder mehr liegen. Bei den oberen 5 Prozent steigt die Grenze auf </w:t>
      </w:r>
      <w:r w:rsidR="0083061B" w:rsidRPr="0083061B">
        <w:rPr>
          <w:rFonts w:ascii="Arial" w:hAnsi="Arial" w:cs="Arial"/>
          <w:shd w:val="clear" w:color="auto" w:fill="FFFFFF"/>
        </w:rPr>
        <w:t>115</w:t>
      </w:r>
      <w:r w:rsidRPr="0083061B">
        <w:rPr>
          <w:rFonts w:ascii="Arial" w:hAnsi="Arial" w:cs="Arial"/>
          <w:shd w:val="clear" w:color="auto" w:fill="FFFFFF"/>
        </w:rPr>
        <w:t>.</w:t>
      </w:r>
      <w:r w:rsidR="0083061B" w:rsidRPr="0083061B">
        <w:rPr>
          <w:rFonts w:ascii="Arial" w:hAnsi="Arial" w:cs="Arial"/>
          <w:shd w:val="clear" w:color="auto" w:fill="FFFFFF"/>
        </w:rPr>
        <w:t>729</w:t>
      </w:r>
      <w:r w:rsidRPr="0083061B">
        <w:rPr>
          <w:rFonts w:ascii="Arial" w:hAnsi="Arial" w:cs="Arial"/>
          <w:shd w:val="clear" w:color="auto" w:fill="FFFFFF"/>
        </w:rPr>
        <w:t xml:space="preserve"> Euro</w:t>
      </w:r>
      <w:r w:rsidR="0083061B" w:rsidRPr="0083061B">
        <w:rPr>
          <w:rFonts w:ascii="Arial" w:hAnsi="Arial" w:cs="Arial"/>
          <w:shd w:val="clear" w:color="auto" w:fill="FFFFFF"/>
        </w:rPr>
        <w:t xml:space="preserve">, </w:t>
      </w:r>
      <w:r w:rsidRPr="0083061B">
        <w:rPr>
          <w:rFonts w:ascii="Arial" w:hAnsi="Arial" w:cs="Arial"/>
          <w:shd w:val="clear" w:color="auto" w:fill="FFFFFF"/>
        </w:rPr>
        <w:t xml:space="preserve">beim obersten Prozent </w:t>
      </w:r>
      <w:r w:rsidR="0083061B" w:rsidRPr="0083061B">
        <w:rPr>
          <w:rFonts w:ascii="Arial" w:hAnsi="Arial" w:cs="Arial"/>
          <w:shd w:val="clear" w:color="auto" w:fill="FFFFFF"/>
        </w:rPr>
        <w:t>auf 233</w:t>
      </w:r>
      <w:r w:rsidRPr="0083061B">
        <w:rPr>
          <w:rFonts w:ascii="Arial" w:hAnsi="Arial" w:cs="Arial"/>
          <w:shd w:val="clear" w:color="auto" w:fill="FFFFFF"/>
        </w:rPr>
        <w:t>.7</w:t>
      </w:r>
      <w:r w:rsidR="0083061B" w:rsidRPr="0083061B">
        <w:rPr>
          <w:rFonts w:ascii="Arial" w:hAnsi="Arial" w:cs="Arial"/>
          <w:shd w:val="clear" w:color="auto" w:fill="FFFFFF"/>
        </w:rPr>
        <w:t>30</w:t>
      </w:r>
      <w:r w:rsidRPr="0083061B">
        <w:rPr>
          <w:rFonts w:ascii="Arial" w:hAnsi="Arial" w:cs="Arial"/>
          <w:shd w:val="clear" w:color="auto" w:fill="FFFFFF"/>
        </w:rPr>
        <w:t xml:space="preserve"> Euro</w:t>
      </w:r>
      <w:r w:rsidR="0083061B" w:rsidRPr="0083061B">
        <w:rPr>
          <w:rFonts w:ascii="Arial" w:hAnsi="Arial" w:cs="Arial"/>
          <w:shd w:val="clear" w:color="auto" w:fill="FFFFFF"/>
        </w:rPr>
        <w:t xml:space="preserve"> </w:t>
      </w:r>
      <w:r w:rsidRPr="0083061B">
        <w:rPr>
          <w:rFonts w:ascii="Arial" w:hAnsi="Arial" w:cs="Arial"/>
          <w:shd w:val="clear" w:color="auto" w:fill="FFFFFF"/>
        </w:rPr>
        <w:t xml:space="preserve">(wobei zusammen </w:t>
      </w:r>
      <w:r w:rsidR="006A7B81" w:rsidRPr="00B108C7">
        <w:rPr>
          <w:rFonts w:ascii="Arial" w:hAnsi="Arial" w:cs="Arial"/>
          <w:shd w:val="clear" w:color="auto" w:fill="FFFFFF"/>
        </w:rPr>
        <w:t>veranlagte Ehepaare</w:t>
      </w:r>
      <w:r w:rsidR="006A7B81">
        <w:rPr>
          <w:rFonts w:ascii="Arial" w:hAnsi="Arial" w:cs="Arial"/>
          <w:shd w:val="clear" w:color="auto" w:fill="FFFFFF"/>
        </w:rPr>
        <w:t>/</w:t>
      </w:r>
      <w:r w:rsidR="006A7B81" w:rsidRPr="00B108C7">
        <w:rPr>
          <w:rFonts w:ascii="Arial" w:hAnsi="Arial" w:cs="Arial"/>
          <w:shd w:val="clear" w:color="auto" w:fill="FFFFFF"/>
        </w:rPr>
        <w:t>eingetragene Lebenspartner als ein Steuerpflichtiger betrachtet</w:t>
      </w:r>
      <w:r w:rsidR="006A7B81">
        <w:rPr>
          <w:rFonts w:ascii="Arial" w:hAnsi="Arial" w:cs="Arial"/>
          <w:shd w:val="clear" w:color="auto" w:fill="FFFFFF"/>
        </w:rPr>
        <w:t xml:space="preserve"> </w:t>
      </w:r>
      <w:r w:rsidRPr="0083061B">
        <w:rPr>
          <w:rFonts w:ascii="Arial" w:hAnsi="Arial" w:cs="Arial"/>
          <w:shd w:val="clear" w:color="auto" w:fill="FFFFFF"/>
        </w:rPr>
        <w:t>werden).</w:t>
      </w:r>
    </w:p>
    <w:p w:rsidR="008209D8" w:rsidRDefault="008209D8" w:rsidP="00CA5D69">
      <w:pPr>
        <w:rPr>
          <w:rFonts w:ascii="Arial" w:hAnsi="Arial" w:cs="Arial"/>
          <w:shd w:val="clear" w:color="auto" w:fill="FFFFFF"/>
        </w:rPr>
      </w:pPr>
    </w:p>
    <w:p w:rsidR="008209D8" w:rsidRDefault="00C27587" w:rsidP="00245672">
      <w:pPr>
        <w:rPr>
          <w:rFonts w:ascii="Arial" w:hAnsi="Arial" w:cs="Arial"/>
          <w:shd w:val="clear" w:color="auto" w:fill="FFFFFF"/>
        </w:rPr>
      </w:pPr>
      <w:r w:rsidRPr="002443A0">
        <w:rPr>
          <w:rFonts w:ascii="Arial" w:hAnsi="Arial" w:cs="Arial"/>
          <w:shd w:val="clear" w:color="auto" w:fill="FFFFFF"/>
        </w:rPr>
        <w:t>Nach Angaben des Bundesfinanzministeriums gab es im Jahr 20</w:t>
      </w:r>
      <w:r w:rsidR="002443A0" w:rsidRPr="002443A0">
        <w:rPr>
          <w:rFonts w:ascii="Arial" w:hAnsi="Arial" w:cs="Arial"/>
          <w:shd w:val="clear" w:color="auto" w:fill="FFFFFF"/>
        </w:rPr>
        <w:t>14</w:t>
      </w:r>
      <w:r w:rsidRPr="002443A0">
        <w:rPr>
          <w:rFonts w:ascii="Arial" w:hAnsi="Arial" w:cs="Arial"/>
          <w:shd w:val="clear" w:color="auto" w:fill="FFFFFF"/>
        </w:rPr>
        <w:t xml:space="preserve"> </w:t>
      </w:r>
      <w:r w:rsidR="002443A0" w:rsidRPr="002443A0">
        <w:rPr>
          <w:rFonts w:ascii="Arial" w:hAnsi="Arial" w:cs="Arial"/>
          <w:shd w:val="clear" w:color="auto" w:fill="FFFFFF"/>
        </w:rPr>
        <w:t>gut 2,3</w:t>
      </w:r>
      <w:r w:rsidRPr="002443A0">
        <w:rPr>
          <w:rFonts w:ascii="Arial" w:hAnsi="Arial" w:cs="Arial"/>
          <w:shd w:val="clear" w:color="auto" w:fill="FFFFFF"/>
        </w:rPr>
        <w:t xml:space="preserve"> Millionen Einkommensteuerpflichtige (</w:t>
      </w:r>
      <w:r w:rsidR="002443A0" w:rsidRPr="002443A0">
        <w:rPr>
          <w:rFonts w:ascii="Arial" w:hAnsi="Arial" w:cs="Arial"/>
          <w:shd w:val="clear" w:color="auto" w:fill="FFFFFF"/>
        </w:rPr>
        <w:t>2</w:t>
      </w:r>
      <w:r w:rsidRPr="002443A0">
        <w:rPr>
          <w:rFonts w:ascii="Arial" w:hAnsi="Arial" w:cs="Arial"/>
          <w:shd w:val="clear" w:color="auto" w:fill="FFFFFF"/>
        </w:rPr>
        <w:t>.</w:t>
      </w:r>
      <w:r w:rsidR="002443A0" w:rsidRPr="002443A0">
        <w:rPr>
          <w:rFonts w:ascii="Arial" w:hAnsi="Arial" w:cs="Arial"/>
          <w:shd w:val="clear" w:color="auto" w:fill="FFFFFF"/>
        </w:rPr>
        <w:t>336</w:t>
      </w:r>
      <w:r w:rsidRPr="002443A0">
        <w:rPr>
          <w:rFonts w:ascii="Arial" w:hAnsi="Arial" w:cs="Arial"/>
          <w:shd w:val="clear" w:color="auto" w:fill="FFFFFF"/>
        </w:rPr>
        <w:t>.</w:t>
      </w:r>
      <w:r w:rsidR="002443A0" w:rsidRPr="002443A0">
        <w:rPr>
          <w:rFonts w:ascii="Arial" w:hAnsi="Arial" w:cs="Arial"/>
          <w:shd w:val="clear" w:color="auto" w:fill="FFFFFF"/>
        </w:rPr>
        <w:t>168</w:t>
      </w:r>
      <w:r w:rsidRPr="002443A0">
        <w:rPr>
          <w:rFonts w:ascii="Arial" w:hAnsi="Arial" w:cs="Arial"/>
          <w:shd w:val="clear" w:color="auto" w:fill="FFFFFF"/>
        </w:rPr>
        <w:t xml:space="preserve"> Personen), die mit dem Einkommensteuer-Höchstsatz besteuert wurden. Das waren </w:t>
      </w:r>
      <w:r w:rsidR="002443A0" w:rsidRPr="002443A0">
        <w:rPr>
          <w:rFonts w:ascii="Arial" w:hAnsi="Arial" w:cs="Arial"/>
          <w:shd w:val="clear" w:color="auto" w:fill="FFFFFF"/>
        </w:rPr>
        <w:t>6,2</w:t>
      </w:r>
      <w:r w:rsidRPr="002443A0">
        <w:rPr>
          <w:rFonts w:ascii="Arial" w:hAnsi="Arial" w:cs="Arial"/>
          <w:shd w:val="clear" w:color="auto" w:fill="FFFFFF"/>
        </w:rPr>
        <w:t xml:space="preserve"> Prozent aller unbeschränkt Einkommensteuerpflichtigen. Diese oberen </w:t>
      </w:r>
      <w:r w:rsidR="002443A0" w:rsidRPr="002443A0">
        <w:rPr>
          <w:rFonts w:ascii="Arial" w:hAnsi="Arial" w:cs="Arial"/>
          <w:shd w:val="clear" w:color="auto" w:fill="FFFFFF"/>
        </w:rPr>
        <w:t>6</w:t>
      </w:r>
      <w:r w:rsidRPr="002443A0">
        <w:rPr>
          <w:rFonts w:ascii="Arial" w:hAnsi="Arial" w:cs="Arial"/>
          <w:shd w:val="clear" w:color="auto" w:fill="FFFFFF"/>
        </w:rPr>
        <w:t>,</w:t>
      </w:r>
      <w:r w:rsidR="002443A0" w:rsidRPr="002443A0">
        <w:rPr>
          <w:rFonts w:ascii="Arial" w:hAnsi="Arial" w:cs="Arial"/>
          <w:shd w:val="clear" w:color="auto" w:fill="FFFFFF"/>
        </w:rPr>
        <w:t>2</w:t>
      </w:r>
      <w:r w:rsidRPr="002443A0">
        <w:rPr>
          <w:rFonts w:ascii="Arial" w:hAnsi="Arial" w:cs="Arial"/>
          <w:shd w:val="clear" w:color="auto" w:fill="FFFFFF"/>
        </w:rPr>
        <w:t xml:space="preserve"> Prozent bezogen 2</w:t>
      </w:r>
      <w:r w:rsidR="002443A0" w:rsidRPr="002443A0">
        <w:rPr>
          <w:rFonts w:ascii="Arial" w:hAnsi="Arial" w:cs="Arial"/>
          <w:shd w:val="clear" w:color="auto" w:fill="FFFFFF"/>
        </w:rPr>
        <w:t>8</w:t>
      </w:r>
      <w:r w:rsidRPr="002443A0">
        <w:rPr>
          <w:rFonts w:ascii="Arial" w:hAnsi="Arial" w:cs="Arial"/>
          <w:shd w:val="clear" w:color="auto" w:fill="FFFFFF"/>
        </w:rPr>
        <w:t>,</w:t>
      </w:r>
      <w:r w:rsidR="002443A0" w:rsidRPr="002443A0">
        <w:rPr>
          <w:rFonts w:ascii="Arial" w:hAnsi="Arial" w:cs="Arial"/>
          <w:shd w:val="clear" w:color="auto" w:fill="FFFFFF"/>
        </w:rPr>
        <w:t>0</w:t>
      </w:r>
      <w:r w:rsidRPr="002443A0">
        <w:rPr>
          <w:rFonts w:ascii="Arial" w:hAnsi="Arial" w:cs="Arial"/>
          <w:shd w:val="clear" w:color="auto" w:fill="FFFFFF"/>
        </w:rPr>
        <w:t xml:space="preserve"> Prozent des gesamten zu versteuernden Einkommens und trugen zu 4</w:t>
      </w:r>
      <w:r w:rsidR="002443A0" w:rsidRPr="002443A0">
        <w:rPr>
          <w:rFonts w:ascii="Arial" w:hAnsi="Arial" w:cs="Arial"/>
          <w:shd w:val="clear" w:color="auto" w:fill="FFFFFF"/>
        </w:rPr>
        <w:t>4</w:t>
      </w:r>
      <w:r w:rsidRPr="002443A0">
        <w:rPr>
          <w:rFonts w:ascii="Arial" w:hAnsi="Arial" w:cs="Arial"/>
          <w:shd w:val="clear" w:color="auto" w:fill="FFFFFF"/>
        </w:rPr>
        <w:t>,</w:t>
      </w:r>
      <w:r w:rsidR="002443A0" w:rsidRPr="002443A0">
        <w:rPr>
          <w:rFonts w:ascii="Arial" w:hAnsi="Arial" w:cs="Arial"/>
          <w:shd w:val="clear" w:color="auto" w:fill="FFFFFF"/>
        </w:rPr>
        <w:t>4</w:t>
      </w:r>
      <w:r w:rsidRPr="002443A0">
        <w:rPr>
          <w:rFonts w:ascii="Arial" w:hAnsi="Arial" w:cs="Arial"/>
          <w:shd w:val="clear" w:color="auto" w:fill="FFFFFF"/>
        </w:rPr>
        <w:t xml:space="preserve"> Prozent zum Einkommensteueraufkommen des Jahres 20</w:t>
      </w:r>
      <w:r w:rsidR="002443A0" w:rsidRPr="002443A0">
        <w:rPr>
          <w:rFonts w:ascii="Arial" w:hAnsi="Arial" w:cs="Arial"/>
          <w:shd w:val="clear" w:color="auto" w:fill="FFFFFF"/>
        </w:rPr>
        <w:t>14</w:t>
      </w:r>
      <w:r w:rsidR="008209D8">
        <w:rPr>
          <w:rFonts w:ascii="Arial" w:hAnsi="Arial" w:cs="Arial"/>
          <w:shd w:val="clear" w:color="auto" w:fill="FFFFFF"/>
        </w:rPr>
        <w:t xml:space="preserve"> bei. </w:t>
      </w:r>
      <w:r w:rsidR="00A87E14">
        <w:rPr>
          <w:rFonts w:ascii="Arial" w:hAnsi="Arial" w:cs="Arial"/>
          <w:shd w:val="clear" w:color="auto" w:fill="FFFFFF"/>
        </w:rPr>
        <w:t xml:space="preserve">Unter den </w:t>
      </w:r>
      <w:r w:rsidR="00A87E14" w:rsidRPr="002443A0">
        <w:rPr>
          <w:rFonts w:ascii="Arial" w:hAnsi="Arial" w:cs="Arial"/>
          <w:shd w:val="clear" w:color="auto" w:fill="FFFFFF"/>
        </w:rPr>
        <w:t>2,3 Millionen Einkommensteuerpflichtige</w:t>
      </w:r>
      <w:r w:rsidR="00A87E14">
        <w:rPr>
          <w:rFonts w:ascii="Arial" w:hAnsi="Arial" w:cs="Arial"/>
          <w:shd w:val="clear" w:color="auto" w:fill="FFFFFF"/>
        </w:rPr>
        <w:t>n</w:t>
      </w:r>
      <w:r w:rsidR="00A87E14" w:rsidRPr="002443A0">
        <w:rPr>
          <w:rFonts w:ascii="Arial" w:hAnsi="Arial" w:cs="Arial"/>
          <w:shd w:val="clear" w:color="auto" w:fill="FFFFFF"/>
        </w:rPr>
        <w:t>, die mit dem Einkommensteuer-Höchstsatz besteuert wurden</w:t>
      </w:r>
      <w:r w:rsidR="00A87E14">
        <w:rPr>
          <w:rFonts w:ascii="Arial" w:hAnsi="Arial" w:cs="Arial"/>
          <w:shd w:val="clear" w:color="auto" w:fill="FFFFFF"/>
        </w:rPr>
        <w:t xml:space="preserve">, mussten rund 87.000 </w:t>
      </w:r>
      <w:r w:rsidR="00A87E14" w:rsidRPr="002443A0">
        <w:rPr>
          <w:rFonts w:ascii="Arial" w:hAnsi="Arial" w:cs="Arial"/>
          <w:shd w:val="clear" w:color="auto" w:fill="FFFFFF"/>
        </w:rPr>
        <w:t>Einkommensteuerpflichtige</w:t>
      </w:r>
      <w:r w:rsidR="00A87E14">
        <w:rPr>
          <w:rFonts w:ascii="Arial" w:hAnsi="Arial" w:cs="Arial"/>
          <w:shd w:val="clear" w:color="auto" w:fill="FFFFFF"/>
        </w:rPr>
        <w:t xml:space="preserve"> die sogenannte Reichensteuer zahlen, da ihr </w:t>
      </w:r>
      <w:r w:rsidR="00A87E14" w:rsidRPr="00A87E14">
        <w:rPr>
          <w:rFonts w:ascii="Arial" w:hAnsi="Arial" w:cs="Arial"/>
          <w:shd w:val="clear" w:color="auto" w:fill="FFFFFF"/>
        </w:rPr>
        <w:t>zu versteuerndes Einkommen im Jahr 2014 bei mehr als 250.731 Euro lag</w:t>
      </w:r>
      <w:r w:rsidR="008209D8">
        <w:rPr>
          <w:rFonts w:ascii="Arial" w:hAnsi="Arial" w:cs="Arial"/>
          <w:shd w:val="clear" w:color="auto" w:fill="FFFFFF"/>
        </w:rPr>
        <w:t>.</w:t>
      </w:r>
    </w:p>
    <w:p w:rsidR="008209D8" w:rsidRDefault="008209D8" w:rsidP="00245672">
      <w:pPr>
        <w:rPr>
          <w:rFonts w:ascii="Arial" w:hAnsi="Arial" w:cs="Arial"/>
          <w:shd w:val="clear" w:color="auto" w:fill="FFFFFF"/>
        </w:rPr>
      </w:pPr>
    </w:p>
    <w:p w:rsidR="008209D8" w:rsidRDefault="00C27587" w:rsidP="00CA5D69">
      <w:pPr>
        <w:rPr>
          <w:rFonts w:ascii="Arial" w:hAnsi="Arial" w:cs="Arial"/>
          <w:shd w:val="clear" w:color="auto" w:fill="FFFFFF"/>
        </w:rPr>
      </w:pPr>
      <w:r w:rsidRPr="00245672">
        <w:rPr>
          <w:rFonts w:ascii="Arial" w:hAnsi="Arial" w:cs="Arial"/>
          <w:shd w:val="clear" w:color="auto" w:fill="FFFFFF"/>
        </w:rPr>
        <w:t xml:space="preserve">Im </w:t>
      </w:r>
      <w:r w:rsidR="00245672">
        <w:rPr>
          <w:rFonts w:ascii="Arial" w:hAnsi="Arial" w:cs="Arial"/>
          <w:shd w:val="clear" w:color="auto" w:fill="FFFFFF"/>
        </w:rPr>
        <w:t>2014</w:t>
      </w:r>
      <w:r w:rsidR="00245672" w:rsidRPr="00245672">
        <w:rPr>
          <w:rFonts w:ascii="Arial" w:hAnsi="Arial" w:cs="Arial"/>
          <w:shd w:val="clear" w:color="auto" w:fill="FFFFFF"/>
        </w:rPr>
        <w:t xml:space="preserve"> </w:t>
      </w:r>
      <w:r w:rsidRPr="00245672">
        <w:rPr>
          <w:rFonts w:ascii="Arial" w:hAnsi="Arial" w:cs="Arial"/>
          <w:shd w:val="clear" w:color="auto" w:fill="FFFFFF"/>
        </w:rPr>
        <w:t>Jahr gab es 1</w:t>
      </w:r>
      <w:r w:rsidR="00245672" w:rsidRPr="00245672">
        <w:rPr>
          <w:rFonts w:ascii="Arial" w:hAnsi="Arial" w:cs="Arial"/>
          <w:shd w:val="clear" w:color="auto" w:fill="FFFFFF"/>
        </w:rPr>
        <w:t>8</w:t>
      </w:r>
      <w:r w:rsidRPr="00245672">
        <w:rPr>
          <w:rFonts w:ascii="Arial" w:hAnsi="Arial" w:cs="Arial"/>
          <w:shd w:val="clear" w:color="auto" w:fill="FFFFFF"/>
        </w:rPr>
        <w:t>.</w:t>
      </w:r>
      <w:r w:rsidR="00245672" w:rsidRPr="00245672">
        <w:rPr>
          <w:rFonts w:ascii="Arial" w:hAnsi="Arial" w:cs="Arial"/>
          <w:shd w:val="clear" w:color="auto" w:fill="FFFFFF"/>
        </w:rPr>
        <w:t>999</w:t>
      </w:r>
      <w:r w:rsidRPr="00245672">
        <w:rPr>
          <w:rFonts w:ascii="Arial" w:hAnsi="Arial" w:cs="Arial"/>
          <w:shd w:val="clear" w:color="auto" w:fill="FFFFFF"/>
        </w:rPr>
        <w:t xml:space="preserve"> Steuerpflichtige mit einem Gesamtbetrag der Einkünfte von 1 Million Euro oder mehr. Obwohl die</w:t>
      </w:r>
      <w:r w:rsidR="00245672" w:rsidRPr="00245672">
        <w:rPr>
          <w:rFonts w:ascii="Arial" w:hAnsi="Arial" w:cs="Arial"/>
          <w:shd w:val="clear" w:color="auto" w:fill="FFFFFF"/>
        </w:rPr>
        <w:t xml:space="preserve">se Steuerpflichtigen </w:t>
      </w:r>
      <w:r w:rsidRPr="00245672">
        <w:rPr>
          <w:rFonts w:ascii="Arial" w:hAnsi="Arial" w:cs="Arial"/>
          <w:shd w:val="clear" w:color="auto" w:fill="FFFFFF"/>
        </w:rPr>
        <w:t xml:space="preserve">lediglich </w:t>
      </w:r>
      <w:r w:rsidR="00245672" w:rsidRPr="00245672">
        <w:rPr>
          <w:rFonts w:ascii="Arial" w:hAnsi="Arial" w:cs="Arial"/>
          <w:shd w:val="clear" w:color="auto" w:fill="FFFFFF"/>
        </w:rPr>
        <w:t xml:space="preserve">einen Anteil von </w:t>
      </w:r>
      <w:r w:rsidRPr="00245672">
        <w:rPr>
          <w:rFonts w:ascii="Arial" w:hAnsi="Arial" w:cs="Arial"/>
          <w:shd w:val="clear" w:color="auto" w:fill="FFFFFF"/>
        </w:rPr>
        <w:t>0,0</w:t>
      </w:r>
      <w:r w:rsidR="00245672" w:rsidRPr="00245672">
        <w:rPr>
          <w:rFonts w:ascii="Arial" w:hAnsi="Arial" w:cs="Arial"/>
          <w:shd w:val="clear" w:color="auto" w:fill="FFFFFF"/>
        </w:rPr>
        <w:t>5</w:t>
      </w:r>
      <w:r w:rsidRPr="00245672">
        <w:rPr>
          <w:rFonts w:ascii="Arial" w:hAnsi="Arial" w:cs="Arial"/>
          <w:shd w:val="clear" w:color="auto" w:fill="FFFFFF"/>
        </w:rPr>
        <w:t xml:space="preserve"> Prozent </w:t>
      </w:r>
      <w:r w:rsidR="00245672" w:rsidRPr="00245672">
        <w:rPr>
          <w:rFonts w:ascii="Arial" w:hAnsi="Arial" w:cs="Arial"/>
          <w:shd w:val="clear" w:color="auto" w:fill="FFFFFF"/>
        </w:rPr>
        <w:t xml:space="preserve">an allen </w:t>
      </w:r>
      <w:r w:rsidRPr="00245672">
        <w:rPr>
          <w:rFonts w:ascii="Arial" w:hAnsi="Arial" w:cs="Arial"/>
          <w:shd w:val="clear" w:color="auto" w:fill="FFFFFF"/>
        </w:rPr>
        <w:t xml:space="preserve">Steuerpflichtigen </w:t>
      </w:r>
      <w:r w:rsidR="00245672" w:rsidRPr="00245672">
        <w:rPr>
          <w:rFonts w:ascii="Arial" w:hAnsi="Arial" w:cs="Arial"/>
          <w:shd w:val="clear" w:color="auto" w:fill="FFFFFF"/>
        </w:rPr>
        <w:t>hatten</w:t>
      </w:r>
      <w:r w:rsidRPr="00245672">
        <w:rPr>
          <w:rFonts w:ascii="Arial" w:hAnsi="Arial" w:cs="Arial"/>
          <w:shd w:val="clear" w:color="auto" w:fill="FFFFFF"/>
        </w:rPr>
        <w:t>, bezog</w:t>
      </w:r>
      <w:r w:rsidR="00245672" w:rsidRPr="00245672">
        <w:rPr>
          <w:rFonts w:ascii="Arial" w:hAnsi="Arial" w:cs="Arial"/>
          <w:shd w:val="clear" w:color="auto" w:fill="FFFFFF"/>
        </w:rPr>
        <w:t xml:space="preserve">en </w:t>
      </w:r>
      <w:r w:rsidRPr="00245672">
        <w:rPr>
          <w:rFonts w:ascii="Arial" w:hAnsi="Arial" w:cs="Arial"/>
          <w:shd w:val="clear" w:color="auto" w:fill="FFFFFF"/>
        </w:rPr>
        <w:t xml:space="preserve">sie </w:t>
      </w:r>
      <w:r w:rsidR="00245672" w:rsidRPr="00245672">
        <w:rPr>
          <w:rFonts w:ascii="Arial" w:hAnsi="Arial" w:cs="Arial"/>
          <w:shd w:val="clear" w:color="auto" w:fill="FFFFFF"/>
        </w:rPr>
        <w:t>3</w:t>
      </w:r>
      <w:r w:rsidRPr="00245672">
        <w:rPr>
          <w:rFonts w:ascii="Arial" w:hAnsi="Arial" w:cs="Arial"/>
          <w:shd w:val="clear" w:color="auto" w:fill="FFFFFF"/>
        </w:rPr>
        <w:t>,</w:t>
      </w:r>
      <w:r w:rsidR="00245672" w:rsidRPr="00245672">
        <w:rPr>
          <w:rFonts w:ascii="Arial" w:hAnsi="Arial" w:cs="Arial"/>
          <w:shd w:val="clear" w:color="auto" w:fill="FFFFFF"/>
        </w:rPr>
        <w:t>44</w:t>
      </w:r>
      <w:r w:rsidRPr="00245672">
        <w:rPr>
          <w:rFonts w:ascii="Arial" w:hAnsi="Arial" w:cs="Arial"/>
          <w:shd w:val="clear" w:color="auto" w:fill="FFFFFF"/>
        </w:rPr>
        <w:t xml:space="preserve"> Prozent aller Einkünfte. Ihr Anteil am </w:t>
      </w:r>
      <w:r w:rsidR="00245672" w:rsidRPr="00245672">
        <w:rPr>
          <w:rFonts w:ascii="Arial" w:hAnsi="Arial" w:cs="Arial"/>
          <w:shd w:val="clear" w:color="auto" w:fill="FFFFFF"/>
        </w:rPr>
        <w:t xml:space="preserve">gesamten </w:t>
      </w:r>
      <w:r w:rsidRPr="00245672">
        <w:rPr>
          <w:rFonts w:ascii="Arial" w:hAnsi="Arial" w:cs="Arial"/>
          <w:shd w:val="clear" w:color="auto" w:fill="FFFFFF"/>
        </w:rPr>
        <w:t xml:space="preserve">Einkommensteueraufkommen lag mit </w:t>
      </w:r>
      <w:r w:rsidR="00245672" w:rsidRPr="00245672">
        <w:rPr>
          <w:rFonts w:ascii="Arial" w:hAnsi="Arial" w:cs="Arial"/>
          <w:shd w:val="clear" w:color="auto" w:fill="FFFFFF"/>
        </w:rPr>
        <w:t>6</w:t>
      </w:r>
      <w:r w:rsidRPr="00245672">
        <w:rPr>
          <w:rFonts w:ascii="Arial" w:hAnsi="Arial" w:cs="Arial"/>
          <w:shd w:val="clear" w:color="auto" w:fill="FFFFFF"/>
        </w:rPr>
        <w:t>,</w:t>
      </w:r>
      <w:r w:rsidR="00245672" w:rsidRPr="00245672">
        <w:rPr>
          <w:rFonts w:ascii="Arial" w:hAnsi="Arial" w:cs="Arial"/>
          <w:shd w:val="clear" w:color="auto" w:fill="FFFFFF"/>
        </w:rPr>
        <w:t>63</w:t>
      </w:r>
      <w:r w:rsidRPr="00245672">
        <w:rPr>
          <w:rFonts w:ascii="Arial" w:hAnsi="Arial" w:cs="Arial"/>
          <w:shd w:val="clear" w:color="auto" w:fill="FFFFFF"/>
        </w:rPr>
        <w:t xml:space="preserve"> Prozent nochmals höher.</w:t>
      </w:r>
      <w:r w:rsidR="00245672" w:rsidRPr="00245672">
        <w:rPr>
          <w:rFonts w:ascii="Arial" w:hAnsi="Arial" w:cs="Arial"/>
          <w:shd w:val="clear" w:color="auto" w:fill="FFFFFF"/>
        </w:rPr>
        <w:t xml:space="preserve"> </w:t>
      </w:r>
      <w:r w:rsidRPr="006A7B81">
        <w:rPr>
          <w:rFonts w:ascii="Arial" w:hAnsi="Arial" w:cs="Arial"/>
          <w:shd w:val="clear" w:color="auto" w:fill="FFFFFF"/>
        </w:rPr>
        <w:t>Die 1</w:t>
      </w:r>
      <w:r w:rsidR="006A7B81" w:rsidRPr="006A7B81">
        <w:rPr>
          <w:rFonts w:ascii="Arial" w:hAnsi="Arial" w:cs="Arial"/>
          <w:shd w:val="clear" w:color="auto" w:fill="FFFFFF"/>
        </w:rPr>
        <w:t>8</w:t>
      </w:r>
      <w:r w:rsidRPr="006A7B81">
        <w:rPr>
          <w:rFonts w:ascii="Arial" w:hAnsi="Arial" w:cs="Arial"/>
          <w:shd w:val="clear" w:color="auto" w:fill="FFFFFF"/>
        </w:rPr>
        <w:t>.</w:t>
      </w:r>
      <w:r w:rsidR="006A7B81" w:rsidRPr="006A7B81">
        <w:rPr>
          <w:rFonts w:ascii="Arial" w:hAnsi="Arial" w:cs="Arial"/>
          <w:shd w:val="clear" w:color="auto" w:fill="FFFFFF"/>
        </w:rPr>
        <w:t>999</w:t>
      </w:r>
      <w:r w:rsidRPr="006A7B81">
        <w:rPr>
          <w:rFonts w:ascii="Arial" w:hAnsi="Arial" w:cs="Arial"/>
          <w:shd w:val="clear" w:color="auto" w:fill="FFFFFF"/>
        </w:rPr>
        <w:t xml:space="preserve"> Steuerpflichtigen mit einem Gesamtbetrag der Einkünfte von 1 Million Euro oder mehr </w:t>
      </w:r>
      <w:r w:rsidR="006B248C">
        <w:rPr>
          <w:rFonts w:ascii="Arial" w:hAnsi="Arial" w:cs="Arial"/>
          <w:shd w:val="clear" w:color="auto" w:fill="FFFFFF"/>
        </w:rPr>
        <w:t xml:space="preserve">hatten im </w:t>
      </w:r>
      <w:r w:rsidRPr="006A7B81">
        <w:rPr>
          <w:rFonts w:ascii="Arial" w:hAnsi="Arial" w:cs="Arial"/>
          <w:shd w:val="clear" w:color="auto" w:fill="FFFFFF"/>
        </w:rPr>
        <w:t>Jahr 20</w:t>
      </w:r>
      <w:r w:rsidR="006A7B81" w:rsidRPr="006A7B81">
        <w:rPr>
          <w:rFonts w:ascii="Arial" w:hAnsi="Arial" w:cs="Arial"/>
          <w:shd w:val="clear" w:color="auto" w:fill="FFFFFF"/>
        </w:rPr>
        <w:t>14</w:t>
      </w:r>
      <w:r w:rsidRPr="006A7B81">
        <w:rPr>
          <w:rFonts w:ascii="Arial" w:hAnsi="Arial" w:cs="Arial"/>
          <w:shd w:val="clear" w:color="auto" w:fill="FFFFFF"/>
        </w:rPr>
        <w:t xml:space="preserve"> </w:t>
      </w:r>
      <w:r w:rsidR="006B248C" w:rsidRPr="006A7B81">
        <w:rPr>
          <w:rFonts w:ascii="Arial" w:hAnsi="Arial" w:cs="Arial"/>
          <w:shd w:val="clear" w:color="auto" w:fill="FFFFFF"/>
        </w:rPr>
        <w:t xml:space="preserve">Einkünfte </w:t>
      </w:r>
      <w:r w:rsidR="006B248C">
        <w:rPr>
          <w:rFonts w:ascii="Arial" w:hAnsi="Arial" w:cs="Arial"/>
          <w:shd w:val="clear" w:color="auto" w:fill="FFFFFF"/>
        </w:rPr>
        <w:t xml:space="preserve">von </w:t>
      </w:r>
      <w:r w:rsidRPr="006A7B81">
        <w:rPr>
          <w:rFonts w:ascii="Arial" w:hAnsi="Arial" w:cs="Arial"/>
          <w:shd w:val="clear" w:color="auto" w:fill="FFFFFF"/>
        </w:rPr>
        <w:t xml:space="preserve">durchschnittlich </w:t>
      </w:r>
      <w:r w:rsidR="006A7B81" w:rsidRPr="006A7B81">
        <w:rPr>
          <w:rFonts w:ascii="Arial" w:hAnsi="Arial" w:cs="Arial"/>
          <w:shd w:val="clear" w:color="auto" w:fill="FFFFFF"/>
        </w:rPr>
        <w:t>2</w:t>
      </w:r>
      <w:r w:rsidRPr="006A7B81">
        <w:rPr>
          <w:rFonts w:ascii="Arial" w:hAnsi="Arial" w:cs="Arial"/>
          <w:shd w:val="clear" w:color="auto" w:fill="FFFFFF"/>
        </w:rPr>
        <w:t>,</w:t>
      </w:r>
      <w:r w:rsidR="006A7B81" w:rsidRPr="006A7B81">
        <w:rPr>
          <w:rFonts w:ascii="Arial" w:hAnsi="Arial" w:cs="Arial"/>
          <w:shd w:val="clear" w:color="auto" w:fill="FFFFFF"/>
        </w:rPr>
        <w:t>67</w:t>
      </w:r>
      <w:r w:rsidRPr="006A7B81">
        <w:rPr>
          <w:rFonts w:ascii="Arial" w:hAnsi="Arial" w:cs="Arial"/>
          <w:shd w:val="clear" w:color="auto" w:fill="FFFFFF"/>
        </w:rPr>
        <w:t xml:space="preserve"> Millionen Euro. Entsprechend lagen die Gesamteinkünfte dieser Personengruppe bei </w:t>
      </w:r>
      <w:r w:rsidR="006A7B81" w:rsidRPr="006A7B81">
        <w:rPr>
          <w:rFonts w:ascii="Arial" w:hAnsi="Arial" w:cs="Arial"/>
          <w:shd w:val="clear" w:color="auto" w:fill="FFFFFF"/>
        </w:rPr>
        <w:t>50</w:t>
      </w:r>
      <w:r w:rsidRPr="006A7B81">
        <w:rPr>
          <w:rFonts w:ascii="Arial" w:hAnsi="Arial" w:cs="Arial"/>
          <w:shd w:val="clear" w:color="auto" w:fill="FFFFFF"/>
        </w:rPr>
        <w:t>,</w:t>
      </w:r>
      <w:r w:rsidR="006A7B81" w:rsidRPr="006A7B81">
        <w:rPr>
          <w:rFonts w:ascii="Arial" w:hAnsi="Arial" w:cs="Arial"/>
          <w:shd w:val="clear" w:color="auto" w:fill="FFFFFF"/>
        </w:rPr>
        <w:t>72</w:t>
      </w:r>
      <w:r w:rsidRPr="006A7B81">
        <w:rPr>
          <w:rFonts w:ascii="Arial" w:hAnsi="Arial" w:cs="Arial"/>
          <w:shd w:val="clear" w:color="auto" w:fill="FFFFFF"/>
        </w:rPr>
        <w:t xml:space="preserve"> Milliarden Euro</w:t>
      </w:r>
      <w:r w:rsidR="008209D8">
        <w:rPr>
          <w:rFonts w:ascii="Arial" w:hAnsi="Arial" w:cs="Arial"/>
          <w:shd w:val="clear" w:color="auto" w:fill="FFFFFF"/>
        </w:rPr>
        <w:t>.</w:t>
      </w:r>
    </w:p>
    <w:p w:rsidR="008209D8" w:rsidRDefault="008209D8" w:rsidP="00CA5D6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4E6618" w:rsidRDefault="004E6618" w:rsidP="00CA5D69">
      <w:pPr>
        <w:rPr>
          <w:rFonts w:ascii="Arial" w:hAnsi="Arial" w:cs="Arial"/>
          <w:shd w:val="clear" w:color="auto" w:fill="FFFFFF"/>
        </w:rPr>
      </w:pPr>
    </w:p>
    <w:p w:rsidR="00892026" w:rsidRPr="00044E0D" w:rsidRDefault="00C27587" w:rsidP="00892026">
      <w:pPr>
        <w:rPr>
          <w:rFonts w:ascii="Arial" w:hAnsi="Arial" w:cs="Arial"/>
          <w:shd w:val="clear" w:color="auto" w:fill="FFFFFF"/>
        </w:rPr>
      </w:pPr>
      <w:r w:rsidRPr="00C27587">
        <w:rPr>
          <w:rFonts w:ascii="Arial" w:hAnsi="Arial" w:cs="Arial"/>
          <w:shd w:val="clear" w:color="auto" w:fill="FFFFFF"/>
        </w:rPr>
        <w:t>Bundesministerium der Finanzen (BMF): Datensammlung zur Steuerpolitik 2018</w:t>
      </w:r>
      <w:r w:rsidR="00892026" w:rsidRPr="00044E0D">
        <w:rPr>
          <w:rFonts w:ascii="Arial" w:hAnsi="Arial" w:cs="Arial"/>
          <w:shd w:val="clear" w:color="auto" w:fill="FFFFFF"/>
        </w:rPr>
        <w:br/>
      </w: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244199" w:rsidRPr="00B108C7" w:rsidRDefault="00244199">
      <w:pPr>
        <w:rPr>
          <w:rFonts w:ascii="Arial" w:hAnsi="Arial" w:cs="Arial"/>
          <w:shd w:val="clear" w:color="auto" w:fill="FFFFFF"/>
        </w:rPr>
      </w:pPr>
    </w:p>
    <w:p w:rsidR="00443965" w:rsidRDefault="00443965" w:rsidP="00443965">
      <w:pPr>
        <w:autoSpaceDE w:val="0"/>
        <w:autoSpaceDN w:val="0"/>
        <w:adjustRightInd w:val="0"/>
        <w:rPr>
          <w:rFonts w:ascii="Arial" w:hAnsi="Arial" w:cs="Arial"/>
        </w:rPr>
      </w:pPr>
      <w:r w:rsidRPr="00DA0473">
        <w:rPr>
          <w:rFonts w:ascii="Arial" w:hAnsi="Arial" w:cs="Arial"/>
          <w:shd w:val="clear" w:color="auto" w:fill="FFFFFF"/>
        </w:rPr>
        <w:t>Informationen zu</w:t>
      </w:r>
      <w:r>
        <w:rPr>
          <w:rFonts w:ascii="Arial" w:hAnsi="Arial" w:cs="Arial"/>
          <w:shd w:val="clear" w:color="auto" w:fill="FFFFFF"/>
        </w:rPr>
        <w:t xml:space="preserve">r </w:t>
      </w:r>
      <w:r>
        <w:rPr>
          <w:rFonts w:ascii="Arial" w:hAnsi="Arial" w:cs="Arial"/>
          <w:b/>
          <w:shd w:val="clear" w:color="auto" w:fill="FFFFFF"/>
        </w:rPr>
        <w:t xml:space="preserve">Einkommensverteilung in Deutschland </w:t>
      </w:r>
      <w:r w:rsidRPr="00DA0473">
        <w:rPr>
          <w:rFonts w:ascii="Arial" w:hAnsi="Arial" w:cs="Arial"/>
          <w:shd w:val="clear" w:color="auto" w:fill="FFFFFF"/>
        </w:rPr>
        <w:t>erhalten Sie hier</w:t>
      </w:r>
      <w:r>
        <w:rPr>
          <w:rFonts w:ascii="Arial" w:hAnsi="Arial" w:cs="Arial"/>
          <w:shd w:val="clear" w:color="auto" w:fill="FFFFFF"/>
        </w:rPr>
        <w:t xml:space="preserve">: </w:t>
      </w:r>
      <w:hyperlink r:id="rId5" w:history="1">
        <w:r w:rsidRPr="0072019D">
          <w:rPr>
            <w:rStyle w:val="Hyperlink"/>
            <w:rFonts w:ascii="Arial" w:hAnsi="Arial" w:cs="Arial"/>
          </w:rPr>
          <w:t>https://www.bpb.de/61769</w:t>
        </w:r>
      </w:hyperlink>
    </w:p>
    <w:p w:rsidR="00443965" w:rsidRDefault="00443965" w:rsidP="00A14D4F">
      <w:pPr>
        <w:rPr>
          <w:rFonts w:ascii="Arial" w:hAnsi="Arial" w:cs="Arial"/>
          <w:shd w:val="clear" w:color="auto" w:fill="FFFFFF"/>
        </w:rPr>
      </w:pPr>
    </w:p>
    <w:p w:rsidR="00A14D4F" w:rsidRPr="00B108C7" w:rsidRDefault="00C27587" w:rsidP="00A14D4F">
      <w:pPr>
        <w:rPr>
          <w:rFonts w:ascii="Arial" w:hAnsi="Arial" w:cs="Arial"/>
          <w:shd w:val="clear" w:color="auto" w:fill="FFFFFF"/>
        </w:rPr>
      </w:pPr>
      <w:r w:rsidRPr="00B108C7">
        <w:rPr>
          <w:rFonts w:ascii="Arial" w:hAnsi="Arial" w:cs="Arial"/>
          <w:shd w:val="clear" w:color="auto" w:fill="FFFFFF"/>
        </w:rPr>
        <w:t xml:space="preserve">Für die Berechnung der </w:t>
      </w:r>
      <w:r w:rsidRPr="00B108C7">
        <w:rPr>
          <w:rFonts w:ascii="Arial" w:hAnsi="Arial" w:cs="Arial"/>
          <w:b/>
          <w:shd w:val="clear" w:color="auto" w:fill="FFFFFF"/>
        </w:rPr>
        <w:t>Anteile am Einkommensteueraufkommen</w:t>
      </w:r>
      <w:r w:rsidRPr="00B108C7">
        <w:rPr>
          <w:rFonts w:ascii="Arial" w:hAnsi="Arial" w:cs="Arial"/>
          <w:shd w:val="clear" w:color="auto" w:fill="FFFFFF"/>
        </w:rPr>
        <w:t xml:space="preserve"> werden zunächst alle Einkommensteuerpflichtigen aufsteigend nach </w:t>
      </w:r>
      <w:r w:rsidR="00B108C7" w:rsidRPr="00B108C7">
        <w:rPr>
          <w:rFonts w:ascii="Arial" w:hAnsi="Arial" w:cs="Arial"/>
          <w:shd w:val="clear" w:color="auto" w:fill="FFFFFF"/>
        </w:rPr>
        <w:t>der Höhe des Beitrags zum Steueraufkommen</w:t>
      </w:r>
      <w:r w:rsidRPr="00B108C7">
        <w:rPr>
          <w:rFonts w:ascii="Arial" w:hAnsi="Arial" w:cs="Arial"/>
          <w:shd w:val="clear" w:color="auto" w:fill="FFFFFF"/>
        </w:rPr>
        <w:t xml:space="preserve"> sortiert. Dann wird die Verteilung in zehn gleich große Teile zerlegt und für jedes Zehntel (Dezil) die Summe der Einkommensteuerleistungen berechnet. Anschließend wird der Anteil der Einkommensteuerleistung der einzelnen Dezile am gesamten Einkommensteueraufkommen berechnet.</w:t>
      </w:r>
    </w:p>
    <w:p w:rsidR="00B108C7" w:rsidRPr="00B108C7" w:rsidRDefault="00B108C7" w:rsidP="00A14D4F">
      <w:pPr>
        <w:rPr>
          <w:rFonts w:ascii="Arial" w:hAnsi="Arial" w:cs="Arial"/>
          <w:shd w:val="clear" w:color="auto" w:fill="FFFFFF"/>
        </w:rPr>
      </w:pPr>
    </w:p>
    <w:p w:rsidR="00B108C7" w:rsidRDefault="00B108C7" w:rsidP="00A14D4F">
      <w:pPr>
        <w:rPr>
          <w:rFonts w:ascii="Arial" w:hAnsi="Arial" w:cs="Arial"/>
          <w:shd w:val="clear" w:color="auto" w:fill="FFFFFF"/>
        </w:rPr>
      </w:pPr>
      <w:r w:rsidRPr="00B108C7">
        <w:rPr>
          <w:rFonts w:ascii="Arial" w:hAnsi="Arial" w:cs="Arial"/>
          <w:shd w:val="clear" w:color="auto" w:fill="FFFFFF"/>
        </w:rPr>
        <w:t>In der Darstellung werden nur Steuerpflichtige mit positivem Gesamtbetrag der Einkünfte gezählt. Zudem werden zusammen veranlagte Ehepaare oder eingetragene Lebenspartner als ein Steuerpflichtiger betrachtet.</w:t>
      </w:r>
    </w:p>
    <w:p w:rsidR="00B108C7" w:rsidRDefault="00B108C7" w:rsidP="00A14D4F">
      <w:pPr>
        <w:rPr>
          <w:rFonts w:ascii="Arial" w:hAnsi="Arial" w:cs="Arial"/>
          <w:shd w:val="clear" w:color="auto" w:fill="FFFFFF"/>
        </w:rPr>
      </w:pPr>
    </w:p>
    <w:p w:rsidR="00B108C7" w:rsidRDefault="00B108C7" w:rsidP="00A14D4F">
      <w:pPr>
        <w:rPr>
          <w:rFonts w:ascii="Arial" w:hAnsi="Arial" w:cs="Arial"/>
          <w:shd w:val="clear" w:color="auto" w:fill="FFFFFF"/>
        </w:rPr>
      </w:pPr>
      <w:r w:rsidRPr="00B108C7">
        <w:rPr>
          <w:rFonts w:ascii="Arial" w:hAnsi="Arial" w:cs="Arial"/>
          <w:b/>
          <w:shd w:val="clear" w:color="auto" w:fill="FFFFFF"/>
        </w:rPr>
        <w:t xml:space="preserve">Verfügbares Einkommen: </w:t>
      </w:r>
      <w:r>
        <w:rPr>
          <w:rFonts w:ascii="Arial" w:hAnsi="Arial" w:cs="Arial"/>
          <w:shd w:val="clear" w:color="auto" w:fill="FFFFFF"/>
        </w:rPr>
        <w:t>E</w:t>
      </w:r>
      <w:r w:rsidRPr="00B108C7">
        <w:rPr>
          <w:rFonts w:ascii="Arial" w:hAnsi="Arial" w:cs="Arial"/>
          <w:shd w:val="clear" w:color="auto" w:fill="FFFFFF"/>
        </w:rPr>
        <w:t>innahmen aus nichtselbständiger Arbeit zuzüglich anderer Einkünfte, Lohnersatzleistungen und Kindergeld abzüglich Einkommensteuer, Solidaritätszuschlag und Vorsorgeaufwendungen (Sozialabgaben und sonstige Versicherungsleistungen).</w:t>
      </w:r>
    </w:p>
    <w:p w:rsidR="00705888" w:rsidRDefault="00705888" w:rsidP="00A14D4F">
      <w:pPr>
        <w:rPr>
          <w:rFonts w:ascii="Arial" w:hAnsi="Arial" w:cs="Arial"/>
          <w:shd w:val="clear" w:color="auto" w:fill="FFFFFF"/>
        </w:rPr>
      </w:pPr>
    </w:p>
    <w:p w:rsidR="00705888" w:rsidRPr="00B108C7" w:rsidRDefault="00705888" w:rsidP="00A14D4F">
      <w:pPr>
        <w:rPr>
          <w:rFonts w:ascii="Arial" w:hAnsi="Arial" w:cs="Arial"/>
          <w:shd w:val="clear" w:color="auto" w:fill="FFFFFF"/>
        </w:rPr>
      </w:pPr>
      <w:r w:rsidRPr="00705888">
        <w:rPr>
          <w:rFonts w:ascii="Arial" w:hAnsi="Arial" w:cs="Arial"/>
          <w:shd w:val="clear" w:color="auto" w:fill="FFFFFF"/>
        </w:rPr>
        <w:t xml:space="preserve">Bei den im Text genannten </w:t>
      </w:r>
      <w:r w:rsidRPr="00705888">
        <w:rPr>
          <w:rFonts w:ascii="Arial" w:hAnsi="Arial" w:cs="Arial"/>
          <w:b/>
          <w:shd w:val="clear" w:color="auto" w:fill="FFFFFF"/>
        </w:rPr>
        <w:t>Einkünften</w:t>
      </w:r>
      <w:r w:rsidRPr="00705888">
        <w:rPr>
          <w:rFonts w:ascii="Arial" w:hAnsi="Arial" w:cs="Arial"/>
          <w:shd w:val="clear" w:color="auto" w:fill="FFFFFF"/>
        </w:rPr>
        <w:t xml:space="preserve"> handelt sich weder um die (Brutto-)Einnahmen noch um das zu versteuernde Einkommen, sondern um die Einnahmen abzüglich der Werbungskosten bzw. Betriebsausgaben.</w:t>
      </w:r>
    </w:p>
    <w:p w:rsidR="00C27587" w:rsidRPr="00705888" w:rsidRDefault="00C27587" w:rsidP="001B7D15">
      <w:pPr>
        <w:rPr>
          <w:rFonts w:ascii="Arial" w:hAnsi="Arial" w:cs="Arial"/>
          <w:shd w:val="clear" w:color="auto" w:fill="FFFFFF"/>
        </w:rPr>
      </w:pPr>
    </w:p>
    <w:p w:rsidR="001B7D15" w:rsidRPr="00C7374E" w:rsidRDefault="001B7D15" w:rsidP="001B7D15">
      <w:pPr>
        <w:rPr>
          <w:rFonts w:ascii="Arial" w:hAnsi="Arial" w:cs="Arial"/>
          <w:sz w:val="20"/>
          <w:szCs w:val="20"/>
        </w:rPr>
      </w:pPr>
      <w:r w:rsidRPr="00C7374E">
        <w:rPr>
          <w:rFonts w:ascii="Arial" w:hAnsi="Arial" w:cs="Arial"/>
          <w:sz w:val="20"/>
          <w:szCs w:val="20"/>
        </w:rPr>
        <w:t xml:space="preserve">Dieser Text ist unter der Creative Commons Lizenz </w:t>
      </w:r>
      <w:hyperlink r:id="rId6" w:tgtFrame="extern" w:history="1">
        <w:r w:rsidRPr="00C7374E">
          <w:rPr>
            <w:rFonts w:ascii="Arial" w:hAnsi="Arial" w:cs="Arial"/>
            <w:sz w:val="20"/>
            <w:szCs w:val="20"/>
          </w:rPr>
          <w:t>by-nc-nd/3.0/de/</w:t>
        </w:r>
      </w:hyperlink>
      <w:r w:rsidRPr="00C7374E">
        <w:rPr>
          <w:rFonts w:ascii="Arial" w:hAnsi="Arial" w:cs="Arial"/>
          <w:sz w:val="20"/>
          <w:szCs w:val="20"/>
        </w:rPr>
        <w:t xml:space="preserve"> veröffentlicht. </w:t>
      </w:r>
    </w:p>
    <w:p w:rsidR="001B7D15" w:rsidRPr="00C7374E" w:rsidRDefault="001B7D15">
      <w:pPr>
        <w:rPr>
          <w:rFonts w:ascii="Arial" w:hAnsi="Arial" w:cs="Arial"/>
          <w:i/>
        </w:rPr>
      </w:pPr>
      <w:r w:rsidRPr="00C7374E">
        <w:rPr>
          <w:rFonts w:ascii="Arial" w:hAnsi="Arial" w:cs="Arial"/>
          <w:sz w:val="20"/>
          <w:szCs w:val="20"/>
        </w:rPr>
        <w:t>Bundeszentrale für politische Bildung 20</w:t>
      </w:r>
      <w:r w:rsidR="00BD5C4D" w:rsidRPr="00C7374E">
        <w:rPr>
          <w:rFonts w:ascii="Arial" w:hAnsi="Arial" w:cs="Arial"/>
          <w:sz w:val="20"/>
          <w:szCs w:val="20"/>
        </w:rPr>
        <w:t>20</w:t>
      </w:r>
      <w:r w:rsidRPr="00C7374E">
        <w:rPr>
          <w:rFonts w:ascii="Arial" w:hAnsi="Arial" w:cs="Arial"/>
          <w:sz w:val="20"/>
          <w:szCs w:val="20"/>
        </w:rPr>
        <w:t xml:space="preserve"> | </w:t>
      </w:r>
      <w:hyperlink r:id="rId7" w:history="1">
        <w:r w:rsidRPr="00C7374E">
          <w:rPr>
            <w:rFonts w:ascii="Arial" w:hAnsi="Arial" w:cs="Arial"/>
            <w:sz w:val="20"/>
            <w:szCs w:val="20"/>
          </w:rPr>
          <w:t>www.bpb.de</w:t>
        </w:r>
      </w:hyperlink>
    </w:p>
    <w:sectPr w:rsidR="001B7D15" w:rsidRPr="00C737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6264"/>
    <w:rsid w:val="0009167D"/>
    <w:rsid w:val="000A06C1"/>
    <w:rsid w:val="000A20AA"/>
    <w:rsid w:val="000A7F9D"/>
    <w:rsid w:val="000C730A"/>
    <w:rsid w:val="000E2813"/>
    <w:rsid w:val="000F5548"/>
    <w:rsid w:val="000F55F6"/>
    <w:rsid w:val="00101A74"/>
    <w:rsid w:val="00104423"/>
    <w:rsid w:val="00111F49"/>
    <w:rsid w:val="001200F4"/>
    <w:rsid w:val="001221A4"/>
    <w:rsid w:val="001269EF"/>
    <w:rsid w:val="00163721"/>
    <w:rsid w:val="001662E8"/>
    <w:rsid w:val="001713B1"/>
    <w:rsid w:val="001715AF"/>
    <w:rsid w:val="00171D83"/>
    <w:rsid w:val="0017448A"/>
    <w:rsid w:val="00174B87"/>
    <w:rsid w:val="00183A44"/>
    <w:rsid w:val="001863C2"/>
    <w:rsid w:val="00186DC5"/>
    <w:rsid w:val="001B606B"/>
    <w:rsid w:val="001B7D15"/>
    <w:rsid w:val="001D198C"/>
    <w:rsid w:val="001D7E07"/>
    <w:rsid w:val="001E5E13"/>
    <w:rsid w:val="001F0077"/>
    <w:rsid w:val="001F7F43"/>
    <w:rsid w:val="0021766E"/>
    <w:rsid w:val="00236386"/>
    <w:rsid w:val="00244199"/>
    <w:rsid w:val="00244394"/>
    <w:rsid w:val="002443A0"/>
    <w:rsid w:val="00245672"/>
    <w:rsid w:val="00260769"/>
    <w:rsid w:val="00266714"/>
    <w:rsid w:val="002676AC"/>
    <w:rsid w:val="002766B9"/>
    <w:rsid w:val="0028024F"/>
    <w:rsid w:val="002B5C93"/>
    <w:rsid w:val="002B5DC3"/>
    <w:rsid w:val="002C242C"/>
    <w:rsid w:val="002E7D46"/>
    <w:rsid w:val="00363D8E"/>
    <w:rsid w:val="003657B1"/>
    <w:rsid w:val="0038111C"/>
    <w:rsid w:val="003A6FDC"/>
    <w:rsid w:val="003B1043"/>
    <w:rsid w:val="003B2FF1"/>
    <w:rsid w:val="003B5A46"/>
    <w:rsid w:val="003C1F2C"/>
    <w:rsid w:val="003D3ABC"/>
    <w:rsid w:val="003E0426"/>
    <w:rsid w:val="003E0C4A"/>
    <w:rsid w:val="003E25B4"/>
    <w:rsid w:val="003F711C"/>
    <w:rsid w:val="00402B2C"/>
    <w:rsid w:val="004210B3"/>
    <w:rsid w:val="004242F8"/>
    <w:rsid w:val="004250EE"/>
    <w:rsid w:val="00425117"/>
    <w:rsid w:val="00443965"/>
    <w:rsid w:val="004554C0"/>
    <w:rsid w:val="00460C51"/>
    <w:rsid w:val="00464F29"/>
    <w:rsid w:val="0046791C"/>
    <w:rsid w:val="004715C5"/>
    <w:rsid w:val="004731E5"/>
    <w:rsid w:val="00473F5D"/>
    <w:rsid w:val="00475AB8"/>
    <w:rsid w:val="0047765A"/>
    <w:rsid w:val="00477EBE"/>
    <w:rsid w:val="004820CE"/>
    <w:rsid w:val="00494DF9"/>
    <w:rsid w:val="004A2795"/>
    <w:rsid w:val="004A6A0F"/>
    <w:rsid w:val="004D59F0"/>
    <w:rsid w:val="004E6618"/>
    <w:rsid w:val="004F0DF6"/>
    <w:rsid w:val="004F2EB9"/>
    <w:rsid w:val="004F5774"/>
    <w:rsid w:val="0051310F"/>
    <w:rsid w:val="00514A82"/>
    <w:rsid w:val="005234DF"/>
    <w:rsid w:val="005533BA"/>
    <w:rsid w:val="005557C5"/>
    <w:rsid w:val="00563462"/>
    <w:rsid w:val="00577775"/>
    <w:rsid w:val="00594628"/>
    <w:rsid w:val="005B4D9E"/>
    <w:rsid w:val="005C7778"/>
    <w:rsid w:val="005E5C94"/>
    <w:rsid w:val="005E6BAB"/>
    <w:rsid w:val="005F7382"/>
    <w:rsid w:val="00617540"/>
    <w:rsid w:val="00625C9B"/>
    <w:rsid w:val="00652ACF"/>
    <w:rsid w:val="00652DD2"/>
    <w:rsid w:val="006556F0"/>
    <w:rsid w:val="0068567A"/>
    <w:rsid w:val="006A3317"/>
    <w:rsid w:val="006A7B81"/>
    <w:rsid w:val="006B1677"/>
    <w:rsid w:val="006B248C"/>
    <w:rsid w:val="006B2F04"/>
    <w:rsid w:val="006D71D2"/>
    <w:rsid w:val="0070122C"/>
    <w:rsid w:val="00705888"/>
    <w:rsid w:val="00722C39"/>
    <w:rsid w:val="00740C0E"/>
    <w:rsid w:val="00743840"/>
    <w:rsid w:val="007443B1"/>
    <w:rsid w:val="00756A6D"/>
    <w:rsid w:val="00766238"/>
    <w:rsid w:val="007827E8"/>
    <w:rsid w:val="00793840"/>
    <w:rsid w:val="007B4AD0"/>
    <w:rsid w:val="007C3EFF"/>
    <w:rsid w:val="007D37CA"/>
    <w:rsid w:val="007D3B72"/>
    <w:rsid w:val="007E347B"/>
    <w:rsid w:val="007E4236"/>
    <w:rsid w:val="007E4C5C"/>
    <w:rsid w:val="007E7424"/>
    <w:rsid w:val="007F4155"/>
    <w:rsid w:val="00812651"/>
    <w:rsid w:val="008209D8"/>
    <w:rsid w:val="0082696E"/>
    <w:rsid w:val="0083061B"/>
    <w:rsid w:val="00833813"/>
    <w:rsid w:val="00833EB8"/>
    <w:rsid w:val="00835E1B"/>
    <w:rsid w:val="00841E79"/>
    <w:rsid w:val="00841ECF"/>
    <w:rsid w:val="00843264"/>
    <w:rsid w:val="0085672F"/>
    <w:rsid w:val="008579A4"/>
    <w:rsid w:val="0086092F"/>
    <w:rsid w:val="00864E6C"/>
    <w:rsid w:val="0088239F"/>
    <w:rsid w:val="00892026"/>
    <w:rsid w:val="008A292E"/>
    <w:rsid w:val="008B2910"/>
    <w:rsid w:val="008C59DD"/>
    <w:rsid w:val="008D0676"/>
    <w:rsid w:val="008D0CEB"/>
    <w:rsid w:val="008E0F4F"/>
    <w:rsid w:val="008E550C"/>
    <w:rsid w:val="009219CE"/>
    <w:rsid w:val="00922D13"/>
    <w:rsid w:val="00932EC5"/>
    <w:rsid w:val="009418DE"/>
    <w:rsid w:val="00950462"/>
    <w:rsid w:val="0095097C"/>
    <w:rsid w:val="00957E65"/>
    <w:rsid w:val="009635A6"/>
    <w:rsid w:val="0099599B"/>
    <w:rsid w:val="009A01C9"/>
    <w:rsid w:val="009A39DD"/>
    <w:rsid w:val="009B34B6"/>
    <w:rsid w:val="009C7AE9"/>
    <w:rsid w:val="009E0BFE"/>
    <w:rsid w:val="009E3A9C"/>
    <w:rsid w:val="009E5785"/>
    <w:rsid w:val="009F1743"/>
    <w:rsid w:val="00A0428B"/>
    <w:rsid w:val="00A11615"/>
    <w:rsid w:val="00A14D4F"/>
    <w:rsid w:val="00A20379"/>
    <w:rsid w:val="00A30C39"/>
    <w:rsid w:val="00A3520F"/>
    <w:rsid w:val="00A36099"/>
    <w:rsid w:val="00A37E7C"/>
    <w:rsid w:val="00A563F5"/>
    <w:rsid w:val="00A665D1"/>
    <w:rsid w:val="00A81970"/>
    <w:rsid w:val="00A853E6"/>
    <w:rsid w:val="00A86D33"/>
    <w:rsid w:val="00A87E14"/>
    <w:rsid w:val="00AA1895"/>
    <w:rsid w:val="00AC61BA"/>
    <w:rsid w:val="00AD308A"/>
    <w:rsid w:val="00AD5A2B"/>
    <w:rsid w:val="00AD7565"/>
    <w:rsid w:val="00AE73D2"/>
    <w:rsid w:val="00B046F9"/>
    <w:rsid w:val="00B108C7"/>
    <w:rsid w:val="00B15B38"/>
    <w:rsid w:val="00B26333"/>
    <w:rsid w:val="00B32082"/>
    <w:rsid w:val="00B330D7"/>
    <w:rsid w:val="00B33419"/>
    <w:rsid w:val="00B6099E"/>
    <w:rsid w:val="00B73F14"/>
    <w:rsid w:val="00B74018"/>
    <w:rsid w:val="00B812AB"/>
    <w:rsid w:val="00BA27C4"/>
    <w:rsid w:val="00BA37F8"/>
    <w:rsid w:val="00BC5FEF"/>
    <w:rsid w:val="00BC60BC"/>
    <w:rsid w:val="00BD3C12"/>
    <w:rsid w:val="00BD5C4D"/>
    <w:rsid w:val="00BF2D38"/>
    <w:rsid w:val="00BF5551"/>
    <w:rsid w:val="00C23848"/>
    <w:rsid w:val="00C27587"/>
    <w:rsid w:val="00C32A40"/>
    <w:rsid w:val="00C33977"/>
    <w:rsid w:val="00C46A1D"/>
    <w:rsid w:val="00C5712E"/>
    <w:rsid w:val="00C7374E"/>
    <w:rsid w:val="00C832FB"/>
    <w:rsid w:val="00C83F01"/>
    <w:rsid w:val="00C86636"/>
    <w:rsid w:val="00C878A1"/>
    <w:rsid w:val="00CA5D69"/>
    <w:rsid w:val="00CC5C8D"/>
    <w:rsid w:val="00CC7933"/>
    <w:rsid w:val="00CD4881"/>
    <w:rsid w:val="00CD5370"/>
    <w:rsid w:val="00CE6004"/>
    <w:rsid w:val="00CF2201"/>
    <w:rsid w:val="00CF3BF7"/>
    <w:rsid w:val="00D10100"/>
    <w:rsid w:val="00D17469"/>
    <w:rsid w:val="00D239C1"/>
    <w:rsid w:val="00D4298E"/>
    <w:rsid w:val="00D50139"/>
    <w:rsid w:val="00D6551E"/>
    <w:rsid w:val="00D67563"/>
    <w:rsid w:val="00D701D7"/>
    <w:rsid w:val="00D90271"/>
    <w:rsid w:val="00DA0F72"/>
    <w:rsid w:val="00DB1472"/>
    <w:rsid w:val="00DE45D7"/>
    <w:rsid w:val="00DF4935"/>
    <w:rsid w:val="00E17263"/>
    <w:rsid w:val="00E771E2"/>
    <w:rsid w:val="00E87B35"/>
    <w:rsid w:val="00EB0E7B"/>
    <w:rsid w:val="00ED0C9F"/>
    <w:rsid w:val="00ED7BBC"/>
    <w:rsid w:val="00EE5A3C"/>
    <w:rsid w:val="00EF2F99"/>
    <w:rsid w:val="00F02304"/>
    <w:rsid w:val="00F0757C"/>
    <w:rsid w:val="00F14B2A"/>
    <w:rsid w:val="00F20B03"/>
    <w:rsid w:val="00F23459"/>
    <w:rsid w:val="00F23DFF"/>
    <w:rsid w:val="00F33357"/>
    <w:rsid w:val="00F35780"/>
    <w:rsid w:val="00F56CBA"/>
    <w:rsid w:val="00F62A17"/>
    <w:rsid w:val="00F71E76"/>
    <w:rsid w:val="00F833D1"/>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6D71D2"/>
    <w:rPr>
      <w:sz w:val="16"/>
      <w:szCs w:val="16"/>
    </w:rPr>
  </w:style>
  <w:style w:type="paragraph" w:styleId="Kommentartext">
    <w:name w:val="annotation text"/>
    <w:basedOn w:val="Standard"/>
    <w:link w:val="KommentartextZchn"/>
    <w:uiPriority w:val="99"/>
    <w:semiHidden/>
    <w:unhideWhenUsed/>
    <w:rsid w:val="006D71D2"/>
    <w:rPr>
      <w:sz w:val="20"/>
      <w:szCs w:val="20"/>
    </w:rPr>
  </w:style>
  <w:style w:type="character" w:customStyle="1" w:styleId="KommentartextZchn">
    <w:name w:val="Kommentartext Zchn"/>
    <w:basedOn w:val="Absatz-Standardschriftart"/>
    <w:link w:val="Kommentartext"/>
    <w:uiPriority w:val="99"/>
    <w:semiHidden/>
    <w:rsid w:val="006D71D2"/>
  </w:style>
  <w:style w:type="paragraph" w:styleId="Kommentarthema">
    <w:name w:val="annotation subject"/>
    <w:basedOn w:val="Kommentartext"/>
    <w:next w:val="Kommentartext"/>
    <w:link w:val="KommentarthemaZchn"/>
    <w:uiPriority w:val="99"/>
    <w:semiHidden/>
    <w:unhideWhenUsed/>
    <w:rsid w:val="006D71D2"/>
    <w:rPr>
      <w:b/>
      <w:bCs/>
    </w:rPr>
  </w:style>
  <w:style w:type="character" w:customStyle="1" w:styleId="KommentarthemaZchn">
    <w:name w:val="Kommentarthema Zchn"/>
    <w:basedOn w:val="KommentartextZchn"/>
    <w:link w:val="Kommentarthema"/>
    <w:uiPriority w:val="99"/>
    <w:semiHidden/>
    <w:rsid w:val="006D71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6D71D2"/>
    <w:rPr>
      <w:sz w:val="16"/>
      <w:szCs w:val="16"/>
    </w:rPr>
  </w:style>
  <w:style w:type="paragraph" w:styleId="Kommentartext">
    <w:name w:val="annotation text"/>
    <w:basedOn w:val="Standard"/>
    <w:link w:val="KommentartextZchn"/>
    <w:uiPriority w:val="99"/>
    <w:semiHidden/>
    <w:unhideWhenUsed/>
    <w:rsid w:val="006D71D2"/>
    <w:rPr>
      <w:sz w:val="20"/>
      <w:szCs w:val="20"/>
    </w:rPr>
  </w:style>
  <w:style w:type="character" w:customStyle="1" w:styleId="KommentartextZchn">
    <w:name w:val="Kommentartext Zchn"/>
    <w:basedOn w:val="Absatz-Standardschriftart"/>
    <w:link w:val="Kommentartext"/>
    <w:uiPriority w:val="99"/>
    <w:semiHidden/>
    <w:rsid w:val="006D71D2"/>
  </w:style>
  <w:style w:type="paragraph" w:styleId="Kommentarthema">
    <w:name w:val="annotation subject"/>
    <w:basedOn w:val="Kommentartext"/>
    <w:next w:val="Kommentartext"/>
    <w:link w:val="KommentarthemaZchn"/>
    <w:uiPriority w:val="99"/>
    <w:semiHidden/>
    <w:unhideWhenUsed/>
    <w:rsid w:val="006D71D2"/>
    <w:rPr>
      <w:b/>
      <w:bCs/>
    </w:rPr>
  </w:style>
  <w:style w:type="character" w:customStyle="1" w:styleId="KommentarthemaZchn">
    <w:name w:val="Kommentarthema Zchn"/>
    <w:basedOn w:val="KommentartextZchn"/>
    <w:link w:val="Kommentarthema"/>
    <w:uiPriority w:val="99"/>
    <w:semiHidden/>
    <w:rsid w:val="006D7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s://www.bpb.de/617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4133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2020-08-11T09:11:00Z</dcterms:created>
  <dcterms:modified xsi:type="dcterms:W3CDTF">2020-08-30T15:16:00Z</dcterms:modified>
</cp:coreProperties>
</file>