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BA" w:rsidRPr="00E728BA" w:rsidRDefault="00E728BA" w:rsidP="00E728BA">
      <w:pPr>
        <w:rPr>
          <w:rFonts w:ascii="Arial" w:hAnsi="Arial" w:cs="Arial"/>
          <w:b/>
          <w:color w:val="363636"/>
          <w:shd w:val="clear" w:color="auto" w:fill="FFFFFF"/>
        </w:rPr>
      </w:pPr>
      <w:bookmarkStart w:id="0" w:name="_GoBack"/>
      <w:bookmarkEnd w:id="0"/>
      <w:r w:rsidRPr="00E728BA">
        <w:rPr>
          <w:rFonts w:ascii="Arial" w:hAnsi="Arial" w:cs="Arial"/>
          <w:b/>
          <w:color w:val="363636"/>
          <w:shd w:val="clear" w:color="auto" w:fill="FFFFFF"/>
        </w:rPr>
        <w:t xml:space="preserve">Der Reallohnindex berücksichtigt sowohl </w:t>
      </w:r>
      <w:r>
        <w:rPr>
          <w:rFonts w:ascii="Arial" w:hAnsi="Arial" w:cs="Arial"/>
          <w:b/>
          <w:color w:val="363636"/>
          <w:shd w:val="clear" w:color="auto" w:fill="FFFFFF"/>
        </w:rPr>
        <w:t>die B</w:t>
      </w:r>
      <w:r w:rsidRPr="00E728BA">
        <w:rPr>
          <w:rFonts w:ascii="Arial" w:hAnsi="Arial" w:cs="Arial"/>
          <w:b/>
          <w:color w:val="363636"/>
          <w:shd w:val="clear" w:color="auto" w:fill="FFFFFF"/>
        </w:rPr>
        <w:t xml:space="preserve">ruttomonatsverdienste als auch </w:t>
      </w:r>
      <w:r>
        <w:rPr>
          <w:rFonts w:ascii="Arial" w:hAnsi="Arial" w:cs="Arial"/>
          <w:b/>
          <w:color w:val="363636"/>
          <w:shd w:val="clear" w:color="auto" w:fill="FFFFFF"/>
        </w:rPr>
        <w:t xml:space="preserve">die Entwicklung der </w:t>
      </w:r>
      <w:r w:rsidRPr="00E728BA">
        <w:rPr>
          <w:rFonts w:ascii="Arial" w:hAnsi="Arial" w:cs="Arial"/>
          <w:b/>
          <w:color w:val="363636"/>
          <w:shd w:val="clear" w:color="auto" w:fill="FFFFFF"/>
        </w:rPr>
        <w:t xml:space="preserve">Preise. Von 1992 bis 2003 veränderte sich der Reallohnindex nur wenig – die </w:t>
      </w:r>
      <w:r>
        <w:rPr>
          <w:rFonts w:ascii="Arial" w:hAnsi="Arial" w:cs="Arial"/>
          <w:b/>
          <w:color w:val="363636"/>
          <w:shd w:val="clear" w:color="auto" w:fill="FFFFFF"/>
        </w:rPr>
        <w:t xml:space="preserve">steigenden </w:t>
      </w:r>
      <w:r w:rsidRPr="00E728BA">
        <w:rPr>
          <w:rFonts w:ascii="Arial" w:hAnsi="Arial" w:cs="Arial"/>
          <w:b/>
          <w:color w:val="363636"/>
          <w:shd w:val="clear" w:color="auto" w:fill="FFFFFF"/>
        </w:rPr>
        <w:t xml:space="preserve">Bruttoverdienste </w:t>
      </w:r>
      <w:r>
        <w:rPr>
          <w:rFonts w:ascii="Arial" w:hAnsi="Arial" w:cs="Arial"/>
          <w:b/>
          <w:color w:val="363636"/>
          <w:shd w:val="clear" w:color="auto" w:fill="FFFFFF"/>
        </w:rPr>
        <w:t xml:space="preserve">in diesem Zeitraum </w:t>
      </w:r>
      <w:r w:rsidRPr="00E728BA">
        <w:rPr>
          <w:rFonts w:ascii="Arial" w:hAnsi="Arial" w:cs="Arial"/>
          <w:b/>
          <w:color w:val="363636"/>
          <w:shd w:val="clear" w:color="auto" w:fill="FFFFFF"/>
        </w:rPr>
        <w:t>wurde</w:t>
      </w:r>
      <w:r>
        <w:rPr>
          <w:rFonts w:ascii="Arial" w:hAnsi="Arial" w:cs="Arial"/>
          <w:b/>
          <w:color w:val="363636"/>
          <w:shd w:val="clear" w:color="auto" w:fill="FFFFFF"/>
        </w:rPr>
        <w:t xml:space="preserve">n </w:t>
      </w:r>
      <w:r w:rsidRPr="00E728BA">
        <w:rPr>
          <w:rFonts w:ascii="Arial" w:hAnsi="Arial" w:cs="Arial"/>
          <w:b/>
          <w:color w:val="363636"/>
          <w:shd w:val="clear" w:color="auto" w:fill="FFFFFF"/>
        </w:rPr>
        <w:t xml:space="preserve">durch die Steigerung der Verbraucherpreise aufgehoben. Zwischen 2003 und 2007 sank der Reallohnindex </w:t>
      </w:r>
      <w:r>
        <w:rPr>
          <w:rFonts w:ascii="Arial" w:hAnsi="Arial" w:cs="Arial"/>
          <w:b/>
          <w:color w:val="363636"/>
          <w:shd w:val="clear" w:color="auto" w:fill="FFFFFF"/>
        </w:rPr>
        <w:t xml:space="preserve">sogar um </w:t>
      </w:r>
      <w:r w:rsidR="00DD6F6F">
        <w:rPr>
          <w:rFonts w:ascii="Arial" w:hAnsi="Arial" w:cs="Arial"/>
          <w:b/>
          <w:color w:val="363636"/>
          <w:shd w:val="clear" w:color="auto" w:fill="FFFFFF"/>
        </w:rPr>
        <w:t xml:space="preserve">durchschnittlich </w:t>
      </w:r>
      <w:r>
        <w:rPr>
          <w:rFonts w:ascii="Arial" w:hAnsi="Arial" w:cs="Arial"/>
          <w:b/>
          <w:color w:val="363636"/>
          <w:shd w:val="clear" w:color="auto" w:fill="FFFFFF"/>
        </w:rPr>
        <w:t xml:space="preserve">ein </w:t>
      </w:r>
      <w:r w:rsidRPr="00E728BA">
        <w:rPr>
          <w:rFonts w:ascii="Arial" w:hAnsi="Arial" w:cs="Arial"/>
          <w:b/>
          <w:color w:val="363636"/>
          <w:shd w:val="clear" w:color="auto" w:fill="FFFFFF"/>
        </w:rPr>
        <w:t>Prozent pro Jahr. Zwischen 2007 und 2019 stieg der Reallohnindex stetig</w:t>
      </w:r>
      <w:r w:rsidR="00DD6F6F">
        <w:rPr>
          <w:rFonts w:ascii="Arial" w:hAnsi="Arial" w:cs="Arial"/>
          <w:b/>
          <w:color w:val="363636"/>
          <w:shd w:val="clear" w:color="auto" w:fill="FFFFFF"/>
        </w:rPr>
        <w:t xml:space="preserve">. Der Zuwachs lag im Durchschnitt bei einem </w:t>
      </w:r>
      <w:r w:rsidRPr="00E728BA">
        <w:rPr>
          <w:rFonts w:ascii="Arial" w:hAnsi="Arial" w:cs="Arial"/>
          <w:b/>
          <w:color w:val="363636"/>
          <w:shd w:val="clear" w:color="auto" w:fill="FFFFFF"/>
        </w:rPr>
        <w:t>Prozent pro Jahr.</w:t>
      </w:r>
    </w:p>
    <w:p w:rsidR="003E25B4" w:rsidRPr="00670B9F" w:rsidRDefault="003E25B4" w:rsidP="007443B1">
      <w:pPr>
        <w:rPr>
          <w:rFonts w:ascii="Arial" w:hAnsi="Arial" w:cs="Arial"/>
          <w:shd w:val="clear" w:color="auto" w:fill="FFFFFF"/>
        </w:rPr>
      </w:pPr>
    </w:p>
    <w:p w:rsidR="00CA5D69" w:rsidRDefault="00CA5D69" w:rsidP="00CA5D69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Fakten</w:t>
      </w:r>
    </w:p>
    <w:p w:rsidR="00CA5D69" w:rsidRPr="00212FA5" w:rsidRDefault="00CA5D69" w:rsidP="00CA5D69">
      <w:pPr>
        <w:rPr>
          <w:rFonts w:ascii="Arial" w:hAnsi="Arial" w:cs="Arial"/>
          <w:shd w:val="clear" w:color="auto" w:fill="FFFFFF"/>
        </w:rPr>
      </w:pPr>
    </w:p>
    <w:p w:rsidR="00ED058B" w:rsidRDefault="00F40C50" w:rsidP="00CA38DC">
      <w:pPr>
        <w:rPr>
          <w:rFonts w:ascii="Arial" w:hAnsi="Arial" w:cs="Arial"/>
          <w:color w:val="363636"/>
          <w:shd w:val="clear" w:color="auto" w:fill="FFFFFF"/>
        </w:rPr>
      </w:pPr>
      <w:r w:rsidRPr="00ED058B">
        <w:rPr>
          <w:rFonts w:ascii="Arial" w:hAnsi="Arial" w:cs="Arial"/>
          <w:color w:val="363636"/>
          <w:shd w:val="clear" w:color="auto" w:fill="FFFFFF"/>
        </w:rPr>
        <w:t xml:space="preserve">Der Nominallohnindex </w:t>
      </w:r>
      <w:r w:rsidR="006F630C">
        <w:rPr>
          <w:rFonts w:ascii="Arial" w:hAnsi="Arial" w:cs="Arial"/>
          <w:color w:val="363636"/>
          <w:shd w:val="clear" w:color="auto" w:fill="FFFFFF"/>
        </w:rPr>
        <w:t>bildet</w:t>
      </w:r>
      <w:r w:rsidRPr="00ED058B">
        <w:rPr>
          <w:rFonts w:ascii="Arial" w:hAnsi="Arial" w:cs="Arial"/>
          <w:color w:val="363636"/>
          <w:shd w:val="clear" w:color="auto" w:fill="FFFFFF"/>
        </w:rPr>
        <w:t xml:space="preserve"> die Veränderung der Bruttomonatsverdienste im Produzierenden Gewerbe und im Dienstleistungsbereich</w:t>
      </w:r>
      <w:r w:rsidR="006F630C">
        <w:rPr>
          <w:rFonts w:ascii="Arial" w:hAnsi="Arial" w:cs="Arial"/>
          <w:color w:val="363636"/>
          <w:shd w:val="clear" w:color="auto" w:fill="FFFFFF"/>
        </w:rPr>
        <w:t xml:space="preserve"> ab</w:t>
      </w:r>
      <w:r w:rsidRPr="00ED058B">
        <w:rPr>
          <w:rFonts w:ascii="Arial" w:hAnsi="Arial" w:cs="Arial"/>
          <w:color w:val="363636"/>
          <w:shd w:val="clear" w:color="auto" w:fill="FFFFFF"/>
        </w:rPr>
        <w:t>. Er bezieht sich auf die vollzeit-, teilzeit- und geringfügig beschäftigten Arbeitnehmer</w:t>
      </w:r>
      <w:r w:rsidR="006F630C">
        <w:rPr>
          <w:rFonts w:ascii="Arial" w:hAnsi="Arial" w:cs="Arial"/>
          <w:color w:val="363636"/>
          <w:shd w:val="clear" w:color="auto" w:fill="FFFFFF"/>
        </w:rPr>
        <w:t xml:space="preserve"> und enthält neben den </w:t>
      </w:r>
      <w:r w:rsidR="006F630C" w:rsidRPr="00ED058B">
        <w:rPr>
          <w:rFonts w:ascii="Arial" w:hAnsi="Arial" w:cs="Arial"/>
          <w:color w:val="363636"/>
          <w:shd w:val="clear" w:color="auto" w:fill="FFFFFF"/>
        </w:rPr>
        <w:t xml:space="preserve">durchschnittlichen </w:t>
      </w:r>
      <w:r w:rsidR="006F630C">
        <w:rPr>
          <w:rFonts w:ascii="Arial" w:hAnsi="Arial" w:cs="Arial"/>
          <w:color w:val="363636"/>
          <w:shd w:val="clear" w:color="auto" w:fill="FFFFFF"/>
        </w:rPr>
        <w:t xml:space="preserve">Verdiensten auch </w:t>
      </w:r>
      <w:r w:rsidR="006F630C" w:rsidRPr="00ED058B">
        <w:rPr>
          <w:rFonts w:ascii="Arial" w:hAnsi="Arial" w:cs="Arial"/>
          <w:color w:val="363636"/>
          <w:shd w:val="clear" w:color="auto" w:fill="FFFFFF"/>
        </w:rPr>
        <w:t>Sonderzahlungen</w:t>
      </w:r>
      <w:r w:rsidRPr="00ED058B">
        <w:rPr>
          <w:rFonts w:ascii="Arial" w:hAnsi="Arial" w:cs="Arial"/>
          <w:color w:val="363636"/>
          <w:shd w:val="clear" w:color="auto" w:fill="FFFFFF"/>
        </w:rPr>
        <w:t>. Der Verbraucherpreisindex spiegelt die Entwicklung der Preise wider. Der Reallohnindex berücksichtigt sowohl die Entwicklung der Verdienste als auch die Preisentwicklung. Bei einer positiven Veränderung</w:t>
      </w:r>
      <w:r w:rsidR="00B84EDC">
        <w:rPr>
          <w:rFonts w:ascii="Arial" w:hAnsi="Arial" w:cs="Arial"/>
          <w:color w:val="363636"/>
          <w:shd w:val="clear" w:color="auto" w:fill="FFFFFF"/>
        </w:rPr>
        <w:t xml:space="preserve"> </w:t>
      </w:r>
      <w:r w:rsidRPr="00ED058B">
        <w:rPr>
          <w:rFonts w:ascii="Arial" w:hAnsi="Arial" w:cs="Arial"/>
          <w:color w:val="363636"/>
          <w:shd w:val="clear" w:color="auto" w:fill="FFFFFF"/>
        </w:rPr>
        <w:t>des Reallohnindex sind die Verdienste stärker gestiegen als die Verbraucherpreise, bei einer negativen Veränderung</w:t>
      </w:r>
      <w:r w:rsidR="00B84EDC">
        <w:rPr>
          <w:rFonts w:ascii="Arial" w:hAnsi="Arial" w:cs="Arial"/>
          <w:color w:val="363636"/>
          <w:shd w:val="clear" w:color="auto" w:fill="FFFFFF"/>
        </w:rPr>
        <w:t xml:space="preserve"> </w:t>
      </w:r>
      <w:r w:rsidRPr="00ED058B">
        <w:rPr>
          <w:rFonts w:ascii="Arial" w:hAnsi="Arial" w:cs="Arial"/>
          <w:color w:val="363636"/>
          <w:shd w:val="clear" w:color="auto" w:fill="FFFFFF"/>
        </w:rPr>
        <w:t>ist es entsprechend umgekehrt.</w:t>
      </w:r>
    </w:p>
    <w:p w:rsidR="007762CB" w:rsidRDefault="007762CB" w:rsidP="00CA38DC">
      <w:pPr>
        <w:rPr>
          <w:rFonts w:ascii="Arial" w:hAnsi="Arial" w:cs="Arial"/>
          <w:color w:val="363636"/>
          <w:shd w:val="clear" w:color="auto" w:fill="FFFFFF"/>
        </w:rPr>
      </w:pPr>
    </w:p>
    <w:p w:rsidR="00853660" w:rsidRDefault="009B2DF1" w:rsidP="00CA38DC">
      <w:pPr>
        <w:rPr>
          <w:rFonts w:ascii="Arial" w:hAnsi="Arial" w:cs="Arial"/>
          <w:color w:val="363636"/>
          <w:shd w:val="clear" w:color="auto" w:fill="FFFFFF"/>
        </w:rPr>
      </w:pPr>
      <w:r w:rsidRPr="00085A1A">
        <w:rPr>
          <w:rFonts w:ascii="Arial" w:hAnsi="Arial" w:cs="Arial"/>
          <w:color w:val="363636"/>
          <w:shd w:val="clear" w:color="auto" w:fill="FFFFFF"/>
        </w:rPr>
        <w:t xml:space="preserve">Von 1991 auf 1992 ist der </w:t>
      </w:r>
      <w:r w:rsidR="00F40C50" w:rsidRPr="00085A1A">
        <w:rPr>
          <w:rFonts w:ascii="Arial" w:hAnsi="Arial" w:cs="Arial"/>
          <w:color w:val="363636"/>
          <w:shd w:val="clear" w:color="auto" w:fill="FFFFFF"/>
        </w:rPr>
        <w:t xml:space="preserve">Reallohnindex </w:t>
      </w:r>
      <w:r w:rsidRPr="00085A1A">
        <w:rPr>
          <w:rFonts w:ascii="Arial" w:hAnsi="Arial" w:cs="Arial"/>
          <w:color w:val="363636"/>
          <w:shd w:val="clear" w:color="auto" w:fill="FFFFFF"/>
        </w:rPr>
        <w:t xml:space="preserve">sprunghaft von 93,3 auf 98,0 gestiegen. </w:t>
      </w:r>
      <w:r w:rsidR="00E728BA">
        <w:rPr>
          <w:rFonts w:ascii="Arial" w:hAnsi="Arial" w:cs="Arial"/>
          <w:color w:val="363636"/>
          <w:shd w:val="clear" w:color="auto" w:fill="FFFFFF"/>
        </w:rPr>
        <w:t>In den Folgejahren b</w:t>
      </w:r>
      <w:r w:rsidRPr="00085A1A">
        <w:rPr>
          <w:rFonts w:ascii="Arial" w:hAnsi="Arial" w:cs="Arial"/>
          <w:color w:val="363636"/>
          <w:shd w:val="clear" w:color="auto" w:fill="FFFFFF"/>
        </w:rPr>
        <w:t xml:space="preserve">is 2003 </w:t>
      </w:r>
      <w:r w:rsidR="00F40C50" w:rsidRPr="00085A1A">
        <w:rPr>
          <w:rFonts w:ascii="Arial" w:hAnsi="Arial" w:cs="Arial"/>
          <w:color w:val="363636"/>
          <w:shd w:val="clear" w:color="auto" w:fill="FFFFFF"/>
        </w:rPr>
        <w:t>verändert</w:t>
      </w:r>
      <w:r w:rsidRPr="00085A1A">
        <w:rPr>
          <w:rFonts w:ascii="Arial" w:hAnsi="Arial" w:cs="Arial"/>
          <w:color w:val="363636"/>
          <w:shd w:val="clear" w:color="auto" w:fill="FFFFFF"/>
        </w:rPr>
        <w:t xml:space="preserve">e sich der Wert nur wenig – die Steigerung der Bruttomonatsverdienste wurde also </w:t>
      </w:r>
      <w:r w:rsidR="00085A1A" w:rsidRPr="00085A1A">
        <w:rPr>
          <w:rFonts w:ascii="Arial" w:hAnsi="Arial" w:cs="Arial"/>
          <w:color w:val="363636"/>
          <w:shd w:val="clear" w:color="auto" w:fill="FFFFFF"/>
        </w:rPr>
        <w:t xml:space="preserve">insgesamt </w:t>
      </w:r>
      <w:r w:rsidRPr="00085A1A">
        <w:rPr>
          <w:rFonts w:ascii="Arial" w:hAnsi="Arial" w:cs="Arial"/>
          <w:color w:val="363636"/>
          <w:shd w:val="clear" w:color="auto" w:fill="FFFFFF"/>
        </w:rPr>
        <w:t>durch die Steigerung der Verbraucherpreise aufgehoben.</w:t>
      </w:r>
      <w:r w:rsidR="00085A1A" w:rsidRPr="00085A1A">
        <w:rPr>
          <w:rFonts w:ascii="Arial" w:hAnsi="Arial" w:cs="Arial"/>
          <w:color w:val="363636"/>
          <w:shd w:val="clear" w:color="auto" w:fill="FFFFFF"/>
        </w:rPr>
        <w:t xml:space="preserve"> </w:t>
      </w:r>
      <w:r w:rsidRPr="00085A1A">
        <w:rPr>
          <w:rFonts w:ascii="Arial" w:hAnsi="Arial" w:cs="Arial"/>
          <w:color w:val="363636"/>
          <w:shd w:val="clear" w:color="auto" w:fill="FFFFFF"/>
        </w:rPr>
        <w:t xml:space="preserve">Zwischen 2003 und 2007 sank der Reallohnindex von 96,8 auf 93,1 </w:t>
      </w:r>
      <w:r w:rsidR="00F40C50" w:rsidRPr="00085A1A">
        <w:rPr>
          <w:rFonts w:ascii="Arial" w:hAnsi="Arial" w:cs="Arial"/>
          <w:color w:val="363636"/>
          <w:shd w:val="clear" w:color="auto" w:fill="FFFFFF"/>
        </w:rPr>
        <w:t xml:space="preserve">– </w:t>
      </w:r>
      <w:r w:rsidR="00085A1A" w:rsidRPr="00085A1A">
        <w:rPr>
          <w:rFonts w:ascii="Arial" w:hAnsi="Arial" w:cs="Arial"/>
          <w:color w:val="363636"/>
          <w:shd w:val="clear" w:color="auto" w:fill="FFFFFF"/>
        </w:rPr>
        <w:t xml:space="preserve">ein Rückgang von </w:t>
      </w:r>
      <w:r w:rsidR="00544873">
        <w:rPr>
          <w:rFonts w:ascii="Arial" w:hAnsi="Arial" w:cs="Arial"/>
          <w:color w:val="363636"/>
          <w:shd w:val="clear" w:color="auto" w:fill="FFFFFF"/>
        </w:rPr>
        <w:t>1,0</w:t>
      </w:r>
      <w:r w:rsidR="00085A1A" w:rsidRPr="00085A1A">
        <w:rPr>
          <w:rFonts w:ascii="Arial" w:hAnsi="Arial" w:cs="Arial"/>
          <w:color w:val="363636"/>
          <w:shd w:val="clear" w:color="auto" w:fill="FFFFFF"/>
        </w:rPr>
        <w:t xml:space="preserve"> Prozent</w:t>
      </w:r>
      <w:r w:rsidR="00544873">
        <w:rPr>
          <w:rFonts w:ascii="Arial" w:hAnsi="Arial" w:cs="Arial"/>
          <w:color w:val="363636"/>
          <w:shd w:val="clear" w:color="auto" w:fill="FFFFFF"/>
        </w:rPr>
        <w:t xml:space="preserve"> pro Jahr</w:t>
      </w:r>
      <w:r w:rsidR="00085A1A" w:rsidRPr="00085A1A">
        <w:rPr>
          <w:rFonts w:ascii="Arial" w:hAnsi="Arial" w:cs="Arial"/>
          <w:color w:val="363636"/>
          <w:shd w:val="clear" w:color="auto" w:fill="FFFFFF"/>
        </w:rPr>
        <w:t>. Z</w:t>
      </w:r>
      <w:r w:rsidRPr="00085A1A">
        <w:rPr>
          <w:rFonts w:ascii="Arial" w:hAnsi="Arial" w:cs="Arial"/>
          <w:color w:val="363636"/>
          <w:shd w:val="clear" w:color="auto" w:fill="FFFFFF"/>
        </w:rPr>
        <w:t xml:space="preserve">war stiegen auch in dieser Zeit die </w:t>
      </w:r>
      <w:r w:rsidR="00085A1A" w:rsidRPr="00085A1A">
        <w:rPr>
          <w:rFonts w:ascii="Arial" w:hAnsi="Arial" w:cs="Arial"/>
          <w:color w:val="363636"/>
          <w:shd w:val="clear" w:color="auto" w:fill="FFFFFF"/>
        </w:rPr>
        <w:t>Bruttov</w:t>
      </w:r>
      <w:r w:rsidRPr="00085A1A">
        <w:rPr>
          <w:rFonts w:ascii="Arial" w:hAnsi="Arial" w:cs="Arial"/>
          <w:color w:val="363636"/>
          <w:shd w:val="clear" w:color="auto" w:fill="FFFFFF"/>
        </w:rPr>
        <w:t>erdienste, jedoch erhöhten sich die Verbraucherpreise</w:t>
      </w:r>
      <w:r w:rsidR="00E728BA">
        <w:rPr>
          <w:rFonts w:ascii="Arial" w:hAnsi="Arial" w:cs="Arial"/>
          <w:color w:val="363636"/>
          <w:shd w:val="clear" w:color="auto" w:fill="FFFFFF"/>
        </w:rPr>
        <w:t xml:space="preserve"> noch stärker</w:t>
      </w:r>
      <w:r w:rsidRPr="00085A1A">
        <w:rPr>
          <w:rFonts w:ascii="Arial" w:hAnsi="Arial" w:cs="Arial"/>
          <w:color w:val="363636"/>
          <w:shd w:val="clear" w:color="auto" w:fill="FFFFFF"/>
        </w:rPr>
        <w:t>.</w:t>
      </w:r>
      <w:r w:rsidR="00085A1A" w:rsidRPr="00085A1A">
        <w:rPr>
          <w:rFonts w:ascii="Arial" w:hAnsi="Arial" w:cs="Arial"/>
          <w:color w:val="363636"/>
          <w:shd w:val="clear" w:color="auto" w:fill="FFFFFF"/>
        </w:rPr>
        <w:t xml:space="preserve"> Z</w:t>
      </w:r>
      <w:r w:rsidR="00F40C50" w:rsidRPr="00085A1A">
        <w:rPr>
          <w:rFonts w:ascii="Arial" w:hAnsi="Arial" w:cs="Arial"/>
          <w:color w:val="363636"/>
          <w:shd w:val="clear" w:color="auto" w:fill="FFFFFF"/>
        </w:rPr>
        <w:t xml:space="preserve">wischen </w:t>
      </w:r>
      <w:r w:rsidR="00085A1A" w:rsidRPr="00085A1A">
        <w:rPr>
          <w:rFonts w:ascii="Arial" w:hAnsi="Arial" w:cs="Arial"/>
          <w:color w:val="363636"/>
          <w:shd w:val="clear" w:color="auto" w:fill="FFFFFF"/>
        </w:rPr>
        <w:t>2007</w:t>
      </w:r>
      <w:r w:rsidR="00F40C50" w:rsidRPr="00085A1A">
        <w:rPr>
          <w:rFonts w:ascii="Arial" w:hAnsi="Arial" w:cs="Arial"/>
          <w:color w:val="363636"/>
          <w:shd w:val="clear" w:color="auto" w:fill="FFFFFF"/>
        </w:rPr>
        <w:t xml:space="preserve"> und 201</w:t>
      </w:r>
      <w:r w:rsidR="00085A1A" w:rsidRPr="00085A1A">
        <w:rPr>
          <w:rFonts w:ascii="Arial" w:hAnsi="Arial" w:cs="Arial"/>
          <w:color w:val="363636"/>
          <w:shd w:val="clear" w:color="auto" w:fill="FFFFFF"/>
        </w:rPr>
        <w:t>9</w:t>
      </w:r>
      <w:r w:rsidR="00F40C50" w:rsidRPr="00085A1A">
        <w:rPr>
          <w:rFonts w:ascii="Arial" w:hAnsi="Arial" w:cs="Arial"/>
          <w:color w:val="363636"/>
          <w:shd w:val="clear" w:color="auto" w:fill="FFFFFF"/>
        </w:rPr>
        <w:t xml:space="preserve"> stieg der </w:t>
      </w:r>
      <w:r w:rsidR="00085A1A" w:rsidRPr="00085A1A">
        <w:rPr>
          <w:rFonts w:ascii="Arial" w:hAnsi="Arial" w:cs="Arial"/>
          <w:color w:val="363636"/>
          <w:shd w:val="clear" w:color="auto" w:fill="FFFFFF"/>
        </w:rPr>
        <w:t xml:space="preserve">Reallohnindex stetig </w:t>
      </w:r>
      <w:r w:rsidR="00F40C50" w:rsidRPr="00085A1A">
        <w:rPr>
          <w:rFonts w:ascii="Arial" w:hAnsi="Arial" w:cs="Arial"/>
          <w:color w:val="363636"/>
          <w:shd w:val="clear" w:color="auto" w:fill="FFFFFF"/>
        </w:rPr>
        <w:t>von 9</w:t>
      </w:r>
      <w:r w:rsidR="00085A1A" w:rsidRPr="00085A1A">
        <w:rPr>
          <w:rFonts w:ascii="Arial" w:hAnsi="Arial" w:cs="Arial"/>
          <w:color w:val="363636"/>
          <w:shd w:val="clear" w:color="auto" w:fill="FFFFFF"/>
        </w:rPr>
        <w:t>3</w:t>
      </w:r>
      <w:r w:rsidR="00F40C50" w:rsidRPr="00085A1A">
        <w:rPr>
          <w:rFonts w:ascii="Arial" w:hAnsi="Arial" w:cs="Arial"/>
          <w:color w:val="363636"/>
          <w:shd w:val="clear" w:color="auto" w:fill="FFFFFF"/>
        </w:rPr>
        <w:t>,</w:t>
      </w:r>
      <w:r w:rsidR="00085A1A" w:rsidRPr="00085A1A">
        <w:rPr>
          <w:rFonts w:ascii="Arial" w:hAnsi="Arial" w:cs="Arial"/>
          <w:color w:val="363636"/>
          <w:shd w:val="clear" w:color="auto" w:fill="FFFFFF"/>
        </w:rPr>
        <w:t>1</w:t>
      </w:r>
      <w:r w:rsidR="00F40C50" w:rsidRPr="00085A1A">
        <w:rPr>
          <w:rFonts w:ascii="Arial" w:hAnsi="Arial" w:cs="Arial"/>
          <w:color w:val="363636"/>
          <w:shd w:val="clear" w:color="auto" w:fill="FFFFFF"/>
        </w:rPr>
        <w:t xml:space="preserve"> auf 10</w:t>
      </w:r>
      <w:r w:rsidR="00085A1A" w:rsidRPr="00085A1A">
        <w:rPr>
          <w:rFonts w:ascii="Arial" w:hAnsi="Arial" w:cs="Arial"/>
          <w:color w:val="363636"/>
          <w:shd w:val="clear" w:color="auto" w:fill="FFFFFF"/>
        </w:rPr>
        <w:t>5</w:t>
      </w:r>
      <w:r w:rsidR="00F40C50" w:rsidRPr="00085A1A">
        <w:rPr>
          <w:rFonts w:ascii="Arial" w:hAnsi="Arial" w:cs="Arial"/>
          <w:color w:val="363636"/>
          <w:shd w:val="clear" w:color="auto" w:fill="FFFFFF"/>
        </w:rPr>
        <w:t>,</w:t>
      </w:r>
      <w:r w:rsidR="00085A1A" w:rsidRPr="00085A1A">
        <w:rPr>
          <w:rFonts w:ascii="Arial" w:hAnsi="Arial" w:cs="Arial"/>
          <w:color w:val="363636"/>
          <w:shd w:val="clear" w:color="auto" w:fill="FFFFFF"/>
        </w:rPr>
        <w:t>3</w:t>
      </w:r>
      <w:r w:rsidR="00544873">
        <w:rPr>
          <w:rFonts w:ascii="Arial" w:hAnsi="Arial" w:cs="Arial"/>
          <w:color w:val="363636"/>
          <w:shd w:val="clear" w:color="auto" w:fill="FFFFFF"/>
        </w:rPr>
        <w:t xml:space="preserve"> </w:t>
      </w:r>
      <w:r w:rsidR="00544873" w:rsidRPr="00085A1A">
        <w:rPr>
          <w:rFonts w:ascii="Arial" w:hAnsi="Arial" w:cs="Arial"/>
          <w:color w:val="363636"/>
          <w:shd w:val="clear" w:color="auto" w:fill="FFFFFF"/>
        </w:rPr>
        <w:t xml:space="preserve">– </w:t>
      </w:r>
      <w:r w:rsidR="00544873">
        <w:rPr>
          <w:rFonts w:ascii="Arial" w:hAnsi="Arial" w:cs="Arial"/>
          <w:color w:val="363636"/>
          <w:shd w:val="clear" w:color="auto" w:fill="FFFFFF"/>
        </w:rPr>
        <w:t xml:space="preserve">das entspricht einem Zuwachs </w:t>
      </w:r>
      <w:r w:rsidR="00544873" w:rsidRPr="00085A1A">
        <w:rPr>
          <w:rFonts w:ascii="Arial" w:hAnsi="Arial" w:cs="Arial"/>
          <w:color w:val="363636"/>
          <w:shd w:val="clear" w:color="auto" w:fill="FFFFFF"/>
        </w:rPr>
        <w:t xml:space="preserve">von </w:t>
      </w:r>
      <w:r w:rsidR="00544873">
        <w:rPr>
          <w:rFonts w:ascii="Arial" w:hAnsi="Arial" w:cs="Arial"/>
          <w:color w:val="363636"/>
          <w:shd w:val="clear" w:color="auto" w:fill="FFFFFF"/>
        </w:rPr>
        <w:t>1,0</w:t>
      </w:r>
      <w:r w:rsidR="00544873" w:rsidRPr="00085A1A">
        <w:rPr>
          <w:rFonts w:ascii="Arial" w:hAnsi="Arial" w:cs="Arial"/>
          <w:color w:val="363636"/>
          <w:shd w:val="clear" w:color="auto" w:fill="FFFFFF"/>
        </w:rPr>
        <w:t xml:space="preserve"> Prozent</w:t>
      </w:r>
      <w:r w:rsidR="00544873">
        <w:rPr>
          <w:rFonts w:ascii="Arial" w:hAnsi="Arial" w:cs="Arial"/>
          <w:color w:val="363636"/>
          <w:shd w:val="clear" w:color="auto" w:fill="FFFFFF"/>
        </w:rPr>
        <w:t xml:space="preserve"> pro Jahr</w:t>
      </w:r>
      <w:r w:rsidR="00F40C50" w:rsidRPr="00085A1A">
        <w:rPr>
          <w:rFonts w:ascii="Arial" w:hAnsi="Arial" w:cs="Arial"/>
          <w:color w:val="363636"/>
          <w:shd w:val="clear" w:color="auto" w:fill="FFFFFF"/>
        </w:rPr>
        <w:t>.</w:t>
      </w:r>
    </w:p>
    <w:p w:rsidR="007762CB" w:rsidRDefault="007762CB" w:rsidP="00CA38DC">
      <w:pPr>
        <w:rPr>
          <w:rFonts w:ascii="Arial" w:hAnsi="Arial" w:cs="Arial"/>
          <w:color w:val="363636"/>
          <w:shd w:val="clear" w:color="auto" w:fill="FFFFFF"/>
        </w:rPr>
      </w:pPr>
    </w:p>
    <w:p w:rsidR="00F21CD2" w:rsidRDefault="00F40C50" w:rsidP="00CA38DC">
      <w:pPr>
        <w:rPr>
          <w:rFonts w:ascii="Arial" w:hAnsi="Arial" w:cs="Arial"/>
          <w:color w:val="363636"/>
          <w:shd w:val="clear" w:color="auto" w:fill="FFFFFF"/>
        </w:rPr>
      </w:pPr>
      <w:r w:rsidRPr="00F21CD2">
        <w:rPr>
          <w:rFonts w:ascii="Arial" w:hAnsi="Arial" w:cs="Arial"/>
          <w:color w:val="363636"/>
          <w:shd w:val="clear" w:color="auto" w:fill="FFFFFF"/>
        </w:rPr>
        <w:t>Die nominalen Bruttomonatsverdienste aller Arbeitnehmer stiegen zwischen 2007 und 201</w:t>
      </w:r>
      <w:r w:rsidR="00EC5B05" w:rsidRPr="00F21CD2">
        <w:rPr>
          <w:rFonts w:ascii="Arial" w:hAnsi="Arial" w:cs="Arial"/>
          <w:color w:val="363636"/>
          <w:shd w:val="clear" w:color="auto" w:fill="FFFFFF"/>
        </w:rPr>
        <w:t>9</w:t>
      </w:r>
      <w:r w:rsidRPr="00F21CD2">
        <w:rPr>
          <w:rFonts w:ascii="Arial" w:hAnsi="Arial" w:cs="Arial"/>
          <w:color w:val="363636"/>
          <w:shd w:val="clear" w:color="auto" w:fill="FFFFFF"/>
        </w:rPr>
        <w:t xml:space="preserve"> im Durchschnitt um </w:t>
      </w:r>
      <w:r w:rsidR="00EC5B05" w:rsidRPr="00F21CD2">
        <w:rPr>
          <w:rFonts w:ascii="Arial" w:hAnsi="Arial" w:cs="Arial"/>
          <w:color w:val="363636"/>
          <w:shd w:val="clear" w:color="auto" w:fill="FFFFFF"/>
        </w:rPr>
        <w:t>33,0</w:t>
      </w:r>
      <w:r w:rsidRPr="00F21CD2">
        <w:rPr>
          <w:rFonts w:ascii="Arial" w:hAnsi="Arial" w:cs="Arial"/>
          <w:color w:val="363636"/>
          <w:shd w:val="clear" w:color="auto" w:fill="FFFFFF"/>
        </w:rPr>
        <w:t xml:space="preserve"> Prozent. Allerdings bestehen Unterschiede zwischen den einzelnen Arbeitnehmergruppen. Beispielsweise sind die nominalen Bruttomonatsverdienste für Arbeitnehmer in leitender Stellung </w:t>
      </w:r>
      <w:r w:rsidR="00EC5B05" w:rsidRPr="00F21CD2">
        <w:rPr>
          <w:rFonts w:ascii="Arial" w:hAnsi="Arial" w:cs="Arial"/>
          <w:color w:val="363636"/>
          <w:shd w:val="clear" w:color="auto" w:fill="FFFFFF"/>
        </w:rPr>
        <w:t>überdurchschnittlich stark gestiegen</w:t>
      </w:r>
      <w:r w:rsidRPr="00F21CD2">
        <w:rPr>
          <w:rFonts w:ascii="Arial" w:hAnsi="Arial" w:cs="Arial"/>
          <w:color w:val="363636"/>
          <w:shd w:val="clear" w:color="auto" w:fill="FFFFFF"/>
        </w:rPr>
        <w:t xml:space="preserve"> </w:t>
      </w:r>
      <w:r w:rsidR="003429FE" w:rsidRPr="00F21CD2">
        <w:rPr>
          <w:rFonts w:ascii="Arial" w:hAnsi="Arial" w:cs="Arial"/>
          <w:color w:val="363636"/>
          <w:shd w:val="clear" w:color="auto" w:fill="FFFFFF"/>
        </w:rPr>
        <w:t xml:space="preserve">(plus 40,3 Prozent). Die Entwicklung bei ungelernten Arbeitnehmern (plus 34,1 Prozent) und </w:t>
      </w:r>
      <w:r w:rsidRPr="00F21CD2">
        <w:rPr>
          <w:rFonts w:ascii="Arial" w:hAnsi="Arial" w:cs="Arial"/>
          <w:color w:val="363636"/>
          <w:shd w:val="clear" w:color="auto" w:fill="FFFFFF"/>
        </w:rPr>
        <w:t>herausgehobene</w:t>
      </w:r>
      <w:r w:rsidR="003429FE" w:rsidRPr="00F21CD2">
        <w:rPr>
          <w:rFonts w:ascii="Arial" w:hAnsi="Arial" w:cs="Arial"/>
          <w:color w:val="363636"/>
          <w:shd w:val="clear" w:color="auto" w:fill="FFFFFF"/>
        </w:rPr>
        <w:t>n</w:t>
      </w:r>
      <w:r w:rsidRPr="00F21CD2">
        <w:rPr>
          <w:rFonts w:ascii="Arial" w:hAnsi="Arial" w:cs="Arial"/>
          <w:color w:val="363636"/>
          <w:shd w:val="clear" w:color="auto" w:fill="FFFFFF"/>
        </w:rPr>
        <w:t xml:space="preserve"> Fachkräfte</w:t>
      </w:r>
      <w:r w:rsidR="003429FE" w:rsidRPr="00F21CD2">
        <w:rPr>
          <w:rFonts w:ascii="Arial" w:hAnsi="Arial" w:cs="Arial"/>
          <w:color w:val="363636"/>
          <w:shd w:val="clear" w:color="auto" w:fill="FFFFFF"/>
        </w:rPr>
        <w:t>n</w:t>
      </w:r>
      <w:r w:rsidRPr="00F21CD2">
        <w:rPr>
          <w:rFonts w:ascii="Arial" w:hAnsi="Arial" w:cs="Arial"/>
          <w:color w:val="363636"/>
          <w:shd w:val="clear" w:color="auto" w:fill="FFFFFF"/>
        </w:rPr>
        <w:t xml:space="preserve"> (plus </w:t>
      </w:r>
      <w:r w:rsidR="00EC5B05" w:rsidRPr="00F21CD2">
        <w:rPr>
          <w:rFonts w:ascii="Arial" w:hAnsi="Arial" w:cs="Arial"/>
          <w:color w:val="363636"/>
          <w:shd w:val="clear" w:color="auto" w:fill="FFFFFF"/>
        </w:rPr>
        <w:t>3</w:t>
      </w:r>
      <w:r w:rsidRPr="00F21CD2">
        <w:rPr>
          <w:rFonts w:ascii="Arial" w:hAnsi="Arial" w:cs="Arial"/>
          <w:color w:val="363636"/>
          <w:shd w:val="clear" w:color="auto" w:fill="FFFFFF"/>
        </w:rPr>
        <w:t>2,</w:t>
      </w:r>
      <w:r w:rsidR="00EC5B05" w:rsidRPr="00F21CD2">
        <w:rPr>
          <w:rFonts w:ascii="Arial" w:hAnsi="Arial" w:cs="Arial"/>
          <w:color w:val="363636"/>
          <w:shd w:val="clear" w:color="auto" w:fill="FFFFFF"/>
        </w:rPr>
        <w:t>7</w:t>
      </w:r>
      <w:r w:rsidRPr="00F21CD2">
        <w:rPr>
          <w:rFonts w:ascii="Arial" w:hAnsi="Arial" w:cs="Arial"/>
          <w:color w:val="363636"/>
          <w:shd w:val="clear" w:color="auto" w:fill="FFFFFF"/>
        </w:rPr>
        <w:t xml:space="preserve"> Prozent)</w:t>
      </w:r>
      <w:r w:rsidR="003429FE" w:rsidRPr="00F21CD2">
        <w:rPr>
          <w:rFonts w:ascii="Arial" w:hAnsi="Arial" w:cs="Arial"/>
          <w:color w:val="363636"/>
          <w:shd w:val="clear" w:color="auto" w:fill="FFFFFF"/>
        </w:rPr>
        <w:t xml:space="preserve"> entsprach etwa dem Durchschnitt. Fachkräfte (plus 30,2 Prozent) sowie a</w:t>
      </w:r>
      <w:r w:rsidRPr="00F21CD2">
        <w:rPr>
          <w:rFonts w:ascii="Arial" w:hAnsi="Arial" w:cs="Arial"/>
          <w:color w:val="363636"/>
          <w:shd w:val="clear" w:color="auto" w:fill="FFFFFF"/>
        </w:rPr>
        <w:t xml:space="preserve">ngelernte Arbeitnehmer (plus </w:t>
      </w:r>
      <w:r w:rsidR="003429FE" w:rsidRPr="00F21CD2">
        <w:rPr>
          <w:rFonts w:ascii="Arial" w:hAnsi="Arial" w:cs="Arial"/>
          <w:color w:val="363636"/>
          <w:shd w:val="clear" w:color="auto" w:fill="FFFFFF"/>
        </w:rPr>
        <w:t>28</w:t>
      </w:r>
      <w:r w:rsidRPr="00F21CD2">
        <w:rPr>
          <w:rFonts w:ascii="Arial" w:hAnsi="Arial" w:cs="Arial"/>
          <w:color w:val="363636"/>
          <w:shd w:val="clear" w:color="auto" w:fill="FFFFFF"/>
        </w:rPr>
        <w:t>,</w:t>
      </w:r>
      <w:r w:rsidR="003429FE" w:rsidRPr="00F21CD2">
        <w:rPr>
          <w:rFonts w:ascii="Arial" w:hAnsi="Arial" w:cs="Arial"/>
          <w:color w:val="363636"/>
          <w:shd w:val="clear" w:color="auto" w:fill="FFFFFF"/>
        </w:rPr>
        <w:t>8</w:t>
      </w:r>
      <w:r w:rsidRPr="00F21CD2">
        <w:rPr>
          <w:rFonts w:ascii="Arial" w:hAnsi="Arial" w:cs="Arial"/>
          <w:color w:val="363636"/>
          <w:shd w:val="clear" w:color="auto" w:fill="FFFFFF"/>
        </w:rPr>
        <w:t xml:space="preserve"> Prozent) konnten zwar auch die Steigerung der Verbraucherpreise (plus </w:t>
      </w:r>
      <w:r w:rsidR="003429FE" w:rsidRPr="00F21CD2">
        <w:rPr>
          <w:rFonts w:ascii="Arial" w:hAnsi="Arial" w:cs="Arial"/>
          <w:color w:val="363636"/>
          <w:shd w:val="clear" w:color="auto" w:fill="FFFFFF"/>
        </w:rPr>
        <w:t>17,5</w:t>
      </w:r>
      <w:r w:rsidRPr="00F21CD2">
        <w:rPr>
          <w:rFonts w:ascii="Arial" w:hAnsi="Arial" w:cs="Arial"/>
          <w:color w:val="363636"/>
          <w:shd w:val="clear" w:color="auto" w:fill="FFFFFF"/>
        </w:rPr>
        <w:t xml:space="preserve"> Prozent) kompensieren, die Verdienste nahmen </w:t>
      </w:r>
      <w:r w:rsidR="00F21CD2">
        <w:rPr>
          <w:rFonts w:ascii="Arial" w:hAnsi="Arial" w:cs="Arial"/>
          <w:color w:val="363636"/>
          <w:shd w:val="clear" w:color="auto" w:fill="FFFFFF"/>
        </w:rPr>
        <w:t xml:space="preserve">dabei </w:t>
      </w:r>
      <w:r w:rsidRPr="00F21CD2">
        <w:rPr>
          <w:rFonts w:ascii="Arial" w:hAnsi="Arial" w:cs="Arial"/>
          <w:color w:val="363636"/>
          <w:shd w:val="clear" w:color="auto" w:fill="FFFFFF"/>
        </w:rPr>
        <w:t>aber nur unterdurchschnittlich zu.</w:t>
      </w:r>
    </w:p>
    <w:p w:rsidR="007762CB" w:rsidRDefault="007762CB" w:rsidP="00CA38DC">
      <w:pPr>
        <w:rPr>
          <w:rFonts w:ascii="Arial" w:hAnsi="Arial" w:cs="Arial"/>
          <w:color w:val="363636"/>
          <w:shd w:val="clear" w:color="auto" w:fill="FFFFFF"/>
        </w:rPr>
      </w:pPr>
    </w:p>
    <w:p w:rsidR="007762CB" w:rsidRDefault="00F40C50" w:rsidP="00EC5B05">
      <w:pPr>
        <w:rPr>
          <w:rFonts w:ascii="Arial" w:hAnsi="Arial" w:cs="Arial"/>
          <w:color w:val="363636"/>
          <w:shd w:val="clear" w:color="auto" w:fill="FFFFFF"/>
        </w:rPr>
      </w:pPr>
      <w:r w:rsidRPr="00F21CD2">
        <w:rPr>
          <w:rFonts w:ascii="Arial" w:hAnsi="Arial" w:cs="Arial"/>
          <w:color w:val="363636"/>
          <w:shd w:val="clear" w:color="auto" w:fill="FFFFFF"/>
        </w:rPr>
        <w:t xml:space="preserve">Nicht nur die </w:t>
      </w:r>
      <w:r w:rsidR="00B84EDC">
        <w:rPr>
          <w:rFonts w:ascii="Arial" w:hAnsi="Arial" w:cs="Arial"/>
          <w:color w:val="363636"/>
          <w:shd w:val="clear" w:color="auto" w:fill="FFFFFF"/>
        </w:rPr>
        <w:t>V</w:t>
      </w:r>
      <w:r w:rsidRPr="00F21CD2">
        <w:rPr>
          <w:rFonts w:ascii="Arial" w:hAnsi="Arial" w:cs="Arial"/>
          <w:color w:val="363636"/>
          <w:shd w:val="clear" w:color="auto" w:fill="FFFFFF"/>
        </w:rPr>
        <w:t xml:space="preserve">erdienste der einzelnen Arbeitnehmergruppen haben sich unterschiedlich entwickelt. </w:t>
      </w:r>
      <w:r w:rsidR="00B84EDC">
        <w:rPr>
          <w:rFonts w:ascii="Arial" w:hAnsi="Arial" w:cs="Arial"/>
          <w:color w:val="363636"/>
          <w:shd w:val="clear" w:color="auto" w:fill="FFFFFF"/>
        </w:rPr>
        <w:t xml:space="preserve">Im </w:t>
      </w:r>
      <w:r w:rsidRPr="00F21CD2">
        <w:rPr>
          <w:rFonts w:ascii="Arial" w:hAnsi="Arial" w:cs="Arial"/>
          <w:color w:val="363636"/>
          <w:shd w:val="clear" w:color="auto" w:fill="FFFFFF"/>
        </w:rPr>
        <w:t>Zeitraum 2007 bis 20</w:t>
      </w:r>
      <w:r w:rsidR="007E5FDC" w:rsidRPr="00F21CD2">
        <w:rPr>
          <w:rFonts w:ascii="Arial" w:hAnsi="Arial" w:cs="Arial"/>
          <w:color w:val="363636"/>
          <w:shd w:val="clear" w:color="auto" w:fill="FFFFFF"/>
        </w:rPr>
        <w:t>19</w:t>
      </w:r>
      <w:r w:rsidRPr="00F21CD2">
        <w:rPr>
          <w:rFonts w:ascii="Arial" w:hAnsi="Arial" w:cs="Arial"/>
          <w:color w:val="363636"/>
          <w:shd w:val="clear" w:color="auto" w:fill="FFFFFF"/>
        </w:rPr>
        <w:t xml:space="preserve"> </w:t>
      </w:r>
      <w:r w:rsidR="00B84EDC">
        <w:rPr>
          <w:rFonts w:ascii="Arial" w:hAnsi="Arial" w:cs="Arial"/>
          <w:color w:val="363636"/>
          <w:shd w:val="clear" w:color="auto" w:fill="FFFFFF"/>
        </w:rPr>
        <w:t xml:space="preserve">stiegen die </w:t>
      </w:r>
      <w:r w:rsidR="00B84EDC" w:rsidRPr="00F21CD2">
        <w:rPr>
          <w:rFonts w:ascii="Arial" w:hAnsi="Arial" w:cs="Arial"/>
          <w:color w:val="363636"/>
          <w:shd w:val="clear" w:color="auto" w:fill="FFFFFF"/>
        </w:rPr>
        <w:t>nominalen Bruttomonatsverdienste</w:t>
      </w:r>
      <w:r w:rsidR="00B84EDC">
        <w:rPr>
          <w:rFonts w:ascii="Arial" w:hAnsi="Arial" w:cs="Arial"/>
          <w:color w:val="363636"/>
          <w:shd w:val="clear" w:color="auto" w:fill="FFFFFF"/>
        </w:rPr>
        <w:t xml:space="preserve"> in Ostdeutschland stärker als in Westdeutschland </w:t>
      </w:r>
      <w:r w:rsidR="00B84EDC" w:rsidRPr="00F21CD2">
        <w:rPr>
          <w:rFonts w:ascii="Arial" w:hAnsi="Arial" w:cs="Arial"/>
          <w:color w:val="363636"/>
          <w:shd w:val="clear" w:color="auto" w:fill="FFFFFF"/>
        </w:rPr>
        <w:t xml:space="preserve">(41,0 </w:t>
      </w:r>
      <w:r w:rsidR="00B84EDC">
        <w:rPr>
          <w:rFonts w:ascii="Arial" w:hAnsi="Arial" w:cs="Arial"/>
          <w:color w:val="363636"/>
          <w:shd w:val="clear" w:color="auto" w:fill="FFFFFF"/>
        </w:rPr>
        <w:t>gegenüber 32,1</w:t>
      </w:r>
      <w:r w:rsidR="00B84EDC" w:rsidRPr="00F21CD2">
        <w:rPr>
          <w:rFonts w:ascii="Arial" w:hAnsi="Arial" w:cs="Arial"/>
          <w:color w:val="363636"/>
          <w:shd w:val="clear" w:color="auto" w:fill="FFFFFF"/>
        </w:rPr>
        <w:t xml:space="preserve"> Prozent)</w:t>
      </w:r>
      <w:r w:rsidR="00B84EDC">
        <w:rPr>
          <w:rFonts w:ascii="Arial" w:hAnsi="Arial" w:cs="Arial"/>
          <w:color w:val="363636"/>
          <w:shd w:val="clear" w:color="auto" w:fill="FFFFFF"/>
        </w:rPr>
        <w:t xml:space="preserve"> und die der Frauen stärker als die der Männer (</w:t>
      </w:r>
      <w:r w:rsidR="00B84EDC" w:rsidRPr="00F21CD2">
        <w:rPr>
          <w:rFonts w:ascii="Arial" w:hAnsi="Arial" w:cs="Arial"/>
          <w:color w:val="363636"/>
          <w:shd w:val="clear" w:color="auto" w:fill="FFFFFF"/>
        </w:rPr>
        <w:t xml:space="preserve">36,0 </w:t>
      </w:r>
      <w:r w:rsidR="00B84EDC">
        <w:rPr>
          <w:rFonts w:ascii="Arial" w:hAnsi="Arial" w:cs="Arial"/>
          <w:color w:val="363636"/>
          <w:shd w:val="clear" w:color="auto" w:fill="FFFFFF"/>
        </w:rPr>
        <w:t xml:space="preserve">gegenüber </w:t>
      </w:r>
      <w:r w:rsidR="00B84EDC" w:rsidRPr="00F21CD2">
        <w:rPr>
          <w:rFonts w:ascii="Arial" w:hAnsi="Arial" w:cs="Arial"/>
          <w:color w:val="363636"/>
          <w:shd w:val="clear" w:color="auto" w:fill="FFFFFF"/>
        </w:rPr>
        <w:t>31,4</w:t>
      </w:r>
      <w:r w:rsidR="00B84EDC">
        <w:rPr>
          <w:rFonts w:ascii="Arial" w:hAnsi="Arial" w:cs="Arial"/>
          <w:color w:val="363636"/>
          <w:shd w:val="clear" w:color="auto" w:fill="FFFFFF"/>
        </w:rPr>
        <w:t xml:space="preserve"> Prozent</w:t>
      </w:r>
      <w:r w:rsidR="00B84EDC" w:rsidRPr="00F21CD2">
        <w:rPr>
          <w:rFonts w:ascii="Arial" w:hAnsi="Arial" w:cs="Arial"/>
          <w:color w:val="363636"/>
          <w:shd w:val="clear" w:color="auto" w:fill="FFFFFF"/>
        </w:rPr>
        <w:t>)</w:t>
      </w:r>
      <w:r w:rsidR="00B84EDC">
        <w:rPr>
          <w:rFonts w:ascii="Arial" w:hAnsi="Arial" w:cs="Arial"/>
          <w:color w:val="363636"/>
          <w:shd w:val="clear" w:color="auto" w:fill="FFFFFF"/>
        </w:rPr>
        <w:t xml:space="preserve">. Ebenso </w:t>
      </w:r>
      <w:r w:rsidRPr="00F21CD2">
        <w:rPr>
          <w:rFonts w:ascii="Arial" w:hAnsi="Arial" w:cs="Arial"/>
          <w:color w:val="363636"/>
          <w:shd w:val="clear" w:color="auto" w:fill="FFFFFF"/>
        </w:rPr>
        <w:t xml:space="preserve">bestehen Unterschiede zwischen Voll- und Teilzeitbeschäftigten sowie geringfügig Beschäftigten (plus </w:t>
      </w:r>
      <w:r w:rsidR="007E5FDC" w:rsidRPr="00F21CD2">
        <w:rPr>
          <w:rFonts w:ascii="Arial" w:hAnsi="Arial" w:cs="Arial"/>
          <w:color w:val="363636"/>
          <w:shd w:val="clear" w:color="auto" w:fill="FFFFFF"/>
        </w:rPr>
        <w:t>32</w:t>
      </w:r>
      <w:r w:rsidRPr="00F21CD2">
        <w:rPr>
          <w:rFonts w:ascii="Arial" w:hAnsi="Arial" w:cs="Arial"/>
          <w:color w:val="363636"/>
          <w:shd w:val="clear" w:color="auto" w:fill="FFFFFF"/>
        </w:rPr>
        <w:t>,</w:t>
      </w:r>
      <w:r w:rsidR="007E5FDC" w:rsidRPr="00F21CD2">
        <w:rPr>
          <w:rFonts w:ascii="Arial" w:hAnsi="Arial" w:cs="Arial"/>
          <w:color w:val="363636"/>
          <w:shd w:val="clear" w:color="auto" w:fill="FFFFFF"/>
        </w:rPr>
        <w:t>1</w:t>
      </w:r>
      <w:r w:rsidRPr="00F21CD2">
        <w:rPr>
          <w:rFonts w:ascii="Arial" w:hAnsi="Arial" w:cs="Arial"/>
          <w:color w:val="363636"/>
          <w:shd w:val="clear" w:color="auto" w:fill="FFFFFF"/>
        </w:rPr>
        <w:t xml:space="preserve"> Prozent / plus </w:t>
      </w:r>
      <w:r w:rsidR="007E5FDC" w:rsidRPr="00F21CD2">
        <w:rPr>
          <w:rFonts w:ascii="Arial" w:hAnsi="Arial" w:cs="Arial"/>
          <w:color w:val="363636"/>
          <w:shd w:val="clear" w:color="auto" w:fill="FFFFFF"/>
        </w:rPr>
        <w:t>38</w:t>
      </w:r>
      <w:r w:rsidRPr="00F21CD2">
        <w:rPr>
          <w:rFonts w:ascii="Arial" w:hAnsi="Arial" w:cs="Arial"/>
          <w:color w:val="363636"/>
          <w:shd w:val="clear" w:color="auto" w:fill="FFFFFF"/>
        </w:rPr>
        <w:t xml:space="preserve">,7 Prozent / plus </w:t>
      </w:r>
      <w:r w:rsidR="007E5FDC" w:rsidRPr="00F21CD2">
        <w:rPr>
          <w:rFonts w:ascii="Arial" w:hAnsi="Arial" w:cs="Arial"/>
          <w:color w:val="363636"/>
          <w:shd w:val="clear" w:color="auto" w:fill="FFFFFF"/>
        </w:rPr>
        <w:t>36</w:t>
      </w:r>
      <w:r w:rsidRPr="00F21CD2">
        <w:rPr>
          <w:rFonts w:ascii="Arial" w:hAnsi="Arial" w:cs="Arial"/>
          <w:color w:val="363636"/>
          <w:shd w:val="clear" w:color="auto" w:fill="FFFFFF"/>
        </w:rPr>
        <w:t>,</w:t>
      </w:r>
      <w:r w:rsidR="007E5FDC" w:rsidRPr="00F21CD2">
        <w:rPr>
          <w:rFonts w:ascii="Arial" w:hAnsi="Arial" w:cs="Arial"/>
          <w:color w:val="363636"/>
          <w:shd w:val="clear" w:color="auto" w:fill="FFFFFF"/>
        </w:rPr>
        <w:t>0</w:t>
      </w:r>
      <w:r w:rsidRPr="00F21CD2">
        <w:rPr>
          <w:rFonts w:ascii="Arial" w:hAnsi="Arial" w:cs="Arial"/>
          <w:color w:val="363636"/>
          <w:shd w:val="clear" w:color="auto" w:fill="FFFFFF"/>
        </w:rPr>
        <w:t xml:space="preserve"> Prozent).</w:t>
      </w:r>
    </w:p>
    <w:p w:rsidR="007762CB" w:rsidRDefault="007762CB" w:rsidP="00EC5B05">
      <w:pPr>
        <w:rPr>
          <w:rFonts w:ascii="Arial" w:hAnsi="Arial" w:cs="Arial"/>
          <w:color w:val="363636"/>
          <w:shd w:val="clear" w:color="auto" w:fill="FFFFFF"/>
        </w:rPr>
      </w:pPr>
    </w:p>
    <w:p w:rsidR="007762CB" w:rsidRDefault="00F40C50" w:rsidP="00CA38DC">
      <w:pPr>
        <w:rPr>
          <w:rFonts w:ascii="Arial" w:hAnsi="Arial" w:cs="Arial"/>
          <w:color w:val="363636"/>
          <w:shd w:val="clear" w:color="auto" w:fill="FFFFFF"/>
        </w:rPr>
      </w:pPr>
      <w:r w:rsidRPr="00CA38DC">
        <w:rPr>
          <w:rFonts w:ascii="Arial" w:hAnsi="Arial" w:cs="Arial"/>
          <w:color w:val="363636"/>
          <w:shd w:val="clear" w:color="auto" w:fill="FFFFFF"/>
        </w:rPr>
        <w:t>Im Jahr 201</w:t>
      </w:r>
      <w:r w:rsidR="00CA38DC" w:rsidRPr="00CA38DC">
        <w:rPr>
          <w:rFonts w:ascii="Arial" w:hAnsi="Arial" w:cs="Arial"/>
          <w:color w:val="363636"/>
          <w:shd w:val="clear" w:color="auto" w:fill="FFFFFF"/>
        </w:rPr>
        <w:t>9</w:t>
      </w:r>
      <w:r w:rsidRPr="00CA38DC">
        <w:rPr>
          <w:rFonts w:ascii="Arial" w:hAnsi="Arial" w:cs="Arial"/>
          <w:color w:val="363636"/>
          <w:shd w:val="clear" w:color="auto" w:fill="FFFFFF"/>
        </w:rPr>
        <w:t xml:space="preserve"> lag der durchschnittliche Bruttomonatsverdienst der vollzeitbeschäftigten Arbeitnehmer in Deutschland bei 3.</w:t>
      </w:r>
      <w:r w:rsidR="00CA38DC" w:rsidRPr="00CA38DC">
        <w:rPr>
          <w:rFonts w:ascii="Arial" w:hAnsi="Arial" w:cs="Arial"/>
          <w:color w:val="363636"/>
          <w:shd w:val="clear" w:color="auto" w:fill="FFFFFF"/>
        </w:rPr>
        <w:t>994</w:t>
      </w:r>
      <w:r w:rsidRPr="00CA38DC">
        <w:rPr>
          <w:rFonts w:ascii="Arial" w:hAnsi="Arial" w:cs="Arial"/>
          <w:color w:val="363636"/>
          <w:shd w:val="clear" w:color="auto" w:fill="FFFFFF"/>
        </w:rPr>
        <w:t xml:space="preserve"> Euro pro Monat (Männer: </w:t>
      </w:r>
      <w:r w:rsidR="00CA38DC" w:rsidRPr="00CA38DC">
        <w:rPr>
          <w:rFonts w:ascii="Arial" w:hAnsi="Arial" w:cs="Arial"/>
          <w:color w:val="363636"/>
          <w:shd w:val="clear" w:color="auto" w:fill="FFFFFF"/>
        </w:rPr>
        <w:t>4</w:t>
      </w:r>
      <w:r w:rsidRPr="00CA38DC">
        <w:rPr>
          <w:rFonts w:ascii="Arial" w:hAnsi="Arial" w:cs="Arial"/>
          <w:color w:val="363636"/>
          <w:shd w:val="clear" w:color="auto" w:fill="FFFFFF"/>
        </w:rPr>
        <w:t>.</w:t>
      </w:r>
      <w:r w:rsidR="00CA38DC" w:rsidRPr="00CA38DC">
        <w:rPr>
          <w:rFonts w:ascii="Arial" w:hAnsi="Arial" w:cs="Arial"/>
          <w:color w:val="363636"/>
          <w:shd w:val="clear" w:color="auto" w:fill="FFFFFF"/>
        </w:rPr>
        <w:t>181</w:t>
      </w:r>
      <w:r w:rsidRPr="00CA38DC">
        <w:rPr>
          <w:rFonts w:ascii="Arial" w:hAnsi="Arial" w:cs="Arial"/>
          <w:color w:val="363636"/>
          <w:shd w:val="clear" w:color="auto" w:fill="FFFFFF"/>
        </w:rPr>
        <w:t xml:space="preserve"> Euro / Frauen: </w:t>
      </w:r>
      <w:r w:rsidR="00CA38DC" w:rsidRPr="00CA38DC">
        <w:rPr>
          <w:rFonts w:ascii="Arial" w:hAnsi="Arial" w:cs="Arial"/>
          <w:color w:val="363636"/>
          <w:shd w:val="clear" w:color="auto" w:fill="FFFFFF"/>
        </w:rPr>
        <w:t>3</w:t>
      </w:r>
      <w:r w:rsidRPr="00CA38DC">
        <w:rPr>
          <w:rFonts w:ascii="Arial" w:hAnsi="Arial" w:cs="Arial"/>
          <w:color w:val="363636"/>
          <w:shd w:val="clear" w:color="auto" w:fill="FFFFFF"/>
        </w:rPr>
        <w:t>.</w:t>
      </w:r>
      <w:r w:rsidR="00CA38DC" w:rsidRPr="00CA38DC">
        <w:rPr>
          <w:rFonts w:ascii="Arial" w:hAnsi="Arial" w:cs="Arial"/>
          <w:color w:val="363636"/>
          <w:shd w:val="clear" w:color="auto" w:fill="FFFFFF"/>
        </w:rPr>
        <w:t>559</w:t>
      </w:r>
      <w:r w:rsidRPr="00CA38DC">
        <w:rPr>
          <w:rFonts w:ascii="Arial" w:hAnsi="Arial" w:cs="Arial"/>
          <w:color w:val="363636"/>
          <w:shd w:val="clear" w:color="auto" w:fill="FFFFFF"/>
        </w:rPr>
        <w:t xml:space="preserve"> Euro). Sonderzahlungen – zum Beispiel Urlaubs- oder Weihnachtsgeld – sind dabei nicht berücksichtigt. </w:t>
      </w:r>
      <w:r w:rsidRPr="00F230CB">
        <w:rPr>
          <w:rFonts w:ascii="Arial" w:hAnsi="Arial" w:cs="Arial"/>
          <w:color w:val="363636"/>
          <w:shd w:val="clear" w:color="auto" w:fill="FFFFFF"/>
        </w:rPr>
        <w:t xml:space="preserve">Die Bereiche </w:t>
      </w:r>
      <w:r w:rsidR="00F14742" w:rsidRPr="00F230CB">
        <w:rPr>
          <w:rFonts w:ascii="Arial" w:hAnsi="Arial" w:cs="Arial"/>
          <w:color w:val="363636"/>
          <w:shd w:val="clear" w:color="auto" w:fill="FFFFFF"/>
        </w:rPr>
        <w:lastRenderedPageBreak/>
        <w:t xml:space="preserve">"Erbringung von Finanz- und Versicherungsdienstleistungen" (5.393 Euro), "Information und Kommunikation" (5.178 Euro) sowie </w:t>
      </w:r>
      <w:r w:rsidRPr="00F230CB">
        <w:rPr>
          <w:rFonts w:ascii="Arial" w:hAnsi="Arial" w:cs="Arial"/>
          <w:color w:val="363636"/>
          <w:shd w:val="clear" w:color="auto" w:fill="FFFFFF"/>
        </w:rPr>
        <w:t>"Energieversorgung"</w:t>
      </w:r>
      <w:r w:rsidR="00F14742" w:rsidRPr="00F230CB">
        <w:rPr>
          <w:rFonts w:ascii="Arial" w:hAnsi="Arial" w:cs="Arial"/>
          <w:color w:val="363636"/>
          <w:shd w:val="clear" w:color="auto" w:fill="FFFFFF"/>
        </w:rPr>
        <w:t xml:space="preserve"> (5.137 Euro) </w:t>
      </w:r>
      <w:r w:rsidRPr="00F230CB">
        <w:rPr>
          <w:rFonts w:ascii="Arial" w:hAnsi="Arial" w:cs="Arial"/>
          <w:color w:val="363636"/>
          <w:shd w:val="clear" w:color="auto" w:fill="FFFFFF"/>
        </w:rPr>
        <w:t>waren nach Angaben des Statistischen Bundesamtes im Jahr 201</w:t>
      </w:r>
      <w:r w:rsidR="00F14742" w:rsidRPr="00F230CB">
        <w:rPr>
          <w:rFonts w:ascii="Arial" w:hAnsi="Arial" w:cs="Arial"/>
          <w:color w:val="363636"/>
          <w:shd w:val="clear" w:color="auto" w:fill="FFFFFF"/>
        </w:rPr>
        <w:t>9</w:t>
      </w:r>
      <w:r w:rsidRPr="00F230CB">
        <w:rPr>
          <w:rFonts w:ascii="Arial" w:hAnsi="Arial" w:cs="Arial"/>
          <w:color w:val="363636"/>
          <w:shd w:val="clear" w:color="auto" w:fill="FFFFFF"/>
        </w:rPr>
        <w:t xml:space="preserve"> die Bereiche mit den höchsten Verdiensten</w:t>
      </w:r>
      <w:r w:rsidR="00F14742" w:rsidRPr="00F230CB">
        <w:rPr>
          <w:rFonts w:ascii="Arial" w:hAnsi="Arial" w:cs="Arial"/>
          <w:color w:val="363636"/>
          <w:shd w:val="clear" w:color="auto" w:fill="FFFFFF"/>
        </w:rPr>
        <w:t xml:space="preserve"> – jeweils bezogen auf d</w:t>
      </w:r>
      <w:r w:rsidRPr="00F230CB">
        <w:rPr>
          <w:rFonts w:ascii="Arial" w:hAnsi="Arial" w:cs="Arial"/>
          <w:color w:val="363636"/>
          <w:shd w:val="clear" w:color="auto" w:fill="FFFFFF"/>
        </w:rPr>
        <w:t>ie durchschnittlichen Bruttoverdienste der Vollzeitbeschäftigten pro Monat. Die niedrigsten Bruttomonats-verdienste wurden im "Gastgewerbe" mit 2.</w:t>
      </w:r>
      <w:r w:rsidR="00F14742" w:rsidRPr="00F230CB">
        <w:rPr>
          <w:rFonts w:ascii="Arial" w:hAnsi="Arial" w:cs="Arial"/>
          <w:color w:val="363636"/>
          <w:shd w:val="clear" w:color="auto" w:fill="FFFFFF"/>
        </w:rPr>
        <w:t>451</w:t>
      </w:r>
      <w:r w:rsidRPr="00F230CB">
        <w:rPr>
          <w:rFonts w:ascii="Arial" w:hAnsi="Arial" w:cs="Arial"/>
          <w:color w:val="363636"/>
          <w:shd w:val="clear" w:color="auto" w:fill="FFFFFF"/>
        </w:rPr>
        <w:t xml:space="preserve"> Euro gezahlt.</w:t>
      </w:r>
    </w:p>
    <w:p w:rsidR="007762CB" w:rsidRDefault="007762CB" w:rsidP="00CA38DC">
      <w:pPr>
        <w:rPr>
          <w:rFonts w:ascii="Arial" w:hAnsi="Arial" w:cs="Arial"/>
          <w:color w:val="363636"/>
          <w:shd w:val="clear" w:color="auto" w:fill="FFFFFF"/>
        </w:rPr>
      </w:pPr>
    </w:p>
    <w:p w:rsidR="00670B9F" w:rsidRDefault="00F40C50" w:rsidP="00CA5D69">
      <w:pPr>
        <w:rPr>
          <w:rFonts w:ascii="Arial" w:hAnsi="Arial" w:cs="Arial"/>
          <w:color w:val="363636"/>
          <w:shd w:val="clear" w:color="auto" w:fill="FFFFFF"/>
        </w:rPr>
      </w:pPr>
      <w:r w:rsidRPr="0069061B">
        <w:rPr>
          <w:rFonts w:ascii="Arial" w:hAnsi="Arial" w:cs="Arial"/>
          <w:color w:val="363636"/>
          <w:shd w:val="clear" w:color="auto" w:fill="FFFFFF"/>
        </w:rPr>
        <w:t xml:space="preserve">Innerhalb der </w:t>
      </w:r>
      <w:r w:rsidR="00F14742" w:rsidRPr="0069061B">
        <w:rPr>
          <w:rFonts w:ascii="Arial" w:hAnsi="Arial" w:cs="Arial"/>
          <w:color w:val="363636"/>
          <w:shd w:val="clear" w:color="auto" w:fill="FFFFFF"/>
        </w:rPr>
        <w:t xml:space="preserve">Bereiche </w:t>
      </w:r>
      <w:r w:rsidRPr="0069061B">
        <w:rPr>
          <w:rFonts w:ascii="Arial" w:hAnsi="Arial" w:cs="Arial"/>
          <w:color w:val="363636"/>
          <w:shd w:val="clear" w:color="auto" w:fill="FFFFFF"/>
        </w:rPr>
        <w:t>ist die Spannbreite bei den Verdiensten noch ausgeprägter. Die Branche "Gewinnung von Erdöl und Erdgas" (6.</w:t>
      </w:r>
      <w:r w:rsidR="00F14742" w:rsidRPr="0069061B">
        <w:rPr>
          <w:rFonts w:ascii="Arial" w:hAnsi="Arial" w:cs="Arial"/>
          <w:color w:val="363636"/>
          <w:shd w:val="clear" w:color="auto" w:fill="FFFFFF"/>
        </w:rPr>
        <w:t>783</w:t>
      </w:r>
      <w:r w:rsidRPr="0069061B">
        <w:rPr>
          <w:rFonts w:ascii="Arial" w:hAnsi="Arial" w:cs="Arial"/>
          <w:color w:val="363636"/>
          <w:shd w:val="clear" w:color="auto" w:fill="FFFFFF"/>
        </w:rPr>
        <w:t xml:space="preserve"> Euro) steht an der Spitze der Skala, vor "Kokerei und Mineralölverarbeitung" (</w:t>
      </w:r>
      <w:r w:rsidR="00F14742" w:rsidRPr="0069061B">
        <w:rPr>
          <w:rFonts w:ascii="Arial" w:hAnsi="Arial" w:cs="Arial"/>
          <w:color w:val="363636"/>
          <w:shd w:val="clear" w:color="auto" w:fill="FFFFFF"/>
        </w:rPr>
        <w:t>6</w:t>
      </w:r>
      <w:r w:rsidRPr="0069061B">
        <w:rPr>
          <w:rFonts w:ascii="Arial" w:hAnsi="Arial" w:cs="Arial"/>
          <w:color w:val="363636"/>
          <w:shd w:val="clear" w:color="auto" w:fill="FFFFFF"/>
        </w:rPr>
        <w:t>.</w:t>
      </w:r>
      <w:r w:rsidR="00F14742" w:rsidRPr="0069061B">
        <w:rPr>
          <w:rFonts w:ascii="Arial" w:hAnsi="Arial" w:cs="Arial"/>
          <w:color w:val="363636"/>
          <w:shd w:val="clear" w:color="auto" w:fill="FFFFFF"/>
        </w:rPr>
        <w:t>214</w:t>
      </w:r>
      <w:r w:rsidRPr="0069061B">
        <w:rPr>
          <w:rFonts w:ascii="Arial" w:hAnsi="Arial" w:cs="Arial"/>
          <w:color w:val="363636"/>
          <w:shd w:val="clear" w:color="auto" w:fill="FFFFFF"/>
        </w:rPr>
        <w:t xml:space="preserve"> Euro) sowie "Verwaltung und Führung von Unternehmen und Betrieben; Unternehmensberatung" (</w:t>
      </w:r>
      <w:r w:rsidR="00F14742" w:rsidRPr="0069061B">
        <w:rPr>
          <w:rFonts w:ascii="Arial" w:hAnsi="Arial" w:cs="Arial"/>
          <w:color w:val="363636"/>
          <w:shd w:val="clear" w:color="auto" w:fill="FFFFFF"/>
        </w:rPr>
        <w:t>5</w:t>
      </w:r>
      <w:r w:rsidRPr="0069061B">
        <w:rPr>
          <w:rFonts w:ascii="Arial" w:hAnsi="Arial" w:cs="Arial"/>
          <w:color w:val="363636"/>
          <w:shd w:val="clear" w:color="auto" w:fill="FFFFFF"/>
        </w:rPr>
        <w:t>.</w:t>
      </w:r>
      <w:r w:rsidR="00F14742" w:rsidRPr="0069061B">
        <w:rPr>
          <w:rFonts w:ascii="Arial" w:hAnsi="Arial" w:cs="Arial"/>
          <w:color w:val="363636"/>
          <w:shd w:val="clear" w:color="auto" w:fill="FFFFFF"/>
        </w:rPr>
        <w:t>699</w:t>
      </w:r>
      <w:r w:rsidRPr="0069061B">
        <w:rPr>
          <w:rFonts w:ascii="Arial" w:hAnsi="Arial" w:cs="Arial"/>
          <w:color w:val="363636"/>
          <w:shd w:val="clear" w:color="auto" w:fill="FFFFFF"/>
        </w:rPr>
        <w:t xml:space="preserve"> Euro). Am unteren Ende rangieren die Bereiche </w:t>
      </w:r>
      <w:r w:rsidR="00F14742" w:rsidRPr="0069061B">
        <w:rPr>
          <w:rFonts w:ascii="Arial" w:hAnsi="Arial" w:cs="Arial"/>
          <w:color w:val="363636"/>
          <w:shd w:val="clear" w:color="auto" w:fill="FFFFFF"/>
        </w:rPr>
        <w:t xml:space="preserve">"Gastronomie" (2.371 Euro), </w:t>
      </w:r>
      <w:r w:rsidRPr="0069061B">
        <w:rPr>
          <w:rFonts w:ascii="Arial" w:hAnsi="Arial" w:cs="Arial"/>
          <w:color w:val="363636"/>
          <w:shd w:val="clear" w:color="auto" w:fill="FFFFFF"/>
        </w:rPr>
        <w:t>"Vermittlung und Überlassung von Arbeitskräften" (</w:t>
      </w:r>
      <w:r w:rsidR="00F14742" w:rsidRPr="0069061B">
        <w:rPr>
          <w:rFonts w:ascii="Arial" w:hAnsi="Arial" w:cs="Arial"/>
          <w:color w:val="363636"/>
          <w:shd w:val="clear" w:color="auto" w:fill="FFFFFF"/>
        </w:rPr>
        <w:t>2</w:t>
      </w:r>
      <w:r w:rsidRPr="0069061B">
        <w:rPr>
          <w:rFonts w:ascii="Arial" w:hAnsi="Arial" w:cs="Arial"/>
          <w:color w:val="363636"/>
          <w:shd w:val="clear" w:color="auto" w:fill="FFFFFF"/>
        </w:rPr>
        <w:t>.</w:t>
      </w:r>
      <w:r w:rsidR="00F14742" w:rsidRPr="0069061B">
        <w:rPr>
          <w:rFonts w:ascii="Arial" w:hAnsi="Arial" w:cs="Arial"/>
          <w:color w:val="363636"/>
          <w:shd w:val="clear" w:color="auto" w:fill="FFFFFF"/>
        </w:rPr>
        <w:t>460</w:t>
      </w:r>
      <w:r w:rsidRPr="0069061B">
        <w:rPr>
          <w:rFonts w:ascii="Arial" w:hAnsi="Arial" w:cs="Arial"/>
          <w:color w:val="363636"/>
          <w:shd w:val="clear" w:color="auto" w:fill="FFFFFF"/>
        </w:rPr>
        <w:t xml:space="preserve"> Euro) sowie "Beherbergung" (2.</w:t>
      </w:r>
      <w:r w:rsidR="00F14742" w:rsidRPr="0069061B">
        <w:rPr>
          <w:rFonts w:ascii="Arial" w:hAnsi="Arial" w:cs="Arial"/>
          <w:color w:val="363636"/>
          <w:shd w:val="clear" w:color="auto" w:fill="FFFFFF"/>
        </w:rPr>
        <w:t>543</w:t>
      </w:r>
      <w:r w:rsidRPr="0069061B">
        <w:rPr>
          <w:rFonts w:ascii="Arial" w:hAnsi="Arial" w:cs="Arial"/>
          <w:color w:val="363636"/>
          <w:shd w:val="clear" w:color="auto" w:fill="FFFFFF"/>
        </w:rPr>
        <w:t xml:space="preserve"> Euro).</w:t>
      </w:r>
    </w:p>
    <w:p w:rsidR="007762CB" w:rsidRDefault="007762CB" w:rsidP="00CA5D69">
      <w:pPr>
        <w:rPr>
          <w:rFonts w:ascii="Arial" w:hAnsi="Arial" w:cs="Arial"/>
          <w:color w:val="363636"/>
          <w:shd w:val="clear" w:color="auto" w:fill="FFFFFF"/>
        </w:rPr>
      </w:pPr>
    </w:p>
    <w:p w:rsidR="00CA5D69" w:rsidRPr="00CA5D69" w:rsidRDefault="00CA5D69" w:rsidP="00CA5D69">
      <w:pPr>
        <w:rPr>
          <w:rFonts w:ascii="Arial" w:hAnsi="Arial"/>
          <w:color w:val="FF0000"/>
        </w:rPr>
      </w:pPr>
      <w:r w:rsidRPr="00CA5D69">
        <w:rPr>
          <w:rFonts w:ascii="Arial" w:hAnsi="Arial"/>
          <w:color w:val="FF0000"/>
        </w:rPr>
        <w:t>Datenquelle</w:t>
      </w:r>
    </w:p>
    <w:p w:rsidR="00130C1E" w:rsidRPr="00670B9F" w:rsidRDefault="00130C1E" w:rsidP="00130C1E">
      <w:pPr>
        <w:rPr>
          <w:rFonts w:ascii="Arial" w:hAnsi="Arial" w:cs="Arial"/>
          <w:shd w:val="clear" w:color="auto" w:fill="FFFFFF"/>
        </w:rPr>
      </w:pPr>
    </w:p>
    <w:p w:rsidR="00670B9F" w:rsidRDefault="00F40C50" w:rsidP="00130C1E">
      <w:pPr>
        <w:rPr>
          <w:rFonts w:ascii="Arial" w:hAnsi="Arial" w:cs="Arial"/>
          <w:color w:val="363636"/>
          <w:shd w:val="clear" w:color="auto" w:fill="FFFFFF"/>
        </w:rPr>
      </w:pPr>
      <w:r>
        <w:rPr>
          <w:rFonts w:ascii="Arial" w:hAnsi="Arial" w:cs="Arial"/>
          <w:color w:val="363636"/>
          <w:shd w:val="clear" w:color="auto" w:fill="FFFFFF"/>
        </w:rPr>
        <w:t>Statistisches Bundesamt: Verdienste und Arbeitskosten</w:t>
      </w:r>
    </w:p>
    <w:p w:rsidR="00F40C50" w:rsidRPr="00670B9F" w:rsidRDefault="00F40C50" w:rsidP="00130C1E">
      <w:pPr>
        <w:rPr>
          <w:rFonts w:ascii="Arial" w:hAnsi="Arial" w:cs="Arial"/>
          <w:shd w:val="clear" w:color="auto" w:fill="FFFFFF"/>
        </w:rPr>
      </w:pPr>
    </w:p>
    <w:p w:rsidR="00CA5D69" w:rsidRPr="00CA5D69" w:rsidRDefault="00CA5D69" w:rsidP="00CA5D69">
      <w:pPr>
        <w:rPr>
          <w:rFonts w:ascii="Arial" w:hAnsi="Arial"/>
          <w:color w:val="FF0000"/>
        </w:rPr>
      </w:pPr>
      <w:r w:rsidRPr="00CA5D69">
        <w:rPr>
          <w:rFonts w:ascii="Arial" w:hAnsi="Arial"/>
          <w:color w:val="FF0000"/>
        </w:rPr>
        <w:t>Begriffe, methodische Anmerkungen oder Lesehilfen</w:t>
      </w:r>
    </w:p>
    <w:p w:rsidR="00130C1E" w:rsidRPr="00D5402D" w:rsidRDefault="00130C1E" w:rsidP="00130C1E">
      <w:pPr>
        <w:rPr>
          <w:rFonts w:ascii="Arial" w:hAnsi="Arial" w:cs="Arial"/>
          <w:color w:val="363636"/>
          <w:shd w:val="clear" w:color="auto" w:fill="FFFFFF"/>
        </w:rPr>
      </w:pPr>
    </w:p>
    <w:p w:rsidR="00037AA1" w:rsidRDefault="00037AA1" w:rsidP="00037AA1">
      <w:pPr>
        <w:rPr>
          <w:rFonts w:ascii="Arial" w:hAnsi="Arial" w:cs="Arial"/>
          <w:color w:val="363636"/>
          <w:shd w:val="clear" w:color="auto" w:fill="FFFFFF"/>
        </w:rPr>
      </w:pPr>
      <w:r w:rsidRPr="00037AA1">
        <w:rPr>
          <w:rFonts w:ascii="Arial" w:hAnsi="Arial" w:cs="Arial"/>
          <w:color w:val="363636"/>
          <w:shd w:val="clear" w:color="auto" w:fill="FFFFFF"/>
        </w:rPr>
        <w:t xml:space="preserve">Informationen zum Thema </w:t>
      </w:r>
      <w:r w:rsidRPr="00037AA1">
        <w:rPr>
          <w:rFonts w:ascii="Arial" w:hAnsi="Arial" w:cs="Arial"/>
          <w:b/>
          <w:color w:val="363636"/>
          <w:shd w:val="clear" w:color="auto" w:fill="FFFFFF"/>
        </w:rPr>
        <w:t>Niedriglohn</w:t>
      </w:r>
      <w:r w:rsidRPr="00037AA1">
        <w:rPr>
          <w:rFonts w:ascii="Arial" w:hAnsi="Arial" w:cs="Arial"/>
          <w:color w:val="363636"/>
          <w:shd w:val="clear" w:color="auto" w:fill="FFFFFF"/>
        </w:rPr>
        <w:t xml:space="preserve"> erhalten Sie hier: </w:t>
      </w:r>
      <w:hyperlink r:id="rId5" w:history="1">
        <w:r w:rsidRPr="00BC1A1B">
          <w:rPr>
            <w:rStyle w:val="Hyperlink"/>
            <w:rFonts w:ascii="Arial" w:hAnsi="Arial" w:cs="Arial"/>
            <w:shd w:val="clear" w:color="auto" w:fill="FFFFFF"/>
          </w:rPr>
          <w:t>https://www.bpb.de/61750</w:t>
        </w:r>
      </w:hyperlink>
    </w:p>
    <w:p w:rsidR="00037AA1" w:rsidRPr="00037AA1" w:rsidRDefault="00037AA1" w:rsidP="00037AA1">
      <w:pPr>
        <w:rPr>
          <w:rFonts w:ascii="Arial" w:hAnsi="Arial" w:cs="Arial"/>
          <w:color w:val="363636"/>
          <w:shd w:val="clear" w:color="auto" w:fill="FFFFFF"/>
        </w:rPr>
      </w:pPr>
    </w:p>
    <w:p w:rsidR="00037AA1" w:rsidRDefault="00037AA1" w:rsidP="00037AA1">
      <w:pPr>
        <w:rPr>
          <w:rFonts w:ascii="Arial" w:hAnsi="Arial" w:cs="Arial"/>
          <w:color w:val="363636"/>
          <w:shd w:val="clear" w:color="auto" w:fill="FFFFFF"/>
        </w:rPr>
      </w:pPr>
      <w:r w:rsidRPr="00037AA1">
        <w:rPr>
          <w:rFonts w:ascii="Arial" w:hAnsi="Arial" w:cs="Arial"/>
          <w:color w:val="363636"/>
          <w:shd w:val="clear" w:color="auto" w:fill="FFFFFF"/>
        </w:rPr>
        <w:t xml:space="preserve">Informationen zum Thema </w:t>
      </w:r>
      <w:r w:rsidRPr="00037AA1">
        <w:rPr>
          <w:rFonts w:ascii="Arial" w:hAnsi="Arial" w:cs="Arial"/>
          <w:b/>
          <w:color w:val="363636"/>
          <w:shd w:val="clear" w:color="auto" w:fill="FFFFFF"/>
        </w:rPr>
        <w:t>Mindestlohn</w:t>
      </w:r>
      <w:r w:rsidRPr="00037AA1">
        <w:rPr>
          <w:rFonts w:ascii="Arial" w:hAnsi="Arial" w:cs="Arial"/>
          <w:color w:val="363636"/>
          <w:shd w:val="clear" w:color="auto" w:fill="FFFFFF"/>
        </w:rPr>
        <w:t xml:space="preserve"> erhalten Sie hier: </w:t>
      </w:r>
      <w:hyperlink r:id="rId6" w:history="1">
        <w:r w:rsidRPr="00BC1A1B">
          <w:rPr>
            <w:rStyle w:val="Hyperlink"/>
            <w:rFonts w:ascii="Arial" w:hAnsi="Arial" w:cs="Arial"/>
            <w:shd w:val="clear" w:color="auto" w:fill="FFFFFF"/>
          </w:rPr>
          <w:t>https://www.bpb.de/317062</w:t>
        </w:r>
      </w:hyperlink>
    </w:p>
    <w:p w:rsidR="00037AA1" w:rsidRDefault="00037AA1" w:rsidP="00037AA1">
      <w:pPr>
        <w:rPr>
          <w:rFonts w:ascii="Arial" w:hAnsi="Arial" w:cs="Arial"/>
          <w:color w:val="363636"/>
          <w:shd w:val="clear" w:color="auto" w:fill="FFFFFF"/>
        </w:rPr>
      </w:pPr>
    </w:p>
    <w:p w:rsidR="00D5402D" w:rsidRPr="00D5402D" w:rsidRDefault="00D5402D" w:rsidP="00037AA1">
      <w:pPr>
        <w:rPr>
          <w:rFonts w:ascii="Arial" w:hAnsi="Arial" w:cs="Arial"/>
          <w:color w:val="363636"/>
          <w:shd w:val="clear" w:color="auto" w:fill="FFFFFF"/>
        </w:rPr>
      </w:pPr>
      <w:r w:rsidRPr="00D5402D">
        <w:rPr>
          <w:rFonts w:ascii="Arial" w:hAnsi="Arial" w:cs="Arial"/>
          <w:color w:val="363636"/>
          <w:shd w:val="clear" w:color="auto" w:fill="FFFFFF"/>
        </w:rPr>
        <w:t xml:space="preserve">Informationen zur </w:t>
      </w:r>
      <w:r w:rsidR="006C213D" w:rsidRPr="006C213D">
        <w:rPr>
          <w:rFonts w:ascii="Arial" w:hAnsi="Arial" w:cs="Arial"/>
          <w:b/>
          <w:color w:val="363636"/>
          <w:shd w:val="clear" w:color="auto" w:fill="FFFFFF"/>
        </w:rPr>
        <w:t>Entwicklung der</w:t>
      </w:r>
      <w:r w:rsidR="006C213D">
        <w:rPr>
          <w:rFonts w:ascii="Arial" w:hAnsi="Arial" w:cs="Arial"/>
          <w:color w:val="363636"/>
          <w:shd w:val="clear" w:color="auto" w:fill="FFFFFF"/>
        </w:rPr>
        <w:t xml:space="preserve"> </w:t>
      </w:r>
      <w:r w:rsidRPr="007006DE">
        <w:rPr>
          <w:rFonts w:ascii="Arial" w:hAnsi="Arial" w:cs="Arial"/>
          <w:b/>
          <w:color w:val="363636"/>
          <w:shd w:val="clear" w:color="auto" w:fill="FFFFFF"/>
        </w:rPr>
        <w:t>Einkommensverteilung</w:t>
      </w:r>
      <w:r w:rsidRPr="00D5402D">
        <w:rPr>
          <w:rFonts w:ascii="Arial" w:hAnsi="Arial" w:cs="Arial"/>
          <w:color w:val="363636"/>
          <w:shd w:val="clear" w:color="auto" w:fill="FFFFFF"/>
        </w:rPr>
        <w:t xml:space="preserve"> erhalten Sie hier: </w:t>
      </w:r>
      <w:hyperlink r:id="rId7" w:history="1">
        <w:r w:rsidRPr="00D5402D">
          <w:rPr>
            <w:rStyle w:val="Hyperlink"/>
            <w:rFonts w:ascii="Arial" w:hAnsi="Arial" w:cs="Arial"/>
          </w:rPr>
          <w:t>https://www.bpb.de/61769</w:t>
        </w:r>
      </w:hyperlink>
    </w:p>
    <w:p w:rsidR="00D5402D" w:rsidRDefault="00D5402D" w:rsidP="00130C1E">
      <w:pPr>
        <w:rPr>
          <w:rFonts w:ascii="Arial" w:hAnsi="Arial" w:cs="Arial"/>
          <w:color w:val="363636"/>
          <w:shd w:val="clear" w:color="auto" w:fill="FFFFFF"/>
        </w:rPr>
      </w:pPr>
    </w:p>
    <w:p w:rsidR="00130C1E" w:rsidRDefault="00F40C50" w:rsidP="00130C1E">
      <w:pPr>
        <w:rPr>
          <w:rFonts w:ascii="Arial" w:hAnsi="Arial" w:cs="Arial"/>
          <w:color w:val="363636"/>
          <w:shd w:val="clear" w:color="auto" w:fill="FFFFFF"/>
        </w:rPr>
      </w:pPr>
      <w:r w:rsidRPr="003D7B23">
        <w:rPr>
          <w:rFonts w:ascii="Arial" w:hAnsi="Arial" w:cs="Arial"/>
          <w:color w:val="363636"/>
          <w:shd w:val="clear" w:color="auto" w:fill="FFFFFF"/>
        </w:rPr>
        <w:t xml:space="preserve">Das Statistische Bundesamt weist darauf hin, dass die "veröffentlichten Verdienstangaben arithmetische Mittelwerte sind. </w:t>
      </w:r>
      <w:r w:rsidR="003D7B23" w:rsidRPr="003D7B23">
        <w:rPr>
          <w:rFonts w:ascii="Arial" w:hAnsi="Arial" w:cs="Arial"/>
          <w:color w:val="363636"/>
          <w:shd w:val="clear" w:color="auto" w:fill="FFFFFF"/>
        </w:rPr>
        <w:t>Wichtig für die Interpretation dieser Werte ist eine Vorstellung über die Verteilung der Beschäftigten um diesen Mittelwert: Aus der Verdienststrukturerhebung 2014 ist bekannt, dass knapp 2 von 3 Vollzeitbeschäftigten (63 </w:t>
      </w:r>
      <w:r w:rsidR="00CA38DC">
        <w:rPr>
          <w:rFonts w:ascii="Arial" w:hAnsi="Arial" w:cs="Arial"/>
          <w:color w:val="363636"/>
          <w:shd w:val="clear" w:color="auto" w:fill="FFFFFF"/>
        </w:rPr>
        <w:t>Prozent</w:t>
      </w:r>
      <w:r w:rsidR="003D7B23" w:rsidRPr="003D7B23">
        <w:rPr>
          <w:rFonts w:ascii="Arial" w:hAnsi="Arial" w:cs="Arial"/>
          <w:color w:val="363636"/>
          <w:shd w:val="clear" w:color="auto" w:fill="FFFFFF"/>
        </w:rPr>
        <w:t>) weniger verdienen als den gesamtwirtschaftlichen Durchschnittswert; nur ein gutes Drittel (37 </w:t>
      </w:r>
      <w:r w:rsidR="00CA38DC">
        <w:rPr>
          <w:rFonts w:ascii="Arial" w:hAnsi="Arial" w:cs="Arial"/>
          <w:color w:val="363636"/>
          <w:shd w:val="clear" w:color="auto" w:fill="FFFFFF"/>
        </w:rPr>
        <w:t>Prozent</w:t>
      </w:r>
      <w:r w:rsidR="003D7B23" w:rsidRPr="003D7B23">
        <w:rPr>
          <w:rFonts w:ascii="Arial" w:hAnsi="Arial" w:cs="Arial"/>
          <w:color w:val="363636"/>
          <w:shd w:val="clear" w:color="auto" w:fill="FFFFFF"/>
        </w:rPr>
        <w:t>) hat höhere Bruttoverdienste. Dieses Drittel hat so hohe Verdienste, dass der Durchschnittswert für alle Beschäftigten </w:t>
      </w:r>
      <w:r w:rsidRPr="003D7B23">
        <w:rPr>
          <w:rFonts w:ascii="Arial" w:hAnsi="Arial" w:cs="Arial"/>
          <w:color w:val="363636"/>
          <w:shd w:val="clear" w:color="auto" w:fill="FFFFFF"/>
        </w:rPr>
        <w:t>"nach oben" gezogen wird."</w:t>
      </w:r>
    </w:p>
    <w:p w:rsidR="007762CB" w:rsidRDefault="007762CB" w:rsidP="00130C1E">
      <w:pPr>
        <w:rPr>
          <w:rFonts w:ascii="Arial" w:hAnsi="Arial" w:cs="Arial"/>
          <w:color w:val="363636"/>
          <w:shd w:val="clear" w:color="auto" w:fill="FFFFFF"/>
        </w:rPr>
      </w:pPr>
    </w:p>
    <w:p w:rsidR="001B7D15" w:rsidRPr="00670B9F" w:rsidRDefault="001B7D15" w:rsidP="001B7D15">
      <w:pPr>
        <w:rPr>
          <w:rFonts w:ascii="Arial" w:hAnsi="Arial" w:cs="Arial"/>
          <w:sz w:val="20"/>
          <w:szCs w:val="20"/>
        </w:rPr>
      </w:pPr>
      <w:r w:rsidRPr="00670B9F">
        <w:rPr>
          <w:rFonts w:ascii="Arial" w:hAnsi="Arial" w:cs="Arial"/>
          <w:sz w:val="20"/>
          <w:szCs w:val="20"/>
        </w:rPr>
        <w:t xml:space="preserve">Dieser Text ist unter der Creative Commons Lizenz </w:t>
      </w:r>
      <w:hyperlink r:id="rId8" w:tgtFrame="extern" w:history="1">
        <w:r w:rsidRPr="00670B9F">
          <w:rPr>
            <w:rFonts w:ascii="Arial" w:hAnsi="Arial" w:cs="Arial"/>
            <w:sz w:val="20"/>
            <w:szCs w:val="20"/>
          </w:rPr>
          <w:t>by-nc-nd/3.0/de/</w:t>
        </w:r>
      </w:hyperlink>
      <w:r w:rsidRPr="00670B9F">
        <w:rPr>
          <w:rFonts w:ascii="Arial" w:hAnsi="Arial" w:cs="Arial"/>
          <w:sz w:val="20"/>
          <w:szCs w:val="20"/>
        </w:rPr>
        <w:t xml:space="preserve"> veröffentlicht. </w:t>
      </w:r>
    </w:p>
    <w:p w:rsidR="008275AA" w:rsidRPr="00670B9F" w:rsidRDefault="001B7D15" w:rsidP="00544873">
      <w:pPr>
        <w:rPr>
          <w:rFonts w:ascii="Arial" w:hAnsi="Arial" w:cs="Arial"/>
          <w:i/>
        </w:rPr>
      </w:pPr>
      <w:r w:rsidRPr="00670B9F">
        <w:rPr>
          <w:rFonts w:ascii="Arial" w:hAnsi="Arial" w:cs="Arial"/>
          <w:sz w:val="20"/>
          <w:szCs w:val="20"/>
        </w:rPr>
        <w:t>Bundeszentrale für politische Bildung 20</w:t>
      </w:r>
      <w:r w:rsidR="00BD5C4D" w:rsidRPr="00670B9F">
        <w:rPr>
          <w:rFonts w:ascii="Arial" w:hAnsi="Arial" w:cs="Arial"/>
          <w:sz w:val="20"/>
          <w:szCs w:val="20"/>
        </w:rPr>
        <w:t>20</w:t>
      </w:r>
      <w:r w:rsidRPr="00670B9F">
        <w:rPr>
          <w:rFonts w:ascii="Arial" w:hAnsi="Arial" w:cs="Arial"/>
          <w:sz w:val="20"/>
          <w:szCs w:val="20"/>
        </w:rPr>
        <w:t xml:space="preserve"> | </w:t>
      </w:r>
      <w:hyperlink r:id="rId9" w:history="1">
        <w:r w:rsidRPr="00670B9F">
          <w:rPr>
            <w:rFonts w:ascii="Arial" w:hAnsi="Arial" w:cs="Arial"/>
            <w:sz w:val="20"/>
            <w:szCs w:val="20"/>
          </w:rPr>
          <w:t>www.bpb.de</w:t>
        </w:r>
      </w:hyperlink>
    </w:p>
    <w:sectPr w:rsidR="008275AA" w:rsidRPr="00670B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EE"/>
    <w:rsid w:val="00000573"/>
    <w:rsid w:val="0000234B"/>
    <w:rsid w:val="000238CC"/>
    <w:rsid w:val="00037AA1"/>
    <w:rsid w:val="0005792D"/>
    <w:rsid w:val="00070D8B"/>
    <w:rsid w:val="00076264"/>
    <w:rsid w:val="00085A1A"/>
    <w:rsid w:val="0009167D"/>
    <w:rsid w:val="000A06C1"/>
    <w:rsid w:val="000A20AA"/>
    <w:rsid w:val="000A7F9D"/>
    <w:rsid w:val="000C730A"/>
    <w:rsid w:val="000E2813"/>
    <w:rsid w:val="000F5548"/>
    <w:rsid w:val="000F55F6"/>
    <w:rsid w:val="00101A74"/>
    <w:rsid w:val="001043BA"/>
    <w:rsid w:val="00104423"/>
    <w:rsid w:val="00111F49"/>
    <w:rsid w:val="001200F4"/>
    <w:rsid w:val="001221A4"/>
    <w:rsid w:val="001269EF"/>
    <w:rsid w:val="00130C1E"/>
    <w:rsid w:val="00163721"/>
    <w:rsid w:val="001662E8"/>
    <w:rsid w:val="001713B1"/>
    <w:rsid w:val="001715AF"/>
    <w:rsid w:val="00171D83"/>
    <w:rsid w:val="0017448A"/>
    <w:rsid w:val="00174B87"/>
    <w:rsid w:val="00183A44"/>
    <w:rsid w:val="001863C2"/>
    <w:rsid w:val="00186DC5"/>
    <w:rsid w:val="001A1870"/>
    <w:rsid w:val="001B606B"/>
    <w:rsid w:val="001B7D15"/>
    <w:rsid w:val="001D198C"/>
    <w:rsid w:val="001D7E07"/>
    <w:rsid w:val="001E5E13"/>
    <w:rsid w:val="001F0077"/>
    <w:rsid w:val="001F7F43"/>
    <w:rsid w:val="00212FA5"/>
    <w:rsid w:val="00213A39"/>
    <w:rsid w:val="0021766E"/>
    <w:rsid w:val="00236386"/>
    <w:rsid w:val="00244199"/>
    <w:rsid w:val="00244394"/>
    <w:rsid w:val="002567D8"/>
    <w:rsid w:val="00260769"/>
    <w:rsid w:val="00266714"/>
    <w:rsid w:val="002676AC"/>
    <w:rsid w:val="002766B9"/>
    <w:rsid w:val="0028024F"/>
    <w:rsid w:val="002B5C93"/>
    <w:rsid w:val="002C242C"/>
    <w:rsid w:val="002E7D46"/>
    <w:rsid w:val="003429FE"/>
    <w:rsid w:val="00363D8E"/>
    <w:rsid w:val="003657B1"/>
    <w:rsid w:val="0038111C"/>
    <w:rsid w:val="00384AF2"/>
    <w:rsid w:val="00386F5C"/>
    <w:rsid w:val="003A6FDC"/>
    <w:rsid w:val="003B1043"/>
    <w:rsid w:val="003B2FF1"/>
    <w:rsid w:val="003B5A46"/>
    <w:rsid w:val="003C1F2C"/>
    <w:rsid w:val="003D3ABC"/>
    <w:rsid w:val="003D7B23"/>
    <w:rsid w:val="003E0426"/>
    <w:rsid w:val="003E0C4A"/>
    <w:rsid w:val="003E25B4"/>
    <w:rsid w:val="003E4AD7"/>
    <w:rsid w:val="003F711C"/>
    <w:rsid w:val="00402B2C"/>
    <w:rsid w:val="0040539B"/>
    <w:rsid w:val="004210B3"/>
    <w:rsid w:val="004242F8"/>
    <w:rsid w:val="004250EE"/>
    <w:rsid w:val="00425117"/>
    <w:rsid w:val="004554C0"/>
    <w:rsid w:val="00455ECF"/>
    <w:rsid w:val="00460C51"/>
    <w:rsid w:val="00464F29"/>
    <w:rsid w:val="0046791C"/>
    <w:rsid w:val="004715C5"/>
    <w:rsid w:val="004731E5"/>
    <w:rsid w:val="00473F5D"/>
    <w:rsid w:val="00475AB8"/>
    <w:rsid w:val="0047765A"/>
    <w:rsid w:val="00477EBE"/>
    <w:rsid w:val="00494DF9"/>
    <w:rsid w:val="004A2795"/>
    <w:rsid w:val="004A6A0F"/>
    <w:rsid w:val="004D59F0"/>
    <w:rsid w:val="004E6618"/>
    <w:rsid w:val="004F0DF6"/>
    <w:rsid w:val="004F2EB9"/>
    <w:rsid w:val="004F5774"/>
    <w:rsid w:val="0051310F"/>
    <w:rsid w:val="00514A82"/>
    <w:rsid w:val="005234DF"/>
    <w:rsid w:val="00544873"/>
    <w:rsid w:val="005533BA"/>
    <w:rsid w:val="005557C5"/>
    <w:rsid w:val="00563462"/>
    <w:rsid w:val="00577775"/>
    <w:rsid w:val="00594628"/>
    <w:rsid w:val="005B4D9E"/>
    <w:rsid w:val="005C7778"/>
    <w:rsid w:val="005E5C94"/>
    <w:rsid w:val="005F7382"/>
    <w:rsid w:val="00613106"/>
    <w:rsid w:val="00617540"/>
    <w:rsid w:val="00625C9B"/>
    <w:rsid w:val="00652ACF"/>
    <w:rsid w:val="00652DD2"/>
    <w:rsid w:val="006556F0"/>
    <w:rsid w:val="00670B9F"/>
    <w:rsid w:val="0068567A"/>
    <w:rsid w:val="0069061B"/>
    <w:rsid w:val="006A3317"/>
    <w:rsid w:val="006B1677"/>
    <w:rsid w:val="006B2F04"/>
    <w:rsid w:val="006C213D"/>
    <w:rsid w:val="006C3215"/>
    <w:rsid w:val="006F630C"/>
    <w:rsid w:val="007006DE"/>
    <w:rsid w:val="0070122C"/>
    <w:rsid w:val="00722C39"/>
    <w:rsid w:val="0072682F"/>
    <w:rsid w:val="00740C0E"/>
    <w:rsid w:val="00743840"/>
    <w:rsid w:val="007443B1"/>
    <w:rsid w:val="00756A6D"/>
    <w:rsid w:val="00766238"/>
    <w:rsid w:val="007762CB"/>
    <w:rsid w:val="00793840"/>
    <w:rsid w:val="007B4AD0"/>
    <w:rsid w:val="007C3EFF"/>
    <w:rsid w:val="007D3B72"/>
    <w:rsid w:val="007E347B"/>
    <w:rsid w:val="007E4236"/>
    <w:rsid w:val="007E4C5C"/>
    <w:rsid w:val="007E5FDC"/>
    <w:rsid w:val="007E7424"/>
    <w:rsid w:val="007F4155"/>
    <w:rsid w:val="00812651"/>
    <w:rsid w:val="0082696E"/>
    <w:rsid w:val="008275AA"/>
    <w:rsid w:val="00833813"/>
    <w:rsid w:val="00833EB8"/>
    <w:rsid w:val="00835E1B"/>
    <w:rsid w:val="00841E79"/>
    <w:rsid w:val="00841ECF"/>
    <w:rsid w:val="00843264"/>
    <w:rsid w:val="00853660"/>
    <w:rsid w:val="0085672F"/>
    <w:rsid w:val="008579A4"/>
    <w:rsid w:val="0086092F"/>
    <w:rsid w:val="00864E6C"/>
    <w:rsid w:val="0088239F"/>
    <w:rsid w:val="00892026"/>
    <w:rsid w:val="008A292E"/>
    <w:rsid w:val="008B2910"/>
    <w:rsid w:val="008C59DD"/>
    <w:rsid w:val="008D0676"/>
    <w:rsid w:val="008D0CEB"/>
    <w:rsid w:val="008E0F4F"/>
    <w:rsid w:val="008E550C"/>
    <w:rsid w:val="009135B0"/>
    <w:rsid w:val="009166DE"/>
    <w:rsid w:val="009219CE"/>
    <w:rsid w:val="00922D13"/>
    <w:rsid w:val="00932EC5"/>
    <w:rsid w:val="009418DE"/>
    <w:rsid w:val="009433E9"/>
    <w:rsid w:val="00950462"/>
    <w:rsid w:val="0095097C"/>
    <w:rsid w:val="00957E65"/>
    <w:rsid w:val="009635A6"/>
    <w:rsid w:val="0098334D"/>
    <w:rsid w:val="00986482"/>
    <w:rsid w:val="0099599B"/>
    <w:rsid w:val="009A01C9"/>
    <w:rsid w:val="009A39DD"/>
    <w:rsid w:val="009B2DF1"/>
    <w:rsid w:val="009B34B6"/>
    <w:rsid w:val="009C7AE9"/>
    <w:rsid w:val="009E0BFE"/>
    <w:rsid w:val="009E3A9C"/>
    <w:rsid w:val="009E5785"/>
    <w:rsid w:val="009F1743"/>
    <w:rsid w:val="00A14D4F"/>
    <w:rsid w:val="00A20379"/>
    <w:rsid w:val="00A30C39"/>
    <w:rsid w:val="00A3520F"/>
    <w:rsid w:val="00A36099"/>
    <w:rsid w:val="00A37E7C"/>
    <w:rsid w:val="00A563F5"/>
    <w:rsid w:val="00A665D1"/>
    <w:rsid w:val="00A853E6"/>
    <w:rsid w:val="00A86D33"/>
    <w:rsid w:val="00AA1895"/>
    <w:rsid w:val="00AC3192"/>
    <w:rsid w:val="00AC61BA"/>
    <w:rsid w:val="00AD308A"/>
    <w:rsid w:val="00AD5A2B"/>
    <w:rsid w:val="00AD7565"/>
    <w:rsid w:val="00AE73D2"/>
    <w:rsid w:val="00B046F9"/>
    <w:rsid w:val="00B13738"/>
    <w:rsid w:val="00B15B38"/>
    <w:rsid w:val="00B26333"/>
    <w:rsid w:val="00B32082"/>
    <w:rsid w:val="00B330D7"/>
    <w:rsid w:val="00B33419"/>
    <w:rsid w:val="00B6099E"/>
    <w:rsid w:val="00B6566B"/>
    <w:rsid w:val="00B73F14"/>
    <w:rsid w:val="00B74018"/>
    <w:rsid w:val="00B812AB"/>
    <w:rsid w:val="00B836A2"/>
    <w:rsid w:val="00B84EDC"/>
    <w:rsid w:val="00BA27C4"/>
    <w:rsid w:val="00BA37F8"/>
    <w:rsid w:val="00BC5FEF"/>
    <w:rsid w:val="00BC60BC"/>
    <w:rsid w:val="00BD5C4D"/>
    <w:rsid w:val="00BF2D38"/>
    <w:rsid w:val="00BF5551"/>
    <w:rsid w:val="00C13673"/>
    <w:rsid w:val="00C23848"/>
    <w:rsid w:val="00C23C23"/>
    <w:rsid w:val="00C32A40"/>
    <w:rsid w:val="00C33977"/>
    <w:rsid w:val="00C46A1D"/>
    <w:rsid w:val="00C5712E"/>
    <w:rsid w:val="00C7374E"/>
    <w:rsid w:val="00C832FB"/>
    <w:rsid w:val="00C83F01"/>
    <w:rsid w:val="00C878A1"/>
    <w:rsid w:val="00CA38DC"/>
    <w:rsid w:val="00CA5D69"/>
    <w:rsid w:val="00CC5C8D"/>
    <w:rsid w:val="00CC7933"/>
    <w:rsid w:val="00CD4881"/>
    <w:rsid w:val="00CE6004"/>
    <w:rsid w:val="00CF2201"/>
    <w:rsid w:val="00CF3BF7"/>
    <w:rsid w:val="00D10100"/>
    <w:rsid w:val="00D11CA0"/>
    <w:rsid w:val="00D154E6"/>
    <w:rsid w:val="00D17469"/>
    <w:rsid w:val="00D239C1"/>
    <w:rsid w:val="00D4298E"/>
    <w:rsid w:val="00D50139"/>
    <w:rsid w:val="00D5402D"/>
    <w:rsid w:val="00D6551E"/>
    <w:rsid w:val="00D67563"/>
    <w:rsid w:val="00D701D7"/>
    <w:rsid w:val="00D90271"/>
    <w:rsid w:val="00D91EAF"/>
    <w:rsid w:val="00DA0F72"/>
    <w:rsid w:val="00DB1472"/>
    <w:rsid w:val="00DB7662"/>
    <w:rsid w:val="00DC1022"/>
    <w:rsid w:val="00DD6F6F"/>
    <w:rsid w:val="00DE45D7"/>
    <w:rsid w:val="00DF4935"/>
    <w:rsid w:val="00E120DD"/>
    <w:rsid w:val="00E17263"/>
    <w:rsid w:val="00E728BA"/>
    <w:rsid w:val="00E771E2"/>
    <w:rsid w:val="00E87B35"/>
    <w:rsid w:val="00E96533"/>
    <w:rsid w:val="00EB0E7B"/>
    <w:rsid w:val="00EC5B05"/>
    <w:rsid w:val="00ED058B"/>
    <w:rsid w:val="00ED0C9F"/>
    <w:rsid w:val="00ED7BBC"/>
    <w:rsid w:val="00EE5A3C"/>
    <w:rsid w:val="00EF2F99"/>
    <w:rsid w:val="00F02304"/>
    <w:rsid w:val="00F0757C"/>
    <w:rsid w:val="00F14742"/>
    <w:rsid w:val="00F14B2A"/>
    <w:rsid w:val="00F20B03"/>
    <w:rsid w:val="00F21CD2"/>
    <w:rsid w:val="00F230CB"/>
    <w:rsid w:val="00F23DFF"/>
    <w:rsid w:val="00F33357"/>
    <w:rsid w:val="00F35780"/>
    <w:rsid w:val="00F3747D"/>
    <w:rsid w:val="00F40C50"/>
    <w:rsid w:val="00F56CBA"/>
    <w:rsid w:val="00F62A17"/>
    <w:rsid w:val="00F71E76"/>
    <w:rsid w:val="00F833D1"/>
    <w:rsid w:val="00F86A3C"/>
    <w:rsid w:val="00FA4969"/>
    <w:rsid w:val="00FB357F"/>
    <w:rsid w:val="00FB4674"/>
    <w:rsid w:val="00FE060A"/>
    <w:rsid w:val="00FF439C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5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character" w:styleId="HTMLAkronym">
    <w:name w:val="HTML Acronym"/>
    <w:basedOn w:val="Absatz-Standardschriftart"/>
  </w:style>
  <w:style w:type="character" w:styleId="Hyperlink">
    <w:name w:val="Hyperlink"/>
    <w:unhideWhenUsed/>
    <w:rPr>
      <w:color w:val="0000FF"/>
      <w:u w:val="single"/>
    </w:rPr>
  </w:style>
  <w:style w:type="character" w:customStyle="1" w:styleId="berschrift1Zchn">
    <w:name w:val="Überschrift 1 Zchn"/>
    <w:uiPriority w:val="9"/>
    <w:rPr>
      <w:b/>
      <w:bCs/>
      <w:kern w:val="36"/>
      <w:sz w:val="48"/>
      <w:szCs w:val="48"/>
    </w:rPr>
  </w:style>
  <w:style w:type="character" w:customStyle="1" w:styleId="topline">
    <w:name w:val="toplin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A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3AB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5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ett">
    <w:name w:val="Strong"/>
    <w:basedOn w:val="Absatz-Standardschriftart"/>
    <w:uiPriority w:val="22"/>
    <w:qFormat/>
    <w:rsid w:val="008432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5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character" w:styleId="HTMLAkronym">
    <w:name w:val="HTML Acronym"/>
    <w:basedOn w:val="Absatz-Standardschriftart"/>
  </w:style>
  <w:style w:type="character" w:styleId="Hyperlink">
    <w:name w:val="Hyperlink"/>
    <w:unhideWhenUsed/>
    <w:rPr>
      <w:color w:val="0000FF"/>
      <w:u w:val="single"/>
    </w:rPr>
  </w:style>
  <w:style w:type="character" w:customStyle="1" w:styleId="berschrift1Zchn">
    <w:name w:val="Überschrift 1 Zchn"/>
    <w:uiPriority w:val="9"/>
    <w:rPr>
      <w:b/>
      <w:bCs/>
      <w:kern w:val="36"/>
      <w:sz w:val="48"/>
      <w:szCs w:val="48"/>
    </w:rPr>
  </w:style>
  <w:style w:type="character" w:customStyle="1" w:styleId="topline">
    <w:name w:val="toplin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A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3AB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5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ett">
    <w:name w:val="Strong"/>
    <w:basedOn w:val="Absatz-Standardschriftart"/>
    <w:uiPriority w:val="22"/>
    <w:qFormat/>
    <w:rsid w:val="008432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nd/3.0/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pb.de/61769/einkommensverteilu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pb.de/31706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pb.de/6175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pb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4644</Characters>
  <Application>Microsoft Office Word</Application>
  <DocSecurity>0</DocSecurity>
  <Lines>90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Zur Bevölkerung Deutschlands zählen alle Einwohner, die mit ihrer Hauptwohnung in der Bundesrepublik Deutschland gemeldet sind</vt:lpstr>
    </vt:vector>
  </TitlesOfParts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Zur Bevölkerung Deutschlands zählen alle Einwohner, die mit ihrer Hauptwohnung in der Bundesrepublik Deutschland gemeldet sind</dc:title>
  <dc:creator>Fossi</dc:creator>
  <cp:lastModifiedBy>Christian Hartmann</cp:lastModifiedBy>
  <cp:revision>12</cp:revision>
  <dcterms:created xsi:type="dcterms:W3CDTF">2020-08-11T09:17:00Z</dcterms:created>
  <dcterms:modified xsi:type="dcterms:W3CDTF">2020-10-25T19:50:00Z</dcterms:modified>
</cp:coreProperties>
</file>